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6B3B" w:rsidRPr="006A6B3B" w:rsidP="006A6B3B">
      <w:pPr>
        <w:pStyle w:val="BodyText"/>
        <w:bidi w:val="0"/>
        <w:jc w:val="center"/>
        <w:rPr>
          <w:rFonts w:hint="default"/>
          <w:b/>
          <w:bCs/>
          <w:sz w:val="28"/>
          <w:szCs w:val="28"/>
        </w:rPr>
      </w:pPr>
      <w:r w:rsidRPr="006A6B3B">
        <w:rPr>
          <w:rFonts w:hint="default"/>
          <w:b/>
          <w:bCs/>
          <w:sz w:val="28"/>
          <w:szCs w:val="28"/>
        </w:rPr>
        <w:t>TABUĽ</w:t>
      </w:r>
      <w:r w:rsidRPr="006A6B3B">
        <w:rPr>
          <w:rFonts w:hint="default"/>
          <w:b/>
          <w:bCs/>
          <w:sz w:val="28"/>
          <w:szCs w:val="28"/>
        </w:rPr>
        <w:t>KA ZHODY</w:t>
      </w:r>
    </w:p>
    <w:p w:rsidR="006A6B3B" w:rsidRPr="006A6B3B" w:rsidP="006A6B3B">
      <w:pPr>
        <w:pStyle w:val="BodyText"/>
        <w:bidi w:val="0"/>
        <w:jc w:val="center"/>
        <w:rPr>
          <w:rFonts w:hint="default"/>
          <w:b/>
          <w:bCs/>
          <w:sz w:val="20"/>
          <w:szCs w:val="20"/>
        </w:rPr>
      </w:pPr>
      <w:r w:rsidRPr="006A6B3B">
        <w:rPr>
          <w:rFonts w:hint="default"/>
          <w:b/>
          <w:bCs/>
          <w:sz w:val="20"/>
          <w:szCs w:val="20"/>
        </w:rPr>
        <w:t>ná</w:t>
      </w:r>
      <w:r w:rsidRPr="006A6B3B">
        <w:rPr>
          <w:rFonts w:hint="default"/>
          <w:b/>
          <w:bCs/>
          <w:sz w:val="20"/>
          <w:szCs w:val="20"/>
        </w:rPr>
        <w:t>vrhu zá</w:t>
      </w:r>
      <w:r w:rsidRPr="006A6B3B">
        <w:rPr>
          <w:rFonts w:hint="default"/>
          <w:b/>
          <w:bCs/>
          <w:sz w:val="20"/>
          <w:szCs w:val="20"/>
        </w:rPr>
        <w:t>kona s </w:t>
      </w:r>
      <w:r w:rsidRPr="006A6B3B">
        <w:rPr>
          <w:rFonts w:hint="default"/>
          <w:b/>
          <w:bCs/>
          <w:sz w:val="20"/>
          <w:szCs w:val="20"/>
        </w:rPr>
        <w:t>prá</w:t>
      </w:r>
      <w:r w:rsidRPr="006A6B3B">
        <w:rPr>
          <w:rFonts w:hint="default"/>
          <w:b/>
          <w:bCs/>
          <w:sz w:val="20"/>
          <w:szCs w:val="20"/>
        </w:rPr>
        <w:t>vom Euró</w:t>
      </w:r>
      <w:r w:rsidRPr="006A6B3B">
        <w:rPr>
          <w:rFonts w:hint="default"/>
          <w:b/>
          <w:bCs/>
          <w:sz w:val="20"/>
          <w:szCs w:val="20"/>
        </w:rPr>
        <w:t>pskej ú</w:t>
      </w:r>
      <w:r w:rsidRPr="006A6B3B">
        <w:rPr>
          <w:rFonts w:hint="default"/>
          <w:b/>
          <w:bCs/>
          <w:sz w:val="20"/>
          <w:szCs w:val="20"/>
        </w:rPr>
        <w:t>nie</w:t>
      </w:r>
    </w:p>
    <w:p w:rsidR="004E6278" w:rsidRPr="006A6B3B">
      <w:pPr>
        <w:bidi w:val="0"/>
        <w:jc w:val="center"/>
        <w:rPr>
          <w:b/>
          <w:bCs/>
          <w:sz w:val="28"/>
          <w:szCs w:val="28"/>
          <w:lang w:eastAsia="cs-CZ"/>
        </w:rPr>
      </w:pPr>
    </w:p>
    <w:tbl>
      <w:tblPr>
        <w:tblStyle w:val="TableNormal"/>
        <w:tblW w:w="47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55"/>
        <w:gridCol w:w="3850"/>
        <w:gridCol w:w="1136"/>
        <w:gridCol w:w="566"/>
        <w:gridCol w:w="851"/>
        <w:gridCol w:w="4119"/>
        <w:gridCol w:w="1133"/>
        <w:gridCol w:w="1273"/>
      </w:tblGrid>
      <w:tr>
        <w:tblPrEx>
          <w:tblW w:w="472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 w:rsidP="00C00417">
            <w:pPr>
              <w:pStyle w:val="FootnoteText"/>
              <w:bidi w:val="0"/>
              <w:spacing w:after="0" w:line="240" w:lineRule="auto"/>
              <w:rPr>
                <w:rFonts w:ascii="Times New Roman" w:hAnsi="Times New Roman" w:cs="Times New Roman"/>
                <w:b/>
                <w:lang w:eastAsia="cs-CZ"/>
              </w:rPr>
            </w:pPr>
            <w:r w:rsidRPr="00514702" w:rsidR="00514702">
              <w:rPr>
                <w:rFonts w:ascii="Times New Roman" w:hAnsi="Times New Roman" w:cs="Times New Roman"/>
                <w:b/>
                <w:lang w:eastAsia="cs-CZ"/>
              </w:rPr>
              <w:t>Smern</w:t>
            </w:r>
            <w:r w:rsidRPr="00514702" w:rsidR="00514702">
              <w:rPr>
                <w:rFonts w:ascii="Times New Roman" w:hAnsi="Times New Roman" w:cs="Times New Roman" w:hint="default"/>
                <w:b/>
                <w:lang w:eastAsia="cs-CZ"/>
              </w:rPr>
              <w:t>ica Rady 93/13/EHS z 5. aprí</w:t>
            </w:r>
            <w:r w:rsidRPr="00514702" w:rsidR="00514702">
              <w:rPr>
                <w:rFonts w:ascii="Times New Roman" w:hAnsi="Times New Roman" w:cs="Times New Roman" w:hint="default"/>
                <w:b/>
                <w:lang w:eastAsia="cs-CZ"/>
              </w:rPr>
              <w:t>la 1993 o nekalý</w:t>
            </w:r>
            <w:r w:rsidRPr="00514702" w:rsidR="00514702">
              <w:rPr>
                <w:rFonts w:ascii="Times New Roman" w:hAnsi="Times New Roman" w:cs="Times New Roman" w:hint="default"/>
                <w:b/>
                <w:lang w:eastAsia="cs-CZ"/>
              </w:rPr>
              <w:t>ch podmienkach v spotrebiteľ</w:t>
            </w:r>
            <w:r w:rsidRPr="00514702" w:rsidR="00514702">
              <w:rPr>
                <w:rFonts w:ascii="Times New Roman" w:hAnsi="Times New Roman" w:cs="Times New Roman" w:hint="default"/>
                <w:b/>
                <w:lang w:eastAsia="cs-CZ"/>
              </w:rPr>
              <w:t>ský</w:t>
            </w:r>
            <w:r w:rsidRPr="00514702" w:rsidR="00514702">
              <w:rPr>
                <w:rFonts w:ascii="Times New Roman" w:hAnsi="Times New Roman" w:cs="Times New Roman" w:hint="default"/>
                <w:b/>
                <w:lang w:eastAsia="cs-CZ"/>
              </w:rPr>
              <w:t>ch zmluvá</w:t>
            </w:r>
            <w:r w:rsidRPr="00514702" w:rsidR="00514702">
              <w:rPr>
                <w:rFonts w:ascii="Times New Roman" w:hAnsi="Times New Roman" w:cs="Times New Roman" w:hint="default"/>
                <w:b/>
                <w:lang w:eastAsia="cs-CZ"/>
              </w:rPr>
              <w:t>ch (Mimoriadne vydanie Ú</w:t>
            </w:r>
            <w:r w:rsidRPr="00514702" w:rsidR="00514702">
              <w:rPr>
                <w:rFonts w:ascii="Times New Roman" w:hAnsi="Times New Roman" w:cs="Times New Roman" w:hint="default"/>
                <w:b/>
                <w:lang w:eastAsia="cs-CZ"/>
              </w:rPr>
              <w:t>. v. EÚ</w:t>
            </w:r>
            <w:r w:rsidRPr="00514702" w:rsidR="00514702">
              <w:rPr>
                <w:rFonts w:ascii="Times New Roman" w:hAnsi="Times New Roman" w:cs="Times New Roman" w:hint="default"/>
                <w:b/>
                <w:lang w:eastAsia="cs-CZ"/>
              </w:rPr>
              <w:t>, kap. 15/zv. 02) v znení</w:t>
            </w:r>
            <w:r w:rsidRPr="00514702" w:rsidR="00514702">
              <w:rPr>
                <w:rFonts w:ascii="Times New Roman" w:hAnsi="Times New Roman" w:cs="Times New Roman" w:hint="default"/>
                <w:b/>
                <w:lang w:eastAsia="cs-CZ"/>
              </w:rPr>
              <w:t xml:space="preserve"> smernice Euró</w:t>
            </w:r>
            <w:r w:rsidRPr="00514702" w:rsidR="00514702">
              <w:rPr>
                <w:rFonts w:ascii="Times New Roman" w:hAnsi="Times New Roman" w:cs="Times New Roman" w:hint="default"/>
                <w:b/>
                <w:lang w:eastAsia="cs-CZ"/>
              </w:rPr>
              <w:t>pskeho parlamentu a Rady 2011/83/EÚ</w:t>
            </w:r>
            <w:r w:rsidRPr="00514702" w:rsidR="00514702">
              <w:rPr>
                <w:rFonts w:ascii="Times New Roman" w:hAnsi="Times New Roman" w:cs="Times New Roman" w:hint="default"/>
                <w:b/>
                <w:lang w:eastAsia="cs-CZ"/>
              </w:rPr>
              <w:t xml:space="preserve"> z 25. októ</w:t>
            </w:r>
            <w:r w:rsidRPr="00514702" w:rsidR="00514702">
              <w:rPr>
                <w:rFonts w:ascii="Times New Roman" w:hAnsi="Times New Roman" w:cs="Times New Roman" w:hint="default"/>
                <w:b/>
                <w:lang w:eastAsia="cs-CZ"/>
              </w:rPr>
              <w:t>bra 2011 (Ú</w:t>
            </w:r>
            <w:r w:rsidRPr="00514702" w:rsidR="00514702">
              <w:rPr>
                <w:rFonts w:ascii="Times New Roman" w:hAnsi="Times New Roman" w:cs="Times New Roman" w:hint="default"/>
                <w:b/>
                <w:lang w:eastAsia="cs-CZ"/>
              </w:rPr>
              <w:t>. v. EÚ</w:t>
            </w:r>
            <w:r w:rsidRPr="00514702" w:rsidR="00514702">
              <w:rPr>
                <w:rFonts w:ascii="Times New Roman" w:hAnsi="Times New Roman" w:cs="Times New Roman" w:hint="default"/>
                <w:b/>
                <w:lang w:eastAsia="cs-CZ"/>
              </w:rPr>
              <w:t xml:space="preserve"> L 304, 22. 11. 2011).</w:t>
            </w:r>
          </w:p>
        </w:tc>
        <w:tc>
          <w:tcPr>
            <w:tcW w:w="29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A6B3B" w:rsidRPr="006A6B3B" w:rsidP="00A646B3">
            <w:pPr>
              <w:bidi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14702" w:rsidP="00A646B3">
            <w:pPr>
              <w:bidi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14702" w:rsidP="00A646B3">
            <w:pPr>
              <w:bidi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53EA6" w:rsidRPr="006A6B3B" w:rsidP="00A646B3">
            <w:pPr>
              <w:bidi w:val="0"/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</w:rPr>
            </w:pPr>
            <w:r w:rsidRPr="006A6B3B">
              <w:rPr>
                <w:rFonts w:hint="default"/>
                <w:b/>
                <w:sz w:val="20"/>
                <w:szCs w:val="20"/>
              </w:rPr>
              <w:t>Zá</w:t>
            </w:r>
            <w:r w:rsidRPr="006A6B3B">
              <w:rPr>
                <w:rFonts w:hint="default"/>
                <w:b/>
                <w:sz w:val="20"/>
                <w:szCs w:val="20"/>
              </w:rPr>
              <w:t>kon č</w:t>
            </w:r>
            <w:r w:rsidRPr="006A6B3B">
              <w:rPr>
                <w:rFonts w:hint="default"/>
                <w:b/>
                <w:sz w:val="20"/>
                <w:szCs w:val="20"/>
              </w:rPr>
              <w:t>. …</w:t>
            </w:r>
            <w:r w:rsidRPr="006A6B3B">
              <w:rPr>
                <w:rFonts w:hint="default"/>
                <w:b/>
                <w:sz w:val="20"/>
                <w:szCs w:val="20"/>
              </w:rPr>
              <w:t xml:space="preserve"> C</w:t>
            </w:r>
            <w:r w:rsidRPr="006A6B3B">
              <w:rPr>
                <w:rFonts w:hint="default"/>
                <w:b/>
                <w:sz w:val="20"/>
                <w:szCs w:val="20"/>
              </w:rPr>
              <w:t>ivilný</w:t>
            </w:r>
            <w:r w:rsidRPr="006A6B3B">
              <w:rPr>
                <w:rFonts w:hint="default"/>
                <w:b/>
                <w:sz w:val="20"/>
                <w:szCs w:val="20"/>
              </w:rPr>
              <w:t xml:space="preserve"> sporový</w:t>
            </w:r>
            <w:r w:rsidRPr="006A6B3B">
              <w:rPr>
                <w:rFonts w:hint="default"/>
                <w:b/>
                <w:sz w:val="20"/>
                <w:szCs w:val="20"/>
              </w:rPr>
              <w:t xml:space="preserve"> poriadok</w:t>
            </w:r>
          </w:p>
        </w:tc>
      </w:tr>
      <w:tr>
        <w:tblPrEx>
          <w:tblW w:w="4720" w:type="pct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6A6B3B">
              <w:rPr>
                <w:sz w:val="20"/>
                <w:szCs w:val="20"/>
              </w:rPr>
              <w:t>1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 w:rsidP="00884C3E">
            <w:pPr>
              <w:tabs>
                <w:tab w:val="left" w:pos="494"/>
                <w:tab w:val="center" w:pos="1855"/>
              </w:tabs>
              <w:bidi w:val="0"/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6A6B3B" w:rsidR="00884C3E">
              <w:rPr>
                <w:sz w:val="20"/>
                <w:szCs w:val="20"/>
              </w:rPr>
              <w:tab/>
              <w:tab/>
            </w:r>
            <w:r w:rsidRPr="006A6B3B">
              <w:rPr>
                <w:sz w:val="20"/>
                <w:szCs w:val="20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6A6B3B">
              <w:rPr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6A6B3B">
              <w:rPr>
                <w:sz w:val="20"/>
                <w:szCs w:val="20"/>
              </w:rP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6A6B3B">
              <w:rPr>
                <w:sz w:val="20"/>
                <w:szCs w:val="20"/>
              </w:rPr>
              <w:t>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6A6B3B">
              <w:rPr>
                <w:sz w:val="20"/>
                <w:szCs w:val="2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6A6B3B">
              <w:rPr>
                <w:sz w:val="20"/>
                <w:szCs w:val="20"/>
              </w:rPr>
              <w:t>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6A6B3B">
              <w:rPr>
                <w:sz w:val="20"/>
                <w:szCs w:val="20"/>
              </w:rPr>
              <w:t>8</w:t>
            </w:r>
          </w:p>
        </w:tc>
      </w:tr>
      <w:tr>
        <w:tblPrEx>
          <w:tblW w:w="4720" w:type="pct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6A6B3B">
              <w:rPr>
                <w:rFonts w:hint="default"/>
                <w:sz w:val="20"/>
                <w:szCs w:val="20"/>
              </w:rPr>
              <w:t>Č</w:t>
            </w:r>
            <w:r w:rsidRPr="006A6B3B">
              <w:rPr>
                <w:rFonts w:hint="default"/>
                <w:sz w:val="20"/>
                <w:szCs w:val="20"/>
              </w:rPr>
              <w:t>lá</w:t>
            </w:r>
            <w:r w:rsidRPr="006A6B3B">
              <w:rPr>
                <w:rFonts w:hint="default"/>
                <w:sz w:val="20"/>
                <w:szCs w:val="20"/>
              </w:rPr>
              <w:t>nok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6A6B3B">
              <w:rPr>
                <w:sz w:val="20"/>
                <w:szCs w:val="20"/>
              </w:rPr>
              <w:t>Text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6A6B3B">
              <w:rPr>
                <w:rFonts w:hint="default"/>
                <w:sz w:val="20"/>
                <w:szCs w:val="20"/>
              </w:rPr>
              <w:t>Spô</w:t>
            </w:r>
            <w:r w:rsidRPr="006A6B3B">
              <w:rPr>
                <w:rFonts w:hint="default"/>
                <w:sz w:val="20"/>
                <w:szCs w:val="20"/>
              </w:rPr>
              <w:t>sob</w:t>
            </w: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6A6B3B">
              <w:rPr>
                <w:rFonts w:hint="default"/>
                <w:sz w:val="20"/>
                <w:szCs w:val="20"/>
              </w:rPr>
              <w:t>transpozí</w:t>
            </w:r>
            <w:r w:rsidRPr="006A6B3B">
              <w:rPr>
                <w:rFonts w:hint="default"/>
                <w:sz w:val="20"/>
                <w:szCs w:val="20"/>
              </w:rPr>
              <w:t>cie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6A6B3B">
              <w:rPr>
                <w:rFonts w:hint="default"/>
                <w:sz w:val="20"/>
                <w:szCs w:val="20"/>
              </w:rPr>
              <w:t>Čí</w:t>
            </w:r>
            <w:r w:rsidRPr="006A6B3B">
              <w:rPr>
                <w:rFonts w:hint="default"/>
                <w:sz w:val="20"/>
                <w:szCs w:val="20"/>
              </w:rPr>
              <w:t>slo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  <w:r w:rsidRPr="006A6B3B">
              <w:rPr>
                <w:rFonts w:ascii="Times New Roman" w:hAnsi="Times New Roman" w:cs="Times New Roman" w:hint="default"/>
                <w:sz w:val="20"/>
                <w:szCs w:val="20"/>
              </w:rPr>
              <w:t>Č</w:t>
            </w:r>
            <w:r w:rsidRPr="006A6B3B">
              <w:rPr>
                <w:rFonts w:ascii="Times New Roman" w:hAnsi="Times New Roman" w:cs="Times New Roman" w:hint="default"/>
                <w:sz w:val="20"/>
                <w:szCs w:val="20"/>
              </w:rPr>
              <w:t>lá</w:t>
            </w:r>
            <w:r w:rsidRPr="006A6B3B">
              <w:rPr>
                <w:rFonts w:ascii="Times New Roman" w:hAnsi="Times New Roman" w:cs="Times New Roman" w:hint="default"/>
                <w:sz w:val="20"/>
                <w:szCs w:val="20"/>
              </w:rPr>
              <w:t>nok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6A6B3B">
              <w:rPr>
                <w:sz w:val="20"/>
                <w:szCs w:val="20"/>
              </w:rPr>
              <w:t>Text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6A6B3B">
              <w:rPr>
                <w:sz w:val="20"/>
                <w:szCs w:val="20"/>
              </w:rPr>
              <w:t>Zhoda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6A6B3B">
              <w:rPr>
                <w:rFonts w:hint="default"/>
                <w:sz w:val="20"/>
                <w:szCs w:val="20"/>
              </w:rPr>
              <w:t>Pozná</w:t>
            </w:r>
            <w:r w:rsidRPr="006A6B3B">
              <w:rPr>
                <w:rFonts w:hint="default"/>
                <w:sz w:val="20"/>
                <w:szCs w:val="20"/>
              </w:rPr>
              <w:t>mky</w:t>
            </w:r>
          </w:p>
        </w:tc>
      </w:tr>
      <w:tr>
        <w:tblPrEx>
          <w:tblW w:w="4720" w:type="pct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rFonts w:hint="default"/>
                <w:sz w:val="20"/>
                <w:szCs w:val="20"/>
              </w:rPr>
              <w:t>Č</w:t>
            </w:r>
            <w:r w:rsidRPr="006A6B3B">
              <w:rPr>
                <w:rFonts w:hint="default"/>
                <w:sz w:val="20"/>
                <w:szCs w:val="20"/>
              </w:rPr>
              <w:t>:</w:t>
            </w:r>
            <w:r w:rsidRPr="006A6B3B" w:rsidR="00A646B3">
              <w:rPr>
                <w:sz w:val="20"/>
                <w:szCs w:val="20"/>
              </w:rPr>
              <w:t xml:space="preserve"> </w:t>
            </w:r>
            <w:r w:rsidRPr="006A6B3B">
              <w:rPr>
                <w:sz w:val="20"/>
                <w:szCs w:val="20"/>
              </w:rPr>
              <w:t>6</w:t>
            </w: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sz w:val="20"/>
                <w:szCs w:val="20"/>
              </w:rPr>
              <w:t>O:</w:t>
            </w:r>
            <w:r w:rsidRPr="006A6B3B" w:rsidR="00A646B3">
              <w:rPr>
                <w:sz w:val="20"/>
                <w:szCs w:val="20"/>
              </w:rPr>
              <w:t xml:space="preserve"> </w:t>
            </w:r>
            <w:r w:rsidRPr="006A6B3B">
              <w:rPr>
                <w:sz w:val="20"/>
                <w:szCs w:val="20"/>
              </w:rPr>
              <w:t>1</w:t>
            </w: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 w:rsidP="0049636D">
            <w:pPr>
              <w:bidi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pStyle w:val="BodyText"/>
              <w:tabs>
                <w:tab w:val="left" w:pos="426"/>
              </w:tabs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6A6B3B">
              <w:rPr>
                <w:rFonts w:hint="default"/>
                <w:sz w:val="20"/>
                <w:szCs w:val="20"/>
              </w:rPr>
              <w:t>Č</w:t>
            </w:r>
            <w:r w:rsidRPr="006A6B3B">
              <w:rPr>
                <w:rFonts w:hint="default"/>
                <w:sz w:val="20"/>
                <w:szCs w:val="20"/>
              </w:rPr>
              <w:t>lenské</w:t>
            </w:r>
            <w:r w:rsidRPr="006A6B3B">
              <w:rPr>
                <w:rFonts w:hint="default"/>
                <w:sz w:val="20"/>
                <w:szCs w:val="20"/>
              </w:rPr>
              <w:t xml:space="preserve"> š</w:t>
            </w:r>
            <w:r w:rsidRPr="006A6B3B">
              <w:rPr>
                <w:rFonts w:hint="default"/>
                <w:sz w:val="20"/>
                <w:szCs w:val="20"/>
              </w:rPr>
              <w:t>tá</w:t>
            </w:r>
            <w:r w:rsidRPr="006A6B3B">
              <w:rPr>
                <w:rFonts w:hint="default"/>
                <w:sz w:val="20"/>
                <w:szCs w:val="20"/>
              </w:rPr>
              <w:t>ty zabezpeč</w:t>
            </w:r>
            <w:r w:rsidRPr="006A6B3B">
              <w:rPr>
                <w:rFonts w:hint="default"/>
                <w:sz w:val="20"/>
                <w:szCs w:val="20"/>
              </w:rPr>
              <w:t>ia, aby nekalé</w:t>
            </w:r>
            <w:r w:rsidRPr="006A6B3B">
              <w:rPr>
                <w:rFonts w:hint="default"/>
                <w:sz w:val="20"/>
                <w:szCs w:val="20"/>
              </w:rPr>
              <w:t xml:space="preserve"> podmienky použ</w:t>
            </w:r>
            <w:r w:rsidRPr="006A6B3B">
              <w:rPr>
                <w:rFonts w:hint="default"/>
                <w:sz w:val="20"/>
                <w:szCs w:val="20"/>
              </w:rPr>
              <w:t>ité</w:t>
            </w:r>
            <w:r w:rsidRPr="006A6B3B">
              <w:rPr>
                <w:rFonts w:hint="default"/>
                <w:sz w:val="20"/>
                <w:szCs w:val="20"/>
              </w:rPr>
              <w:t xml:space="preserve"> v zmluvá</w:t>
            </w:r>
            <w:r w:rsidRPr="006A6B3B">
              <w:rPr>
                <w:rFonts w:hint="default"/>
                <w:sz w:val="20"/>
                <w:szCs w:val="20"/>
              </w:rPr>
              <w:t>ch uzatvorený</w:t>
            </w:r>
            <w:r w:rsidRPr="006A6B3B">
              <w:rPr>
                <w:rFonts w:hint="default"/>
                <w:sz w:val="20"/>
                <w:szCs w:val="20"/>
              </w:rPr>
              <w:t>ch so spotrebiteľ</w:t>
            </w:r>
            <w:r w:rsidRPr="006A6B3B">
              <w:rPr>
                <w:rFonts w:hint="default"/>
                <w:sz w:val="20"/>
                <w:szCs w:val="20"/>
              </w:rPr>
              <w:t>om zo strany predajcu alebo dodá</w:t>
            </w:r>
            <w:r w:rsidRPr="006A6B3B">
              <w:rPr>
                <w:rFonts w:hint="default"/>
                <w:sz w:val="20"/>
                <w:szCs w:val="20"/>
              </w:rPr>
              <w:t>vateľ</w:t>
            </w:r>
            <w:r w:rsidRPr="006A6B3B">
              <w:rPr>
                <w:rFonts w:hint="default"/>
                <w:sz w:val="20"/>
                <w:szCs w:val="20"/>
              </w:rPr>
              <w:t>a podľ</w:t>
            </w:r>
            <w:r w:rsidRPr="006A6B3B">
              <w:rPr>
                <w:rFonts w:hint="default"/>
                <w:sz w:val="20"/>
                <w:szCs w:val="20"/>
              </w:rPr>
              <w:t>a ich vnú</w:t>
            </w:r>
            <w:r w:rsidRPr="006A6B3B">
              <w:rPr>
                <w:rFonts w:hint="default"/>
                <w:sz w:val="20"/>
                <w:szCs w:val="20"/>
              </w:rPr>
              <w:t>troš</w:t>
            </w:r>
            <w:r w:rsidRPr="006A6B3B">
              <w:rPr>
                <w:rFonts w:hint="default"/>
                <w:sz w:val="20"/>
                <w:szCs w:val="20"/>
              </w:rPr>
              <w:t>tá</w:t>
            </w:r>
            <w:r w:rsidRPr="006A6B3B">
              <w:rPr>
                <w:rFonts w:hint="default"/>
                <w:sz w:val="20"/>
                <w:szCs w:val="20"/>
              </w:rPr>
              <w:t>tneho prá</w:t>
            </w:r>
            <w:r w:rsidRPr="006A6B3B">
              <w:rPr>
                <w:rFonts w:hint="default"/>
                <w:sz w:val="20"/>
                <w:szCs w:val="20"/>
              </w:rPr>
              <w:t>va, neboli zá</w:t>
            </w:r>
            <w:r w:rsidRPr="006A6B3B">
              <w:rPr>
                <w:rFonts w:hint="default"/>
                <w:sz w:val="20"/>
                <w:szCs w:val="20"/>
              </w:rPr>
              <w:t>vä</w:t>
            </w:r>
            <w:r w:rsidRPr="006A6B3B">
              <w:rPr>
                <w:rFonts w:hint="default"/>
                <w:sz w:val="20"/>
                <w:szCs w:val="20"/>
              </w:rPr>
              <w:t>zné</w:t>
            </w:r>
            <w:r w:rsidRPr="006A6B3B">
              <w:rPr>
                <w:rFonts w:hint="default"/>
                <w:sz w:val="20"/>
                <w:szCs w:val="20"/>
              </w:rPr>
              <w:t xml:space="preserve"> pre spotrebiteľ</w:t>
            </w:r>
            <w:r w:rsidRPr="006A6B3B">
              <w:rPr>
                <w:rFonts w:hint="default"/>
                <w:sz w:val="20"/>
                <w:szCs w:val="20"/>
              </w:rPr>
              <w:t>a a aby zmluva bola podľ</w:t>
            </w:r>
            <w:r w:rsidRPr="006A6B3B">
              <w:rPr>
                <w:rFonts w:hint="default"/>
                <w:sz w:val="20"/>
                <w:szCs w:val="20"/>
              </w:rPr>
              <w:t>a tý</w:t>
            </w:r>
            <w:r w:rsidRPr="006A6B3B">
              <w:rPr>
                <w:rFonts w:hint="default"/>
                <w:sz w:val="20"/>
                <w:szCs w:val="20"/>
              </w:rPr>
              <w:t>chto podmienok naď</w:t>
            </w:r>
            <w:r w:rsidRPr="006A6B3B">
              <w:rPr>
                <w:rFonts w:hint="default"/>
                <w:sz w:val="20"/>
                <w:szCs w:val="20"/>
              </w:rPr>
              <w:t>alej zá</w:t>
            </w:r>
            <w:r w:rsidRPr="006A6B3B">
              <w:rPr>
                <w:rFonts w:hint="default"/>
                <w:sz w:val="20"/>
                <w:szCs w:val="20"/>
              </w:rPr>
              <w:t>vä</w:t>
            </w:r>
            <w:r w:rsidRPr="006A6B3B">
              <w:rPr>
                <w:rFonts w:hint="default"/>
                <w:sz w:val="20"/>
                <w:szCs w:val="20"/>
              </w:rPr>
              <w:t>zná</w:t>
            </w:r>
            <w:r w:rsidRPr="006A6B3B">
              <w:rPr>
                <w:rFonts w:hint="default"/>
                <w:sz w:val="20"/>
                <w:szCs w:val="20"/>
              </w:rPr>
              <w:t xml:space="preserve"> pre strany, ak je jej ď</w:t>
            </w:r>
            <w:r w:rsidRPr="006A6B3B">
              <w:rPr>
                <w:rFonts w:hint="default"/>
                <w:sz w:val="20"/>
                <w:szCs w:val="20"/>
              </w:rPr>
              <w:t>alš</w:t>
            </w:r>
            <w:r w:rsidRPr="006A6B3B">
              <w:rPr>
                <w:rFonts w:hint="default"/>
                <w:sz w:val="20"/>
                <w:szCs w:val="20"/>
              </w:rPr>
              <w:t>ia existencia mož</w:t>
            </w:r>
            <w:r w:rsidRPr="006A6B3B">
              <w:rPr>
                <w:rFonts w:hint="default"/>
                <w:sz w:val="20"/>
                <w:szCs w:val="20"/>
              </w:rPr>
              <w:t>ná</w:t>
            </w:r>
            <w:r w:rsidRPr="006A6B3B">
              <w:rPr>
                <w:rFonts w:hint="default"/>
                <w:sz w:val="20"/>
                <w:szCs w:val="20"/>
              </w:rPr>
              <w:t xml:space="preserve"> bez nekalý</w:t>
            </w:r>
            <w:r w:rsidRPr="006A6B3B">
              <w:rPr>
                <w:rFonts w:hint="default"/>
                <w:sz w:val="20"/>
                <w:szCs w:val="20"/>
              </w:rPr>
              <w:t>ch podmienok.</w:t>
            </w:r>
          </w:p>
          <w:p w:rsidR="00553EA6" w:rsidRPr="006A6B3B">
            <w:pPr>
              <w:pStyle w:val="BodyText"/>
              <w:tabs>
                <w:tab w:val="left" w:pos="426"/>
              </w:tabs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sz w:val="20"/>
                <w:szCs w:val="20"/>
              </w:rPr>
              <w:t>N</w:t>
            </w: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sz w:val="20"/>
                <w:szCs w:val="20"/>
              </w:rPr>
              <w:t>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EA6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636D" w:rsidRPr="006A6B3B" w:rsidP="00514702">
            <w:pPr>
              <w:pStyle w:val="EnvelopeReturn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rFonts w:hint="default"/>
                <w:sz w:val="20"/>
                <w:szCs w:val="20"/>
              </w:rPr>
              <w:t>§</w:t>
            </w:r>
            <w:r w:rsidRPr="006A6B3B" w:rsidR="001A54F2">
              <w:rPr>
                <w:sz w:val="20"/>
                <w:szCs w:val="20"/>
              </w:rPr>
              <w:t>:</w:t>
            </w:r>
            <w:r w:rsidRPr="006A6B3B">
              <w:rPr>
                <w:sz w:val="20"/>
                <w:szCs w:val="20"/>
              </w:rPr>
              <w:t xml:space="preserve"> 28</w:t>
            </w:r>
            <w:r w:rsidRPr="006A6B3B" w:rsidR="00CB3F45">
              <w:rPr>
                <w:sz w:val="20"/>
                <w:szCs w:val="20"/>
              </w:rPr>
              <w:t>3</w:t>
            </w: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514702">
            <w:pPr>
              <w:pStyle w:val="EnvelopeReturn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rFonts w:hint="default"/>
                <w:sz w:val="20"/>
                <w:szCs w:val="20"/>
              </w:rPr>
              <w:t>§</w:t>
            </w:r>
            <w:r w:rsidRPr="006A6B3B" w:rsidR="001A54F2">
              <w:rPr>
                <w:sz w:val="20"/>
                <w:szCs w:val="20"/>
              </w:rPr>
              <w:t>:</w:t>
            </w:r>
            <w:r w:rsidRPr="006A6B3B">
              <w:rPr>
                <w:sz w:val="20"/>
                <w:szCs w:val="20"/>
              </w:rPr>
              <w:t xml:space="preserve"> 2</w:t>
            </w:r>
            <w:r w:rsidRPr="006A6B3B" w:rsidR="00CB3F45">
              <w:rPr>
                <w:sz w:val="20"/>
                <w:szCs w:val="20"/>
              </w:rPr>
              <w:t>84</w:t>
            </w: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P="001A54F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702" w:rsidP="001A54F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702" w:rsidP="001A54F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702" w:rsidRPr="006A6B3B" w:rsidP="00514702">
            <w:pPr>
              <w:bidi w:val="0"/>
              <w:spacing w:after="0" w:line="240" w:lineRule="auto"/>
              <w:rPr>
                <w:sz w:val="20"/>
                <w:szCs w:val="20"/>
              </w:rPr>
            </w:pPr>
          </w:p>
          <w:p w:rsidR="0049636D" w:rsidRPr="006A6B3B" w:rsidP="001A54F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636D" w:rsidRPr="006A6B3B" w:rsidP="001A54F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rFonts w:hint="default"/>
                <w:sz w:val="20"/>
                <w:szCs w:val="20"/>
              </w:rPr>
              <w:t>§</w:t>
            </w:r>
            <w:r w:rsidRPr="006A6B3B" w:rsidR="001A54F2">
              <w:rPr>
                <w:sz w:val="20"/>
                <w:szCs w:val="20"/>
              </w:rPr>
              <w:t>:</w:t>
            </w:r>
            <w:r w:rsidRPr="006A6B3B" w:rsidR="00AD2AA4">
              <w:rPr>
                <w:sz w:val="20"/>
                <w:szCs w:val="20"/>
              </w:rPr>
              <w:t xml:space="preserve"> 285</w:t>
            </w:r>
          </w:p>
          <w:p w:rsidR="0049636D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P:a</w:t>
            </w:r>
          </w:p>
          <w:p w:rsidR="00514702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P:b</w:t>
            </w: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rFonts w:hint="default"/>
                <w:sz w:val="20"/>
                <w:szCs w:val="20"/>
              </w:rPr>
              <w:t>§</w:t>
            </w:r>
            <w:r w:rsidRPr="006A6B3B" w:rsidR="001A54F2">
              <w:rPr>
                <w:sz w:val="20"/>
                <w:szCs w:val="20"/>
              </w:rPr>
              <w:t>:</w:t>
            </w:r>
            <w:r w:rsidRPr="006A6B3B" w:rsidR="00AD2AA4">
              <w:rPr>
                <w:sz w:val="20"/>
                <w:szCs w:val="20"/>
              </w:rPr>
              <w:t xml:space="preserve"> 286</w:t>
            </w: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="00514702">
              <w:rPr>
                <w:rFonts w:ascii="Times New Roman" w:hAnsi="Times New Roman" w:cs="Times New Roman"/>
                <w:sz w:val="20"/>
                <w:szCs w:val="20"/>
              </w:rPr>
              <w:t>O:1</w:t>
            </w:r>
          </w:p>
          <w:p w:rsidR="0049636D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O:2</w:t>
            </w: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514702">
            <w:pPr>
              <w:pStyle w:val="EnvelopeReturn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rFonts w:hint="default"/>
                <w:sz w:val="20"/>
                <w:szCs w:val="20"/>
              </w:rPr>
              <w:t>§</w:t>
            </w:r>
            <w:r w:rsidRPr="006A6B3B" w:rsidR="001A54F2">
              <w:rPr>
                <w:sz w:val="20"/>
                <w:szCs w:val="20"/>
              </w:rPr>
              <w:t>:</w:t>
            </w:r>
            <w:r w:rsidRPr="006A6B3B">
              <w:rPr>
                <w:sz w:val="20"/>
                <w:szCs w:val="20"/>
              </w:rPr>
              <w:t xml:space="preserve"> 2</w:t>
            </w:r>
            <w:r w:rsidRPr="006A6B3B" w:rsidR="00AD2AA4">
              <w:rPr>
                <w:sz w:val="20"/>
                <w:szCs w:val="20"/>
              </w:rPr>
              <w:t>87</w:t>
            </w: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rFonts w:hint="default"/>
                <w:sz w:val="20"/>
                <w:szCs w:val="20"/>
              </w:rPr>
              <w:t>§</w:t>
            </w:r>
            <w:r w:rsidRPr="006A6B3B" w:rsidR="001A54F2">
              <w:rPr>
                <w:sz w:val="20"/>
                <w:szCs w:val="20"/>
              </w:rPr>
              <w:t>:</w:t>
            </w:r>
            <w:r w:rsidRPr="006A6B3B">
              <w:rPr>
                <w:sz w:val="20"/>
                <w:szCs w:val="20"/>
              </w:rPr>
              <w:t xml:space="preserve"> 2</w:t>
            </w:r>
            <w:r w:rsidRPr="006A6B3B" w:rsidR="00AD2AA4">
              <w:rPr>
                <w:sz w:val="20"/>
                <w:szCs w:val="20"/>
              </w:rPr>
              <w:t>88</w:t>
            </w: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514702">
            <w:pPr>
              <w:pStyle w:val="EnvelopeReturn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rFonts w:hint="default"/>
                <w:sz w:val="20"/>
                <w:szCs w:val="20"/>
              </w:rPr>
              <w:t>§</w:t>
            </w:r>
            <w:r w:rsidRPr="006A6B3B" w:rsidR="001A54F2">
              <w:rPr>
                <w:sz w:val="20"/>
                <w:szCs w:val="20"/>
              </w:rPr>
              <w:t>:</w:t>
            </w:r>
            <w:r w:rsidRPr="006A6B3B">
              <w:rPr>
                <w:sz w:val="20"/>
                <w:szCs w:val="20"/>
              </w:rPr>
              <w:t xml:space="preserve"> 2</w:t>
            </w:r>
            <w:r w:rsidRPr="006A6B3B" w:rsidR="00AD2AA4">
              <w:rPr>
                <w:sz w:val="20"/>
                <w:szCs w:val="20"/>
              </w:rPr>
              <w:t>89</w:t>
            </w: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514702">
            <w:pPr>
              <w:pStyle w:val="EnvelopeReturn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RPr="006A6B3B" w:rsidP="001A54F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rFonts w:hint="default"/>
                <w:sz w:val="20"/>
                <w:szCs w:val="20"/>
              </w:rPr>
              <w:t>§</w:t>
            </w:r>
            <w:r w:rsidRPr="006A6B3B" w:rsidR="001A54F2">
              <w:rPr>
                <w:sz w:val="20"/>
                <w:szCs w:val="20"/>
              </w:rPr>
              <w:t>:</w:t>
            </w:r>
            <w:r w:rsidRPr="006A6B3B" w:rsidR="00AD2AA4">
              <w:rPr>
                <w:sz w:val="20"/>
                <w:szCs w:val="20"/>
              </w:rPr>
              <w:t xml:space="preserve"> 290</w:t>
            </w: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36D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P:a</w:t>
            </w: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P:b</w:t>
            </w:r>
          </w:p>
          <w:p w:rsidR="0049636D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51470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 w:rsidR="0049636D">
              <w:rPr>
                <w:rFonts w:hint="default"/>
                <w:sz w:val="20"/>
                <w:szCs w:val="20"/>
              </w:rPr>
              <w:t>§</w:t>
            </w:r>
            <w:r w:rsidRPr="006A6B3B" w:rsidR="001A54F2">
              <w:rPr>
                <w:sz w:val="20"/>
                <w:szCs w:val="20"/>
              </w:rPr>
              <w:t>:</w:t>
            </w:r>
            <w:r w:rsidRPr="006A6B3B" w:rsidR="0049636D">
              <w:rPr>
                <w:sz w:val="20"/>
                <w:szCs w:val="20"/>
              </w:rPr>
              <w:t xml:space="preserve"> 2</w:t>
            </w:r>
            <w:r w:rsidRPr="006A6B3B" w:rsidR="00AD2AA4">
              <w:rPr>
                <w:sz w:val="20"/>
                <w:szCs w:val="20"/>
              </w:rPr>
              <w:t>91</w:t>
            </w:r>
          </w:p>
          <w:p w:rsidR="00514702" w:rsidP="0051470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702" w:rsidP="0051470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O:1</w:t>
            </w:r>
          </w:p>
          <w:p w:rsidR="00514702" w:rsidP="0051470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702" w:rsidP="0051470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702" w:rsidP="0051470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702" w:rsidP="0051470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702" w:rsidP="0051470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702" w:rsidP="0051470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702" w:rsidP="00514702">
            <w:pPr>
              <w:bidi w:val="0"/>
              <w:spacing w:after="0" w:line="240" w:lineRule="auto"/>
              <w:rPr>
                <w:sz w:val="20"/>
                <w:szCs w:val="20"/>
              </w:rPr>
            </w:pPr>
          </w:p>
          <w:p w:rsidR="00514702" w:rsidP="0051470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702" w:rsidP="0051470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702" w:rsidP="0051470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702" w:rsidP="0051470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14702" w:rsidRPr="006A6B3B" w:rsidP="0051470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O:2</w:t>
            </w:r>
          </w:p>
          <w:p w:rsidR="0049636D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EA6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 w:hint="default"/>
                <w:sz w:val="20"/>
                <w:szCs w:val="20"/>
              </w:rPr>
              <w:t>:292</w:t>
            </w: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sz w:val="20"/>
                <w:szCs w:val="20"/>
              </w:rPr>
              <w:t>O:1</w:t>
            </w:r>
          </w:p>
          <w:p w:rsidR="00514702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14702" w:rsidP="00514702">
            <w:pPr>
              <w:pStyle w:val="EnvelopeReturn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51470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51470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O:2</w:t>
            </w:r>
          </w:p>
          <w:p w:rsidR="00514702" w:rsidP="0051470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51470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51470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51470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702" w:rsidP="0051470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="0056076C">
              <w:rPr>
                <w:rFonts w:ascii="Times New Roman" w:hAnsi="Times New Roman" w:cs="Times New Roman" w:hint="default"/>
                <w:sz w:val="20"/>
                <w:szCs w:val="20"/>
              </w:rPr>
              <w:t>§</w:t>
            </w:r>
            <w:r w:rsidR="0056076C">
              <w:rPr>
                <w:rFonts w:ascii="Times New Roman" w:hAnsi="Times New Roman" w:cs="Times New Roman" w:hint="default"/>
                <w:sz w:val="20"/>
                <w:szCs w:val="20"/>
              </w:rPr>
              <w:t>:293</w:t>
            </w:r>
          </w:p>
          <w:p w:rsidR="00514702" w:rsidRPr="006A6B3B" w:rsidP="00514702">
            <w:pPr>
              <w:pStyle w:val="EnvelopeReturn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b/>
                <w:spacing w:val="30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b/>
                <w:spacing w:val="30"/>
                <w:sz w:val="20"/>
                <w:szCs w:val="20"/>
                <w:lang w:eastAsia="en-US"/>
              </w:rPr>
              <w:t>Prvý</w:t>
            </w:r>
            <w:r w:rsidRPr="00514702">
              <w:rPr>
                <w:rFonts w:eastAsia="MS Mincho" w:hint="default"/>
                <w:b/>
                <w:spacing w:val="30"/>
                <w:sz w:val="20"/>
                <w:szCs w:val="20"/>
                <w:lang w:eastAsia="en-US"/>
              </w:rPr>
              <w:t xml:space="preserve"> diel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b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b/>
                <w:sz w:val="20"/>
                <w:szCs w:val="20"/>
                <w:lang w:eastAsia="en-US"/>
              </w:rPr>
              <w:t>Spotrebiteľ</w:t>
            </w:r>
            <w:r w:rsidRPr="00514702">
              <w:rPr>
                <w:rFonts w:eastAsia="MS Mincho" w:hint="default"/>
                <w:b/>
                <w:sz w:val="20"/>
                <w:szCs w:val="20"/>
                <w:lang w:eastAsia="en-US"/>
              </w:rPr>
              <w:t>ské</w:t>
            </w:r>
            <w:r w:rsidRPr="00514702">
              <w:rPr>
                <w:rFonts w:eastAsia="MS Mincho" w:hint="default"/>
                <w:b/>
                <w:sz w:val="20"/>
                <w:szCs w:val="20"/>
                <w:lang w:eastAsia="en-US"/>
              </w:rPr>
              <w:t xml:space="preserve"> spory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/>
                <w:b/>
                <w:caps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b/>
                <w:smallCaps/>
                <w:spacing w:val="30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b/>
                <w:smallCaps/>
                <w:spacing w:val="30"/>
                <w:sz w:val="20"/>
                <w:szCs w:val="20"/>
                <w:lang w:eastAsia="en-US"/>
              </w:rPr>
              <w:t>prvý</w:t>
            </w:r>
            <w:r w:rsidRPr="00514702">
              <w:rPr>
                <w:rFonts w:eastAsia="MS Mincho" w:hint="default"/>
                <w:b/>
                <w:smallCaps/>
                <w:spacing w:val="30"/>
                <w:sz w:val="20"/>
                <w:szCs w:val="20"/>
                <w:lang w:eastAsia="en-US"/>
              </w:rPr>
              <w:t xml:space="preserve"> oddiel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b/>
                <w:smallCaps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b/>
                <w:smallCaps/>
                <w:sz w:val="20"/>
                <w:szCs w:val="20"/>
                <w:lang w:eastAsia="en-US"/>
              </w:rPr>
              <w:t>vš</w:t>
            </w:r>
            <w:r w:rsidRPr="00514702">
              <w:rPr>
                <w:rFonts w:eastAsia="MS Mincho" w:hint="default"/>
                <w:b/>
                <w:smallCaps/>
                <w:sz w:val="20"/>
                <w:szCs w:val="20"/>
                <w:lang w:eastAsia="en-US"/>
              </w:rPr>
              <w:t>eobecné</w:t>
            </w:r>
            <w:r w:rsidRPr="00514702">
              <w:rPr>
                <w:rFonts w:eastAsia="MS Mincho" w:hint="default"/>
                <w:b/>
                <w:smallCaps/>
                <w:sz w:val="20"/>
                <w:szCs w:val="20"/>
                <w:lang w:eastAsia="en-US"/>
              </w:rPr>
              <w:t xml:space="preserve"> ustanovenia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/>
                <w:b/>
                <w:caps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§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283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/>
                <w:b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Spotrebiteľ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ský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spor je spor medzi dodá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vateľ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om a 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spotrebiteľ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om vyplý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vajú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ci zo spotrebiteľ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skej zmluvy alebo sú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visiaci so spotrebiteľ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skou zmluvou.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§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284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Spotrebiteľ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sa môž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e dať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v 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spotrebiteľ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skom spore zastupovať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prá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vnickou osobou založ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enou alebo zriadenou na ochranu spotrebiteľ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a. Ustanovenia prvej č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asti, piatej hlavy, piateho dielu tohto zá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kon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a tý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m nie sú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dotknuté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. Ak je spotrebiteľ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zastú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pený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advoká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tom, ustanovenia §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287 a 289 sa nepouž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ijú.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/>
                <w:b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§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285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Pouč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ovacia povinnosť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/>
                <w:b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Sú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d pri prvom ú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kone vo vzť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ahu k 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spotrebiteľ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ovi vhodný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m spô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sobom spotrebiteľ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a poučí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o</w:t>
            </w:r>
          </w:p>
          <w:p w:rsidR="00514702" w:rsidRPr="00514702" w:rsidP="00514702">
            <w:pPr>
              <w:numPr>
                <w:numId w:val="5"/>
              </w:numPr>
              <w:tabs>
                <w:tab w:val="left" w:pos="0"/>
                <w:tab w:val="left" w:pos="72"/>
              </w:tabs>
              <w:bidi w:val="0"/>
              <w:spacing w:after="0" w:line="240" w:lineRule="auto"/>
              <w:ind w:left="0" w:firstLine="0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mož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nosti zastú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penia,</w:t>
            </w:r>
          </w:p>
          <w:p w:rsidR="00514702" w:rsidRPr="00514702" w:rsidP="00514702">
            <w:pPr>
              <w:numPr>
                <w:numId w:val="5"/>
              </w:numPr>
              <w:tabs>
                <w:tab w:val="left" w:pos="0"/>
              </w:tabs>
              <w:bidi w:val="0"/>
              <w:spacing w:after="0" w:line="240" w:lineRule="auto"/>
              <w:ind w:left="0" w:firstLine="0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jeho procesný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ch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prá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vach a povinnostiach nielen v 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rozsahu vš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eobecnej pouč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ovacej povinnosti, ale poučí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ho aj o dô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kazoch, ktoré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je potrebné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predlož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iť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, o 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mož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nosti podať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ná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vrh na neodkladné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opatrenie alebo zabezpeč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ovacie opatrenie a o 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iný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ch mož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nostiach potrebný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ch na úč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elné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u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p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latnenie alebo brá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nenie jeho prá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v.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§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286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Osobitné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ustanovenie o 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spojení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vecí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/>
                <w:b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numPr>
                <w:numId w:val="3"/>
              </w:numPr>
              <w:tabs>
                <w:tab w:val="left" w:pos="0"/>
                <w:tab w:val="left" w:pos="1134"/>
              </w:tabs>
              <w:bidi w:val="0"/>
              <w:spacing w:after="0" w:line="240" w:lineRule="auto"/>
              <w:ind w:left="0" w:firstLine="0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/>
                <w:sz w:val="20"/>
                <w:szCs w:val="20"/>
                <w:lang w:eastAsia="en-US"/>
              </w:rPr>
              <w:t>Ustanovenia o 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spojení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vecí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sa nepouž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ijú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, ibaž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e by predmetom konaní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boli spotrebiteľ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ské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spory. </w:t>
            </w:r>
          </w:p>
          <w:p w:rsidR="00514702" w:rsidRPr="00514702" w:rsidP="00514702">
            <w:pPr>
              <w:tabs>
                <w:tab w:val="left" w:pos="0"/>
                <w:tab w:val="left" w:pos="1134"/>
              </w:tabs>
              <w:bidi w:val="0"/>
              <w:spacing w:after="0" w:line="240" w:lineRule="auto"/>
              <w:rPr>
                <w:rFonts w:eastAsia="MS Mincho"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numPr>
                <w:numId w:val="3"/>
              </w:numPr>
              <w:tabs>
                <w:tab w:val="left" w:pos="0"/>
                <w:tab w:val="left" w:pos="1134"/>
              </w:tabs>
              <w:bidi w:val="0"/>
              <w:spacing w:after="0" w:line="240" w:lineRule="auto"/>
              <w:ind w:left="0" w:firstLine="0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Sú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d vylúč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i na samostatné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konanie ná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rok uplatnený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vzá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jomnou 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alobou, ktorý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nie je spotrebiteľ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ský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m sporom.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§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287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Osobitné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ustanovenie o 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zmene 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aloby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Zmena 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aloby sa v 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spotrebiteľ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ský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ch sporoch nepripúšť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a, ak je 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alovaný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m spotrebiteľ.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pacing w:val="30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pacing w:val="30"/>
                <w:sz w:val="20"/>
                <w:szCs w:val="20"/>
                <w:lang w:eastAsia="en-US"/>
              </w:rPr>
              <w:t>Osobitné</w:t>
            </w:r>
            <w:r w:rsidRPr="00514702">
              <w:rPr>
                <w:rFonts w:eastAsia="MS Mincho" w:hint="default"/>
                <w:spacing w:val="30"/>
                <w:sz w:val="20"/>
                <w:szCs w:val="20"/>
                <w:lang w:eastAsia="en-US"/>
              </w:rPr>
              <w:t xml:space="preserve"> ustanovenia o </w:t>
            </w:r>
            <w:r w:rsidRPr="00514702">
              <w:rPr>
                <w:rFonts w:eastAsia="MS Mincho" w:hint="default"/>
                <w:spacing w:val="30"/>
                <w:sz w:val="20"/>
                <w:szCs w:val="20"/>
                <w:lang w:eastAsia="en-US"/>
              </w:rPr>
              <w:t>dokazovaní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§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288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/>
                <w:b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Sú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d môž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e vykonať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aj tie dô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kazy, ktoré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spotrebiteľ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nen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avrhol, ak je to nevyhnutné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pre rozhodnutie vo veci. Sú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d aj bez ná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vrhu obstará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alebo zabezpečí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taký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to dô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kaz.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§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289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/>
                <w:b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Spotrebiteľ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môž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e predlož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iť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alebo označ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iť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vš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etky skutoč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nosti a 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dô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kazy na preuká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zanie svojich tvrdení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najneskô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r do vyhlá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senia rozhodnutia vo veci samej. Ustanovenia o sudcovskej koncentrá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cii konania a zá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konnej koncentrá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cii konania sa nepouž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ijú.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§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290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Osobitné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ustanovenia o 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pojedná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vaní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/>
                <w:b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pStyle w:val="CommentText"/>
              <w:tabs>
                <w:tab w:val="left" w:pos="0"/>
              </w:tabs>
              <w:bidi w:val="0"/>
              <w:spacing w:after="0" w:line="240" w:lineRule="auto"/>
              <w:rPr>
                <w:rFonts w:ascii="Times New Roman" w:hAnsi="Times New Roman" w:hint="default"/>
              </w:rPr>
            </w:pPr>
            <w:r w:rsidRPr="00514702">
              <w:rPr>
                <w:rFonts w:ascii="Times New Roman" w:hAnsi="Times New Roman" w:hint="default"/>
              </w:rPr>
              <w:t>Sú</w:t>
            </w:r>
            <w:r w:rsidRPr="00514702">
              <w:rPr>
                <w:rFonts w:ascii="Times New Roman" w:hAnsi="Times New Roman" w:hint="default"/>
              </w:rPr>
              <w:t>d na prejednanie sporu nariadi pojedná</w:t>
            </w:r>
            <w:r w:rsidRPr="00514702">
              <w:rPr>
                <w:rFonts w:ascii="Times New Roman" w:hAnsi="Times New Roman" w:hint="default"/>
              </w:rPr>
              <w:t>vanie. Pojedná</w:t>
            </w:r>
            <w:r w:rsidRPr="00514702">
              <w:rPr>
                <w:rFonts w:ascii="Times New Roman" w:hAnsi="Times New Roman" w:hint="default"/>
              </w:rPr>
              <w:t>vanie nie je potrebné</w:t>
            </w:r>
            <w:r w:rsidRPr="00514702">
              <w:rPr>
                <w:rFonts w:ascii="Times New Roman" w:hAnsi="Times New Roman" w:hint="default"/>
              </w:rPr>
              <w:t xml:space="preserve"> nariadiť</w:t>
            </w:r>
            <w:r w:rsidRPr="00514702">
              <w:rPr>
                <w:rFonts w:ascii="Times New Roman" w:hAnsi="Times New Roman" w:hint="default"/>
              </w:rPr>
              <w:t>, ak</w:t>
            </w:r>
          </w:p>
          <w:p w:rsidR="00514702" w:rsidRPr="00514702" w:rsidP="00514702">
            <w:pPr>
              <w:pStyle w:val="Odsekzoznamu1"/>
              <w:numPr>
                <w:numId w:val="2"/>
              </w:numPr>
              <w:tabs>
                <w:tab w:val="left" w:pos="0"/>
                <w:tab w:val="num" w:pos="426"/>
                <w:tab w:val="clear" w:pos="786"/>
                <w:tab w:val="left" w:pos="851"/>
              </w:tabs>
              <w:bidi w:val="0"/>
              <w:spacing w:after="0" w:line="240" w:lineRule="auto"/>
              <w:ind w:left="0" w:firstLine="0"/>
              <w:contextualSpacing w:val="0"/>
              <w:rPr>
                <w:rFonts w:ascii="Times New Roman" w:hAnsi="Times New Roman" w:hint="default"/>
                <w:sz w:val="20"/>
                <w:szCs w:val="20"/>
                <w:lang w:val="sk-SK"/>
              </w:rPr>
            </w:pPr>
            <w:r w:rsidRPr="00514702">
              <w:rPr>
                <w:rFonts w:ascii="Times New Roman" w:hAnsi="Times New Roman" w:hint="default"/>
                <w:sz w:val="20"/>
                <w:szCs w:val="20"/>
                <w:lang w:val="sk-SK"/>
              </w:rPr>
              <w:t>sa vo veci rozhoduje rozsudkom pre zmeš</w:t>
            </w:r>
            <w:r w:rsidRPr="00514702">
              <w:rPr>
                <w:rFonts w:ascii="Times New Roman" w:hAnsi="Times New Roman" w:hint="default"/>
                <w:sz w:val="20"/>
                <w:szCs w:val="20"/>
                <w:lang w:val="sk-SK"/>
              </w:rPr>
              <w:t>kanie v </w:t>
            </w:r>
            <w:r w:rsidRPr="00514702">
              <w:rPr>
                <w:rFonts w:ascii="Times New Roman" w:hAnsi="Times New Roman" w:hint="default"/>
                <w:sz w:val="20"/>
                <w:szCs w:val="20"/>
                <w:lang w:val="sk-SK"/>
              </w:rPr>
              <w:t>prospech spotrebiteľ</w:t>
            </w:r>
            <w:r w:rsidRPr="00514702">
              <w:rPr>
                <w:rFonts w:ascii="Times New Roman" w:hAnsi="Times New Roman" w:hint="default"/>
                <w:sz w:val="20"/>
                <w:szCs w:val="20"/>
                <w:lang w:val="sk-SK"/>
              </w:rPr>
              <w:t xml:space="preserve">a, </w:t>
            </w:r>
          </w:p>
          <w:p w:rsidR="00514702" w:rsidRPr="00514702" w:rsidP="00514702">
            <w:pPr>
              <w:pStyle w:val="Odsekzoznamu1"/>
              <w:numPr>
                <w:numId w:val="2"/>
              </w:numPr>
              <w:tabs>
                <w:tab w:val="left" w:pos="0"/>
                <w:tab w:val="num" w:pos="426"/>
                <w:tab w:val="clear" w:pos="786"/>
                <w:tab w:val="left" w:pos="851"/>
              </w:tabs>
              <w:bidi w:val="0"/>
              <w:spacing w:after="0" w:line="240" w:lineRule="auto"/>
              <w:ind w:left="0" w:firstLine="0"/>
              <w:contextualSpacing w:val="0"/>
              <w:rPr>
                <w:rFonts w:ascii="Times New Roman" w:hAnsi="Times New Roman" w:hint="default"/>
                <w:sz w:val="20"/>
                <w:szCs w:val="20"/>
                <w:lang w:val="sk-SK"/>
              </w:rPr>
            </w:pPr>
            <w:r w:rsidRPr="00514702">
              <w:rPr>
                <w:rFonts w:ascii="Times New Roman" w:hAnsi="Times New Roman" w:hint="default"/>
                <w:sz w:val="20"/>
                <w:szCs w:val="20"/>
                <w:lang w:val="sk-SK"/>
              </w:rPr>
              <w:t>ide iba o </w:t>
            </w:r>
            <w:r w:rsidRPr="00514702">
              <w:rPr>
                <w:rFonts w:ascii="Times New Roman" w:hAnsi="Times New Roman" w:hint="default"/>
                <w:sz w:val="20"/>
                <w:szCs w:val="20"/>
                <w:lang w:val="sk-SK"/>
              </w:rPr>
              <w:t>otá</w:t>
            </w:r>
            <w:r w:rsidRPr="00514702">
              <w:rPr>
                <w:rFonts w:ascii="Times New Roman" w:hAnsi="Times New Roman" w:hint="default"/>
                <w:sz w:val="20"/>
                <w:szCs w:val="20"/>
                <w:lang w:val="sk-SK"/>
              </w:rPr>
              <w:t>zku prá</w:t>
            </w:r>
            <w:r w:rsidRPr="00514702">
              <w:rPr>
                <w:rFonts w:ascii="Times New Roman" w:hAnsi="Times New Roman" w:hint="default"/>
                <w:sz w:val="20"/>
                <w:szCs w:val="20"/>
                <w:lang w:val="sk-SK"/>
              </w:rPr>
              <w:t>vneho posú</w:t>
            </w:r>
            <w:r w:rsidRPr="00514702">
              <w:rPr>
                <w:rFonts w:ascii="Times New Roman" w:hAnsi="Times New Roman" w:hint="default"/>
                <w:sz w:val="20"/>
                <w:szCs w:val="20"/>
                <w:lang w:val="sk-SK"/>
              </w:rPr>
              <w:t>denia sporu, skutkové</w:t>
            </w:r>
            <w:r w:rsidRPr="00514702">
              <w:rPr>
                <w:rFonts w:ascii="Times New Roman" w:hAnsi="Times New Roman" w:hint="default"/>
                <w:sz w:val="20"/>
                <w:szCs w:val="20"/>
                <w:lang w:val="sk-SK"/>
              </w:rPr>
              <w:t xml:space="preserve"> tvrdenia strá</w:t>
            </w:r>
            <w:r w:rsidRPr="00514702">
              <w:rPr>
                <w:rFonts w:ascii="Times New Roman" w:hAnsi="Times New Roman" w:hint="default"/>
                <w:sz w:val="20"/>
                <w:szCs w:val="20"/>
                <w:lang w:val="sk-SK"/>
              </w:rPr>
              <w:t>n nie sú</w:t>
            </w:r>
            <w:r w:rsidRPr="00514702">
              <w:rPr>
                <w:rFonts w:ascii="Times New Roman" w:hAnsi="Times New Roman" w:hint="default"/>
                <w:sz w:val="20"/>
                <w:szCs w:val="20"/>
                <w:lang w:val="sk-SK"/>
              </w:rPr>
              <w:t xml:space="preserve"> sporné</w:t>
            </w:r>
            <w:r w:rsidRPr="00514702">
              <w:rPr>
                <w:rFonts w:ascii="Times New Roman" w:hAnsi="Times New Roman" w:hint="default"/>
                <w:sz w:val="20"/>
                <w:szCs w:val="20"/>
                <w:lang w:val="sk-SK"/>
              </w:rPr>
              <w:t xml:space="preserve"> a </w:t>
            </w:r>
            <w:r w:rsidRPr="00514702">
              <w:rPr>
                <w:rFonts w:ascii="Times New Roman" w:hAnsi="Times New Roman" w:hint="default"/>
                <w:sz w:val="20"/>
                <w:szCs w:val="20"/>
                <w:lang w:val="sk-SK"/>
              </w:rPr>
              <w:t>hodnota sporu neprevyš</w:t>
            </w:r>
            <w:r w:rsidRPr="00514702">
              <w:rPr>
                <w:rFonts w:ascii="Times New Roman" w:hAnsi="Times New Roman" w:hint="default"/>
                <w:sz w:val="20"/>
                <w:szCs w:val="20"/>
                <w:lang w:val="sk-SK"/>
              </w:rPr>
              <w:t xml:space="preserve">uje 1000 eur. </w:t>
            </w:r>
          </w:p>
          <w:p w:rsidR="00514702" w:rsidRPr="00514702" w:rsidP="00514702">
            <w:pPr>
              <w:tabs>
                <w:tab w:val="left" w:pos="0"/>
                <w:tab w:val="left" w:pos="4092"/>
              </w:tabs>
              <w:bidi w:val="0"/>
              <w:spacing w:after="0" w:line="240" w:lineRule="auto"/>
              <w:ind w:left="567"/>
              <w:rPr>
                <w:rFonts w:eastAsia="MS Mincho"/>
                <w:sz w:val="20"/>
                <w:szCs w:val="20"/>
              </w:rPr>
            </w:pPr>
            <w:r w:rsidRPr="00514702">
              <w:rPr>
                <w:rFonts w:eastAsia="MS Mincho"/>
                <w:sz w:val="20"/>
                <w:szCs w:val="20"/>
              </w:rPr>
              <w:tab/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pacing w:val="30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pacing w:val="30"/>
                <w:sz w:val="20"/>
                <w:szCs w:val="20"/>
                <w:lang w:eastAsia="en-US"/>
              </w:rPr>
              <w:t>Osobitné</w:t>
            </w:r>
            <w:r w:rsidRPr="00514702">
              <w:rPr>
                <w:rFonts w:eastAsia="MS Mincho" w:hint="default"/>
                <w:spacing w:val="30"/>
                <w:sz w:val="20"/>
                <w:szCs w:val="20"/>
                <w:lang w:eastAsia="en-US"/>
              </w:rPr>
              <w:t xml:space="preserve"> ustanovenia o rozhodnutiach</w:t>
            </w:r>
          </w:p>
          <w:p w:rsidR="00514702" w:rsidRPr="00514702" w:rsidP="00514702">
            <w:pPr>
              <w:tabs>
                <w:tab w:val="left" w:pos="0"/>
                <w:tab w:val="left" w:pos="5940"/>
              </w:tabs>
              <w:bidi w:val="0"/>
              <w:spacing w:after="0" w:line="240" w:lineRule="auto"/>
              <w:rPr>
                <w:rFonts w:eastAsia="MS Mincho"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§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291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/>
                <w:b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numPr>
                <w:numId w:val="4"/>
              </w:numPr>
              <w:tabs>
                <w:tab w:val="left" w:pos="0"/>
                <w:tab w:val="left" w:pos="1134"/>
              </w:tabs>
              <w:bidi w:val="0"/>
              <w:spacing w:after="0" w:line="240" w:lineRule="auto"/>
              <w:ind w:left="0" w:firstLine="0"/>
              <w:rPr>
                <w:rFonts w:eastAsia="MS Mincho" w:hint="default"/>
                <w:color w:val="000000"/>
                <w:sz w:val="20"/>
                <w:szCs w:val="20"/>
              </w:rPr>
            </w:pP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Sú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d môž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e v rozsudku, ktorý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 xml:space="preserve"> sa tý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ka spotrebiteľ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ské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ho sporu, aj bez ná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vrhu vysloviť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, ž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e urč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itá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 xml:space="preserve"> podmienka použí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vaná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 xml:space="preserve"> dodá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vateľ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om v spotrebiteľ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skej zmluve alebo v </w:t>
            </w:r>
            <w:r w:rsidRPr="00514702">
              <w:rPr>
                <w:rFonts w:hint="default"/>
                <w:sz w:val="20"/>
                <w:szCs w:val="20"/>
              </w:rPr>
              <w:t>iný</w:t>
            </w:r>
            <w:r w:rsidRPr="00514702">
              <w:rPr>
                <w:rFonts w:hint="default"/>
                <w:sz w:val="20"/>
                <w:szCs w:val="20"/>
              </w:rPr>
              <w:t>ch zmluvný</w:t>
            </w:r>
            <w:r w:rsidRPr="00514702">
              <w:rPr>
                <w:rFonts w:hint="default"/>
                <w:sz w:val="20"/>
                <w:szCs w:val="20"/>
              </w:rPr>
              <w:t>ch d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okumentoch sú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visiacich so spotrebiteľ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skou zmluvou je neprijateľ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ná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; v takom prí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pade sú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d u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vedie vo vý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roku rozsudku znenie tejto zmluvnej podmienky, ako bolo dohodnuté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 xml:space="preserve"> v spotrebiteľ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skej zmluve alebo v </w:t>
            </w:r>
            <w:r w:rsidRPr="00514702">
              <w:rPr>
                <w:rFonts w:hint="default"/>
                <w:sz w:val="20"/>
                <w:szCs w:val="20"/>
              </w:rPr>
              <w:t>iný</w:t>
            </w:r>
            <w:r w:rsidRPr="00514702">
              <w:rPr>
                <w:rFonts w:hint="default"/>
                <w:sz w:val="20"/>
                <w:szCs w:val="20"/>
              </w:rPr>
              <w:t>ch zmluvný</w:t>
            </w:r>
            <w:r w:rsidRPr="00514702">
              <w:rPr>
                <w:rFonts w:hint="default"/>
                <w:sz w:val="20"/>
                <w:szCs w:val="20"/>
              </w:rPr>
              <w:t>ch d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okumentoch sú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visiacich so spotrebiteľ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skou zmluvou.</w:t>
            </w:r>
          </w:p>
          <w:p w:rsidR="00514702" w:rsidRPr="00514702" w:rsidP="00514702">
            <w:pPr>
              <w:tabs>
                <w:tab w:val="left" w:pos="0"/>
                <w:tab w:val="left" w:pos="1134"/>
              </w:tabs>
              <w:bidi w:val="0"/>
              <w:spacing w:after="0" w:line="240" w:lineRule="auto"/>
              <w:ind w:left="709"/>
              <w:rPr>
                <w:rFonts w:eastAsia="MS Mincho"/>
                <w:color w:val="000000"/>
                <w:sz w:val="20"/>
                <w:szCs w:val="20"/>
              </w:rPr>
            </w:pPr>
          </w:p>
          <w:p w:rsidR="00514702" w:rsidRPr="00514702" w:rsidP="00514702">
            <w:pPr>
              <w:numPr>
                <w:numId w:val="4"/>
              </w:numPr>
              <w:tabs>
                <w:tab w:val="left" w:pos="0"/>
                <w:tab w:val="left" w:pos="1134"/>
              </w:tabs>
              <w:bidi w:val="0"/>
              <w:spacing w:after="0" w:line="240" w:lineRule="auto"/>
              <w:ind w:left="0" w:firstLine="0"/>
              <w:rPr>
                <w:rFonts w:eastAsia="MS Mincho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Ak sú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d urč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il niektorú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 xml:space="preserve"> zmluvnú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 xml:space="preserve"> podmienku v spotrebiteľ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skej zmluve, alebo v </w:t>
            </w:r>
            <w:r w:rsidRPr="00514702">
              <w:rPr>
                <w:rFonts w:hint="default"/>
                <w:sz w:val="20"/>
                <w:szCs w:val="20"/>
              </w:rPr>
              <w:t>iný</w:t>
            </w:r>
            <w:r w:rsidRPr="00514702">
              <w:rPr>
                <w:rFonts w:hint="default"/>
                <w:sz w:val="20"/>
                <w:szCs w:val="20"/>
              </w:rPr>
              <w:t>ch zmluvný</w:t>
            </w:r>
            <w:r w:rsidRPr="00514702">
              <w:rPr>
                <w:rFonts w:hint="default"/>
                <w:sz w:val="20"/>
                <w:szCs w:val="20"/>
              </w:rPr>
              <w:t>ch d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okumentoch sú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visiacich so spotrebiteľ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skou zmluvou za neplatnú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 xml:space="preserve"> z dô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vodu neprijateľ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nosti takejto podmienky, nepriznal plnenie dodá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vateľ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ovi z dô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vodu takejto podmienky alebo mu na zá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klade takejto podmienky ulož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il povinnosť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 xml:space="preserve"> vydať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 xml:space="preserve"> spotrebiteľ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ov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i bezdô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vodné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 xml:space="preserve"> obohatenie, nahradiť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 xml:space="preserve"> š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kodu alebo zaplatiť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 xml:space="preserve"> primerané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 xml:space="preserve"> finanč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né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 xml:space="preserve"> zadosť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uč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inenie, sú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d aj bez ná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vrhu vý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slovne uvedie vo vý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roku rozsudku znenie tejto zmluvnej podmienky, ako bolo dohodnuté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 xml:space="preserve"> v spotrebiteľ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skej zmluve alebo v </w:t>
            </w:r>
            <w:r w:rsidRPr="00514702">
              <w:rPr>
                <w:rFonts w:hint="default"/>
                <w:sz w:val="20"/>
                <w:szCs w:val="20"/>
              </w:rPr>
              <w:t>iný</w:t>
            </w:r>
            <w:r w:rsidRPr="00514702">
              <w:rPr>
                <w:rFonts w:hint="default"/>
                <w:sz w:val="20"/>
                <w:szCs w:val="20"/>
              </w:rPr>
              <w:t>ch zmluvný</w:t>
            </w:r>
            <w:r w:rsidRPr="00514702">
              <w:rPr>
                <w:rFonts w:hint="default"/>
                <w:sz w:val="20"/>
                <w:szCs w:val="20"/>
              </w:rPr>
              <w:t>ch d</w:t>
            </w:r>
            <w:r w:rsidRPr="00514702">
              <w:rPr>
                <w:rFonts w:eastAsia="MS Mincho"/>
                <w:color w:val="000000"/>
                <w:sz w:val="20"/>
                <w:szCs w:val="20"/>
              </w:rPr>
              <w:t xml:space="preserve">okumentoch 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sú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visiacich so spotrebiteľ</w:t>
            </w:r>
            <w:r w:rsidRPr="00514702">
              <w:rPr>
                <w:rFonts w:eastAsia="MS Mincho" w:hint="default"/>
                <w:color w:val="000000"/>
                <w:sz w:val="20"/>
                <w:szCs w:val="20"/>
              </w:rPr>
              <w:t>skou zmluvou.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/>
                <w:b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§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292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/>
                <w:b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(1) Ustanovenia o rozsudku pre zmeš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kanie sa nepouž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ijú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, ak by mal byť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tento rozsudok vydaný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v 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neprospech spotrebiteľ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a.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514702">
              <w:rPr>
                <w:rFonts w:eastAsia="MS Mincho"/>
                <w:sz w:val="20"/>
                <w:szCs w:val="20"/>
                <w:lang w:eastAsia="en-US"/>
              </w:rPr>
              <w:t xml:space="preserve">(2) </w:t>
            </w:r>
            <w:r w:rsidRPr="00514702">
              <w:rPr>
                <w:rFonts w:hint="default"/>
                <w:sz w:val="20"/>
                <w:szCs w:val="20"/>
              </w:rPr>
              <w:t>Ak sa uplatň</w:t>
            </w:r>
            <w:r w:rsidRPr="00514702">
              <w:rPr>
                <w:rFonts w:hint="default"/>
                <w:sz w:val="20"/>
                <w:szCs w:val="20"/>
              </w:rPr>
              <w:t>uje prá</w:t>
            </w:r>
            <w:r w:rsidRPr="00514702">
              <w:rPr>
                <w:rFonts w:hint="default"/>
                <w:sz w:val="20"/>
                <w:szCs w:val="20"/>
              </w:rPr>
              <w:t>vo na zaplatenie peň</w:t>
            </w:r>
            <w:r w:rsidRPr="00514702">
              <w:rPr>
                <w:rFonts w:hint="default"/>
                <w:sz w:val="20"/>
                <w:szCs w:val="20"/>
              </w:rPr>
              <w:t>až</w:t>
            </w:r>
            <w:r w:rsidRPr="00514702">
              <w:rPr>
                <w:rFonts w:hint="default"/>
                <w:sz w:val="20"/>
                <w:szCs w:val="20"/>
              </w:rPr>
              <w:t>nej sumy zo spotrebiteľ</w:t>
            </w:r>
            <w:r w:rsidRPr="00514702">
              <w:rPr>
                <w:rFonts w:hint="default"/>
                <w:sz w:val="20"/>
                <w:szCs w:val="20"/>
              </w:rPr>
              <w:t>skej zmluvy a ž</w:t>
            </w:r>
            <w:r w:rsidRPr="00514702">
              <w:rPr>
                <w:rFonts w:hint="default"/>
                <w:sz w:val="20"/>
                <w:szCs w:val="20"/>
              </w:rPr>
              <w:t>alovan</w:t>
            </w:r>
            <w:r w:rsidRPr="00514702">
              <w:rPr>
                <w:rFonts w:hint="default"/>
                <w:sz w:val="20"/>
                <w:szCs w:val="20"/>
              </w:rPr>
              <w:t>ý</w:t>
            </w:r>
            <w:r w:rsidRPr="00514702">
              <w:rPr>
                <w:rFonts w:hint="default"/>
                <w:sz w:val="20"/>
                <w:szCs w:val="20"/>
              </w:rPr>
              <w:t>m je spotrebiteľ</w:t>
            </w:r>
            <w:r w:rsidRPr="00514702">
              <w:rPr>
                <w:rFonts w:hint="default"/>
                <w:sz w:val="20"/>
                <w:szCs w:val="20"/>
              </w:rPr>
              <w:t>, sú</w:t>
            </w:r>
            <w:r w:rsidRPr="00514702">
              <w:rPr>
                <w:rFonts w:hint="default"/>
                <w:sz w:val="20"/>
                <w:szCs w:val="20"/>
              </w:rPr>
              <w:t>d nevydá</w:t>
            </w:r>
            <w:r w:rsidRPr="00514702">
              <w:rPr>
                <w:rFonts w:hint="default"/>
                <w:sz w:val="20"/>
                <w:szCs w:val="20"/>
              </w:rPr>
              <w:t xml:space="preserve"> platobný</w:t>
            </w:r>
            <w:r w:rsidRPr="00514702">
              <w:rPr>
                <w:rFonts w:hint="default"/>
                <w:sz w:val="20"/>
                <w:szCs w:val="20"/>
              </w:rPr>
              <w:t xml:space="preserve"> rozkaz, ak zmluva obsahuje neprijateľ</w:t>
            </w:r>
            <w:r w:rsidRPr="00514702">
              <w:rPr>
                <w:rFonts w:hint="default"/>
                <w:sz w:val="20"/>
                <w:szCs w:val="20"/>
              </w:rPr>
              <w:t>nú</w:t>
            </w:r>
            <w:r w:rsidRPr="00514702">
              <w:rPr>
                <w:rFonts w:hint="default"/>
                <w:sz w:val="20"/>
                <w:szCs w:val="20"/>
              </w:rPr>
              <w:t xml:space="preserve"> podmienku.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§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293</w:t>
            </w: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/>
                <w:b/>
                <w:sz w:val="20"/>
                <w:szCs w:val="20"/>
                <w:lang w:eastAsia="en-US"/>
              </w:rPr>
            </w:pPr>
          </w:p>
          <w:p w:rsidR="00514702" w:rsidRPr="00514702" w:rsidP="00514702">
            <w:pPr>
              <w:tabs>
                <w:tab w:val="left" w:pos="0"/>
              </w:tabs>
              <w:bidi w:val="0"/>
              <w:spacing w:after="0" w:line="240" w:lineRule="auto"/>
              <w:rPr>
                <w:rFonts w:eastAsia="MS Mincho" w:hint="default"/>
                <w:sz w:val="20"/>
                <w:szCs w:val="20"/>
                <w:lang w:eastAsia="en-US"/>
              </w:rPr>
            </w:pP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Na konanie podľ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a tohto oddielu sa primerane použ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ijú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vš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eobecné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ustanovenia o 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konaní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>, ak nie je uvedené</w:t>
            </w:r>
            <w:r w:rsidRPr="00514702">
              <w:rPr>
                <w:rFonts w:eastAsia="MS Mincho" w:hint="default"/>
                <w:sz w:val="20"/>
                <w:szCs w:val="20"/>
                <w:lang w:eastAsia="en-US"/>
              </w:rPr>
              <w:t xml:space="preserve"> inak. </w:t>
            </w:r>
          </w:p>
          <w:p w:rsidR="00553EA6" w:rsidRPr="006A6B3B" w:rsidP="00CB3F45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 w:rsidR="00AD2AA4">
              <w:rPr>
                <w:rFonts w:hint="default"/>
                <w:sz w:val="20"/>
                <w:szCs w:val="20"/>
              </w:rPr>
              <w:t>Ú</w:t>
            </w: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>
        <w:tblPrEx>
          <w:tblW w:w="4720" w:type="pct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rFonts w:hint="default"/>
                <w:sz w:val="20"/>
                <w:szCs w:val="20"/>
              </w:rPr>
              <w:t>Č</w:t>
            </w:r>
            <w:r w:rsidRPr="006A6B3B">
              <w:rPr>
                <w:rFonts w:hint="default"/>
                <w:sz w:val="20"/>
                <w:szCs w:val="20"/>
              </w:rPr>
              <w:t>:</w:t>
            </w:r>
            <w:r w:rsidRPr="006A6B3B" w:rsidR="001A54F2">
              <w:rPr>
                <w:sz w:val="20"/>
                <w:szCs w:val="20"/>
              </w:rPr>
              <w:t xml:space="preserve"> </w:t>
            </w:r>
            <w:r w:rsidRPr="006A6B3B">
              <w:rPr>
                <w:sz w:val="20"/>
                <w:szCs w:val="20"/>
              </w:rPr>
              <w:t>7</w:t>
            </w: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sz w:val="20"/>
                <w:szCs w:val="20"/>
              </w:rPr>
              <w:t>O:</w:t>
            </w:r>
            <w:r w:rsidRPr="006A6B3B" w:rsidR="001A54F2">
              <w:rPr>
                <w:sz w:val="20"/>
                <w:szCs w:val="20"/>
              </w:rPr>
              <w:t xml:space="preserve"> </w:t>
            </w:r>
            <w:r w:rsidRPr="006A6B3B">
              <w:rPr>
                <w:sz w:val="20"/>
                <w:szCs w:val="20"/>
              </w:rPr>
              <w:t>1</w:t>
            </w: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 w:rsidP="001A54F2">
            <w:pPr>
              <w:bidi w:val="0"/>
              <w:spacing w:after="0" w:line="240" w:lineRule="auto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sz w:val="20"/>
                <w:szCs w:val="20"/>
              </w:rPr>
              <w:t>O:</w:t>
            </w:r>
            <w:r w:rsidRPr="006A6B3B" w:rsidR="001A54F2">
              <w:rPr>
                <w:sz w:val="20"/>
                <w:szCs w:val="20"/>
              </w:rPr>
              <w:t xml:space="preserve"> </w:t>
            </w:r>
            <w:r w:rsidRPr="006A6B3B">
              <w:rPr>
                <w:sz w:val="20"/>
                <w:szCs w:val="20"/>
              </w:rPr>
              <w:t>2</w:t>
            </w: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 w:rsidP="001A54F2">
            <w:pPr>
              <w:bidi w:val="0"/>
              <w:spacing w:after="0" w:line="240" w:lineRule="auto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sz w:val="20"/>
                <w:szCs w:val="20"/>
              </w:rPr>
              <w:t>O:</w:t>
            </w:r>
            <w:r w:rsidRPr="006A6B3B" w:rsidR="001A54F2">
              <w:rPr>
                <w:sz w:val="20"/>
                <w:szCs w:val="20"/>
              </w:rPr>
              <w:t xml:space="preserve"> </w:t>
            </w:r>
            <w:r w:rsidRPr="006A6B3B">
              <w:rPr>
                <w:sz w:val="20"/>
                <w:szCs w:val="20"/>
              </w:rPr>
              <w:t>3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pStyle w:val="BodyText"/>
              <w:tabs>
                <w:tab w:val="left" w:pos="426"/>
              </w:tabs>
              <w:bidi w:val="0"/>
              <w:spacing w:after="0" w:line="240" w:lineRule="auto"/>
              <w:rPr>
                <w:sz w:val="20"/>
                <w:szCs w:val="20"/>
              </w:rPr>
            </w:pPr>
            <w:r w:rsidRPr="006A6B3B" w:rsidR="001A54F2">
              <w:rPr>
                <w:rFonts w:hint="default"/>
                <w:sz w:val="20"/>
                <w:szCs w:val="20"/>
              </w:rPr>
              <w:t>Č</w:t>
            </w:r>
            <w:r w:rsidRPr="006A6B3B" w:rsidR="001A54F2">
              <w:rPr>
                <w:rFonts w:hint="default"/>
                <w:sz w:val="20"/>
                <w:szCs w:val="20"/>
              </w:rPr>
              <w:t>lenské</w:t>
            </w:r>
            <w:r w:rsidRPr="006A6B3B" w:rsidR="001A54F2">
              <w:rPr>
                <w:rFonts w:hint="default"/>
                <w:sz w:val="20"/>
                <w:szCs w:val="20"/>
              </w:rPr>
              <w:t xml:space="preserve"> š</w:t>
            </w:r>
            <w:r w:rsidRPr="006A6B3B" w:rsidR="001A54F2">
              <w:rPr>
                <w:rFonts w:hint="default"/>
                <w:sz w:val="20"/>
                <w:szCs w:val="20"/>
              </w:rPr>
              <w:t>tá</w:t>
            </w:r>
            <w:r w:rsidRPr="006A6B3B" w:rsidR="001A54F2">
              <w:rPr>
                <w:rFonts w:hint="default"/>
                <w:sz w:val="20"/>
                <w:szCs w:val="20"/>
              </w:rPr>
              <w:t>ty zabezpeč</w:t>
            </w:r>
            <w:r w:rsidRPr="006A6B3B" w:rsidR="001A54F2">
              <w:rPr>
                <w:rFonts w:hint="default"/>
                <w:sz w:val="20"/>
                <w:szCs w:val="20"/>
              </w:rPr>
              <w:t>ia, aby v zá</w:t>
            </w:r>
            <w:r w:rsidRPr="006A6B3B" w:rsidR="001A54F2">
              <w:rPr>
                <w:rFonts w:hint="default"/>
                <w:sz w:val="20"/>
                <w:szCs w:val="20"/>
              </w:rPr>
              <w:t>ujme spotrebiteľ</w:t>
            </w:r>
            <w:r w:rsidRPr="006A6B3B" w:rsidR="001A54F2">
              <w:rPr>
                <w:rFonts w:hint="default"/>
                <w:sz w:val="20"/>
                <w:szCs w:val="20"/>
              </w:rPr>
              <w:t>ov a subjektov hospodá</w:t>
            </w:r>
            <w:r w:rsidRPr="006A6B3B" w:rsidR="001A54F2">
              <w:rPr>
                <w:rFonts w:hint="default"/>
                <w:sz w:val="20"/>
                <w:szCs w:val="20"/>
              </w:rPr>
              <w:t>rskej súť</w:t>
            </w:r>
            <w:r w:rsidRPr="006A6B3B" w:rsidR="001A54F2">
              <w:rPr>
                <w:rFonts w:hint="default"/>
                <w:sz w:val="20"/>
                <w:szCs w:val="20"/>
              </w:rPr>
              <w:t>až</w:t>
            </w:r>
            <w:r w:rsidRPr="006A6B3B" w:rsidR="001A54F2">
              <w:rPr>
                <w:rFonts w:hint="default"/>
                <w:sz w:val="20"/>
                <w:szCs w:val="20"/>
              </w:rPr>
              <w:t>e existovali primerané</w:t>
            </w:r>
            <w:r w:rsidRPr="006A6B3B" w:rsidR="001A54F2">
              <w:rPr>
                <w:rFonts w:hint="default"/>
                <w:sz w:val="20"/>
                <w:szCs w:val="20"/>
              </w:rPr>
              <w:t xml:space="preserve"> a úč</w:t>
            </w:r>
            <w:r w:rsidRPr="006A6B3B" w:rsidR="001A54F2">
              <w:rPr>
                <w:rFonts w:hint="default"/>
                <w:sz w:val="20"/>
                <w:szCs w:val="20"/>
              </w:rPr>
              <w:t>inné</w:t>
            </w:r>
            <w:r w:rsidRPr="006A6B3B" w:rsidR="001A54F2">
              <w:rPr>
                <w:rFonts w:hint="default"/>
                <w:sz w:val="20"/>
                <w:szCs w:val="20"/>
              </w:rPr>
              <w:t xml:space="preserve"> prostriedky, ktoré</w:t>
            </w:r>
            <w:r w:rsidRPr="006A6B3B" w:rsidR="001A54F2">
              <w:rPr>
                <w:rFonts w:hint="default"/>
                <w:sz w:val="20"/>
                <w:szCs w:val="20"/>
              </w:rPr>
              <w:t xml:space="preserve"> by zabrá</w:t>
            </w:r>
            <w:r w:rsidRPr="006A6B3B" w:rsidR="001A54F2">
              <w:rPr>
                <w:rFonts w:hint="default"/>
                <w:sz w:val="20"/>
                <w:szCs w:val="20"/>
              </w:rPr>
              <w:t>nili sú</w:t>
            </w:r>
            <w:r w:rsidRPr="006A6B3B" w:rsidR="001A54F2">
              <w:rPr>
                <w:rFonts w:hint="default"/>
                <w:sz w:val="20"/>
                <w:szCs w:val="20"/>
              </w:rPr>
              <w:t>vislé</w:t>
            </w:r>
            <w:r w:rsidRPr="006A6B3B" w:rsidR="001A54F2">
              <w:rPr>
                <w:rFonts w:hint="default"/>
                <w:sz w:val="20"/>
                <w:szCs w:val="20"/>
              </w:rPr>
              <w:t>mu uplatň</w:t>
            </w:r>
            <w:r w:rsidRPr="006A6B3B" w:rsidR="001A54F2">
              <w:rPr>
                <w:rFonts w:hint="default"/>
                <w:sz w:val="20"/>
                <w:szCs w:val="20"/>
              </w:rPr>
              <w:t>ovaniu nekalý</w:t>
            </w:r>
            <w:r w:rsidRPr="006A6B3B" w:rsidR="001A54F2">
              <w:rPr>
                <w:rFonts w:hint="default"/>
                <w:sz w:val="20"/>
                <w:szCs w:val="20"/>
              </w:rPr>
              <w:t>ch podmienok v zmluvá</w:t>
            </w:r>
            <w:r w:rsidRPr="006A6B3B" w:rsidR="001A54F2">
              <w:rPr>
                <w:rFonts w:hint="default"/>
                <w:sz w:val="20"/>
                <w:szCs w:val="20"/>
              </w:rPr>
              <w:t>ch uzatvorený</w:t>
            </w:r>
            <w:r w:rsidRPr="006A6B3B" w:rsidR="001A54F2">
              <w:rPr>
                <w:rFonts w:hint="default"/>
                <w:sz w:val="20"/>
                <w:szCs w:val="20"/>
              </w:rPr>
              <w:t>ch so spotrebiteľ</w:t>
            </w:r>
            <w:r w:rsidRPr="006A6B3B" w:rsidR="001A54F2">
              <w:rPr>
                <w:rFonts w:hint="default"/>
                <w:sz w:val="20"/>
                <w:szCs w:val="20"/>
              </w:rPr>
              <w:t>mi zo strany predajcov alebo dodá</w:t>
            </w:r>
            <w:r w:rsidRPr="006A6B3B" w:rsidR="001A54F2">
              <w:rPr>
                <w:rFonts w:hint="default"/>
                <w:sz w:val="20"/>
                <w:szCs w:val="20"/>
              </w:rPr>
              <w:t>vateľ</w:t>
            </w:r>
            <w:r w:rsidRPr="006A6B3B" w:rsidR="001A54F2">
              <w:rPr>
                <w:rFonts w:hint="default"/>
                <w:sz w:val="20"/>
                <w:szCs w:val="20"/>
              </w:rPr>
              <w:t>ov.</w:t>
            </w:r>
          </w:p>
          <w:p w:rsidR="001A54F2" w:rsidRPr="006A6B3B" w:rsidP="001A54F2">
            <w:pPr>
              <w:pStyle w:val="BodyText"/>
              <w:tabs>
                <w:tab w:val="left" w:pos="426"/>
              </w:tabs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6A6B3B">
              <w:rPr>
                <w:rFonts w:hint="default"/>
                <w:sz w:val="20"/>
                <w:szCs w:val="20"/>
              </w:rPr>
              <w:t>Prostriedky uvedené</w:t>
            </w:r>
            <w:r w:rsidRPr="006A6B3B">
              <w:rPr>
                <w:rFonts w:hint="default"/>
                <w:sz w:val="20"/>
                <w:szCs w:val="20"/>
              </w:rPr>
              <w:t xml:space="preserve"> v odseku 1 zahrň</w:t>
            </w:r>
            <w:r w:rsidRPr="006A6B3B">
              <w:rPr>
                <w:rFonts w:hint="default"/>
                <w:sz w:val="20"/>
                <w:szCs w:val="20"/>
              </w:rPr>
              <w:t>ujú</w:t>
            </w:r>
            <w:r w:rsidRPr="006A6B3B">
              <w:rPr>
                <w:rFonts w:hint="default"/>
                <w:sz w:val="20"/>
                <w:szCs w:val="20"/>
              </w:rPr>
              <w:t xml:space="preserve"> ustanovenia, podľ</w:t>
            </w:r>
            <w:r w:rsidRPr="006A6B3B">
              <w:rPr>
                <w:rFonts w:hint="default"/>
                <w:sz w:val="20"/>
                <w:szCs w:val="20"/>
              </w:rPr>
              <w:t>a ktorý</w:t>
            </w:r>
            <w:r w:rsidRPr="006A6B3B">
              <w:rPr>
                <w:rFonts w:hint="default"/>
                <w:sz w:val="20"/>
                <w:szCs w:val="20"/>
              </w:rPr>
              <w:t>ch osoby alebo organizá</w:t>
            </w:r>
            <w:r w:rsidRPr="006A6B3B">
              <w:rPr>
                <w:rFonts w:hint="default"/>
                <w:sz w:val="20"/>
                <w:szCs w:val="20"/>
              </w:rPr>
              <w:t>cie s oprá</w:t>
            </w:r>
            <w:r w:rsidRPr="006A6B3B">
              <w:rPr>
                <w:rFonts w:hint="default"/>
                <w:sz w:val="20"/>
                <w:szCs w:val="20"/>
              </w:rPr>
              <w:t>vnený</w:t>
            </w:r>
            <w:r w:rsidRPr="006A6B3B">
              <w:rPr>
                <w:rFonts w:hint="default"/>
                <w:sz w:val="20"/>
                <w:szCs w:val="20"/>
              </w:rPr>
              <w:t>m zá</w:t>
            </w:r>
            <w:r w:rsidRPr="006A6B3B">
              <w:rPr>
                <w:rFonts w:hint="default"/>
                <w:sz w:val="20"/>
                <w:szCs w:val="20"/>
              </w:rPr>
              <w:t>ujmom podľ</w:t>
            </w:r>
            <w:r w:rsidRPr="006A6B3B">
              <w:rPr>
                <w:rFonts w:hint="default"/>
                <w:sz w:val="20"/>
                <w:szCs w:val="20"/>
              </w:rPr>
              <w:t>a prí</w:t>
            </w:r>
            <w:r w:rsidRPr="006A6B3B">
              <w:rPr>
                <w:rFonts w:hint="default"/>
                <w:sz w:val="20"/>
                <w:szCs w:val="20"/>
              </w:rPr>
              <w:t>sluš</w:t>
            </w:r>
            <w:r w:rsidRPr="006A6B3B">
              <w:rPr>
                <w:rFonts w:hint="default"/>
                <w:sz w:val="20"/>
                <w:szCs w:val="20"/>
              </w:rPr>
              <w:t>né</w:t>
            </w:r>
            <w:r w:rsidRPr="006A6B3B">
              <w:rPr>
                <w:rFonts w:hint="default"/>
                <w:sz w:val="20"/>
                <w:szCs w:val="20"/>
              </w:rPr>
              <w:t>ho vnú</w:t>
            </w:r>
            <w:r w:rsidRPr="006A6B3B">
              <w:rPr>
                <w:rFonts w:hint="default"/>
                <w:sz w:val="20"/>
                <w:szCs w:val="20"/>
              </w:rPr>
              <w:t>troš</w:t>
            </w:r>
            <w:r w:rsidRPr="006A6B3B">
              <w:rPr>
                <w:rFonts w:hint="default"/>
                <w:sz w:val="20"/>
                <w:szCs w:val="20"/>
              </w:rPr>
              <w:t>tá</w:t>
            </w:r>
            <w:r w:rsidRPr="006A6B3B">
              <w:rPr>
                <w:rFonts w:hint="default"/>
                <w:sz w:val="20"/>
                <w:szCs w:val="20"/>
              </w:rPr>
              <w:t>tneho prá</w:t>
            </w:r>
            <w:r w:rsidRPr="006A6B3B">
              <w:rPr>
                <w:rFonts w:hint="default"/>
                <w:sz w:val="20"/>
                <w:szCs w:val="20"/>
              </w:rPr>
              <w:t>va na ochranu spotrebiteľ</w:t>
            </w:r>
            <w:r w:rsidRPr="006A6B3B">
              <w:rPr>
                <w:rFonts w:hint="default"/>
                <w:sz w:val="20"/>
                <w:szCs w:val="20"/>
              </w:rPr>
              <w:t>ov, môž</w:t>
            </w:r>
            <w:r w:rsidRPr="006A6B3B">
              <w:rPr>
                <w:rFonts w:hint="default"/>
                <w:sz w:val="20"/>
                <w:szCs w:val="20"/>
              </w:rPr>
              <w:t>u pož</w:t>
            </w:r>
            <w:r w:rsidRPr="006A6B3B">
              <w:rPr>
                <w:rFonts w:hint="default"/>
                <w:sz w:val="20"/>
                <w:szCs w:val="20"/>
              </w:rPr>
              <w:t>iadať</w:t>
            </w:r>
            <w:r w:rsidRPr="006A6B3B">
              <w:rPr>
                <w:rFonts w:hint="default"/>
                <w:sz w:val="20"/>
                <w:szCs w:val="20"/>
              </w:rPr>
              <w:t xml:space="preserve"> sú</w:t>
            </w:r>
            <w:r w:rsidRPr="006A6B3B">
              <w:rPr>
                <w:rFonts w:hint="default"/>
                <w:sz w:val="20"/>
                <w:szCs w:val="20"/>
              </w:rPr>
              <w:t>dy alebo prí</w:t>
            </w:r>
            <w:r w:rsidRPr="006A6B3B">
              <w:rPr>
                <w:rFonts w:hint="default"/>
                <w:sz w:val="20"/>
                <w:szCs w:val="20"/>
              </w:rPr>
              <w:t>sluš</w:t>
            </w:r>
            <w:r w:rsidRPr="006A6B3B">
              <w:rPr>
                <w:rFonts w:hint="default"/>
                <w:sz w:val="20"/>
                <w:szCs w:val="20"/>
              </w:rPr>
              <w:t>né</w:t>
            </w:r>
            <w:r w:rsidRPr="006A6B3B">
              <w:rPr>
                <w:rFonts w:hint="default"/>
                <w:sz w:val="20"/>
                <w:szCs w:val="20"/>
              </w:rPr>
              <w:t xml:space="preserve"> sp</w:t>
            </w:r>
            <w:r w:rsidRPr="006A6B3B">
              <w:rPr>
                <w:rFonts w:hint="default"/>
                <w:sz w:val="20"/>
                <w:szCs w:val="20"/>
              </w:rPr>
              <w:t>rá</w:t>
            </w:r>
            <w:r w:rsidRPr="006A6B3B">
              <w:rPr>
                <w:rFonts w:hint="default"/>
                <w:sz w:val="20"/>
                <w:szCs w:val="20"/>
              </w:rPr>
              <w:t>vne orgá</w:t>
            </w:r>
            <w:r w:rsidRPr="006A6B3B">
              <w:rPr>
                <w:rFonts w:hint="default"/>
                <w:sz w:val="20"/>
                <w:szCs w:val="20"/>
              </w:rPr>
              <w:t>ny o rozhodnutie, č</w:t>
            </w:r>
            <w:r w:rsidRPr="006A6B3B">
              <w:rPr>
                <w:rFonts w:hint="default"/>
                <w:sz w:val="20"/>
                <w:szCs w:val="20"/>
              </w:rPr>
              <w:t>i sú</w:t>
            </w:r>
            <w:r w:rsidRPr="006A6B3B">
              <w:rPr>
                <w:rFonts w:hint="default"/>
                <w:sz w:val="20"/>
                <w:szCs w:val="20"/>
              </w:rPr>
              <w:t xml:space="preserve"> zmluvné</w:t>
            </w:r>
            <w:r w:rsidRPr="006A6B3B">
              <w:rPr>
                <w:rFonts w:hint="default"/>
                <w:sz w:val="20"/>
                <w:szCs w:val="20"/>
              </w:rPr>
              <w:t xml:space="preserve"> podmienky navrhované</w:t>
            </w:r>
            <w:r w:rsidRPr="006A6B3B">
              <w:rPr>
                <w:rFonts w:hint="default"/>
                <w:sz w:val="20"/>
                <w:szCs w:val="20"/>
              </w:rPr>
              <w:t xml:space="preserve"> pre vš</w:t>
            </w:r>
            <w:r w:rsidRPr="006A6B3B">
              <w:rPr>
                <w:rFonts w:hint="default"/>
                <w:sz w:val="20"/>
                <w:szCs w:val="20"/>
              </w:rPr>
              <w:t>eobecné</w:t>
            </w:r>
            <w:r w:rsidRPr="006A6B3B">
              <w:rPr>
                <w:rFonts w:hint="default"/>
                <w:sz w:val="20"/>
                <w:szCs w:val="20"/>
              </w:rPr>
              <w:t xml:space="preserve"> uplatň</w:t>
            </w:r>
            <w:r w:rsidRPr="006A6B3B">
              <w:rPr>
                <w:rFonts w:hint="default"/>
                <w:sz w:val="20"/>
                <w:szCs w:val="20"/>
              </w:rPr>
              <w:t>ovanie nekalé</w:t>
            </w:r>
            <w:r w:rsidRPr="006A6B3B">
              <w:rPr>
                <w:rFonts w:hint="default"/>
                <w:sz w:val="20"/>
                <w:szCs w:val="20"/>
              </w:rPr>
              <w:t>, takž</w:t>
            </w:r>
            <w:r w:rsidRPr="006A6B3B">
              <w:rPr>
                <w:rFonts w:hint="default"/>
                <w:sz w:val="20"/>
                <w:szCs w:val="20"/>
              </w:rPr>
              <w:t>e môž</w:t>
            </w:r>
            <w:r w:rsidRPr="006A6B3B">
              <w:rPr>
                <w:rFonts w:hint="default"/>
                <w:sz w:val="20"/>
                <w:szCs w:val="20"/>
              </w:rPr>
              <w:t>u uplatniť</w:t>
            </w:r>
            <w:r w:rsidRPr="006A6B3B">
              <w:rPr>
                <w:rFonts w:hint="default"/>
                <w:sz w:val="20"/>
                <w:szCs w:val="20"/>
              </w:rPr>
              <w:t xml:space="preserve"> vhodné</w:t>
            </w:r>
            <w:r w:rsidRPr="006A6B3B">
              <w:rPr>
                <w:rFonts w:hint="default"/>
                <w:sz w:val="20"/>
                <w:szCs w:val="20"/>
              </w:rPr>
              <w:t xml:space="preserve"> a úč</w:t>
            </w:r>
            <w:r w:rsidRPr="006A6B3B">
              <w:rPr>
                <w:rFonts w:hint="default"/>
                <w:sz w:val="20"/>
                <w:szCs w:val="20"/>
              </w:rPr>
              <w:t>inné</w:t>
            </w:r>
            <w:r w:rsidRPr="006A6B3B">
              <w:rPr>
                <w:rFonts w:hint="default"/>
                <w:sz w:val="20"/>
                <w:szCs w:val="20"/>
              </w:rPr>
              <w:t xml:space="preserve"> prostriedky k zabrá</w:t>
            </w:r>
            <w:r w:rsidRPr="006A6B3B">
              <w:rPr>
                <w:rFonts w:hint="default"/>
                <w:sz w:val="20"/>
                <w:szCs w:val="20"/>
              </w:rPr>
              <w:t>neniu ď</w:t>
            </w:r>
            <w:r w:rsidRPr="006A6B3B">
              <w:rPr>
                <w:rFonts w:hint="default"/>
                <w:sz w:val="20"/>
                <w:szCs w:val="20"/>
              </w:rPr>
              <w:t>alš</w:t>
            </w:r>
            <w:r w:rsidRPr="006A6B3B">
              <w:rPr>
                <w:rFonts w:hint="default"/>
                <w:sz w:val="20"/>
                <w:szCs w:val="20"/>
              </w:rPr>
              <w:t>ieho uplatň</w:t>
            </w:r>
            <w:r w:rsidRPr="006A6B3B">
              <w:rPr>
                <w:rFonts w:hint="default"/>
                <w:sz w:val="20"/>
                <w:szCs w:val="20"/>
              </w:rPr>
              <w:t>ovania taký</w:t>
            </w:r>
            <w:r w:rsidRPr="006A6B3B">
              <w:rPr>
                <w:rFonts w:hint="default"/>
                <w:sz w:val="20"/>
                <w:szCs w:val="20"/>
              </w:rPr>
              <w:t>ch podmienok.</w:t>
            </w:r>
          </w:p>
          <w:p w:rsidR="00553EA6" w:rsidRPr="006A6B3B" w:rsidP="001A54F2">
            <w:pPr>
              <w:pStyle w:val="BodyText"/>
              <w:tabs>
                <w:tab w:val="left" w:pos="426"/>
              </w:tabs>
              <w:bidi w:val="0"/>
              <w:spacing w:after="0" w:line="240" w:lineRule="auto"/>
              <w:rPr>
                <w:sz w:val="20"/>
                <w:szCs w:val="20"/>
              </w:rPr>
            </w:pPr>
            <w:r w:rsidRPr="006A6B3B" w:rsidR="001A54F2">
              <w:rPr>
                <w:rFonts w:hint="default"/>
                <w:sz w:val="20"/>
                <w:szCs w:val="20"/>
              </w:rPr>
              <w:t>So zreteľ</w:t>
            </w:r>
            <w:r w:rsidRPr="006A6B3B" w:rsidR="001A54F2">
              <w:rPr>
                <w:rFonts w:hint="default"/>
                <w:sz w:val="20"/>
                <w:szCs w:val="20"/>
              </w:rPr>
              <w:t>om na vnú</w:t>
            </w:r>
            <w:r w:rsidRPr="006A6B3B" w:rsidR="001A54F2">
              <w:rPr>
                <w:rFonts w:hint="default"/>
                <w:sz w:val="20"/>
                <w:szCs w:val="20"/>
              </w:rPr>
              <w:t>troš</w:t>
            </w:r>
            <w:r w:rsidRPr="006A6B3B" w:rsidR="001A54F2">
              <w:rPr>
                <w:rFonts w:hint="default"/>
                <w:sz w:val="20"/>
                <w:szCs w:val="20"/>
              </w:rPr>
              <w:t>tá</w:t>
            </w:r>
            <w:r w:rsidRPr="006A6B3B" w:rsidR="001A54F2">
              <w:rPr>
                <w:rFonts w:hint="default"/>
                <w:sz w:val="20"/>
                <w:szCs w:val="20"/>
              </w:rPr>
              <w:t>tne prá</w:t>
            </w:r>
            <w:r w:rsidRPr="006A6B3B" w:rsidR="001A54F2">
              <w:rPr>
                <w:rFonts w:hint="default"/>
                <w:sz w:val="20"/>
                <w:szCs w:val="20"/>
              </w:rPr>
              <w:t>vo sa môž</w:t>
            </w:r>
            <w:r w:rsidRPr="006A6B3B" w:rsidR="001A54F2">
              <w:rPr>
                <w:rFonts w:hint="default"/>
                <w:sz w:val="20"/>
                <w:szCs w:val="20"/>
              </w:rPr>
              <w:t>u prá</w:t>
            </w:r>
            <w:r w:rsidRPr="006A6B3B" w:rsidR="001A54F2">
              <w:rPr>
                <w:rFonts w:hint="default"/>
                <w:sz w:val="20"/>
                <w:szCs w:val="20"/>
              </w:rPr>
              <w:t>vne opravné</w:t>
            </w:r>
            <w:r w:rsidRPr="006A6B3B" w:rsidR="001A54F2">
              <w:rPr>
                <w:rFonts w:hint="default"/>
                <w:sz w:val="20"/>
                <w:szCs w:val="20"/>
              </w:rPr>
              <w:t xml:space="preserve"> </w:t>
            </w:r>
            <w:r w:rsidRPr="006A6B3B" w:rsidR="001A54F2">
              <w:rPr>
                <w:rFonts w:hint="default"/>
                <w:sz w:val="20"/>
                <w:szCs w:val="20"/>
              </w:rPr>
              <w:t>prostriedky, uvedené</w:t>
            </w:r>
            <w:r w:rsidRPr="006A6B3B" w:rsidR="001A54F2">
              <w:rPr>
                <w:rFonts w:hint="default"/>
                <w:sz w:val="20"/>
                <w:szCs w:val="20"/>
              </w:rPr>
              <w:t xml:space="preserve"> v odseku 2, uplatň</w:t>
            </w:r>
            <w:r w:rsidRPr="006A6B3B" w:rsidR="001A54F2">
              <w:rPr>
                <w:rFonts w:hint="default"/>
                <w:sz w:val="20"/>
                <w:szCs w:val="20"/>
              </w:rPr>
              <w:t>ovať</w:t>
            </w:r>
            <w:r w:rsidRPr="006A6B3B" w:rsidR="001A54F2">
              <w:rPr>
                <w:rFonts w:hint="default"/>
                <w:sz w:val="20"/>
                <w:szCs w:val="20"/>
              </w:rPr>
              <w:t xml:space="preserve"> oddelene alebo spolu voč</w:t>
            </w:r>
            <w:r w:rsidRPr="006A6B3B" w:rsidR="001A54F2">
              <w:rPr>
                <w:rFonts w:hint="default"/>
                <w:sz w:val="20"/>
                <w:szCs w:val="20"/>
              </w:rPr>
              <w:t>i niekoľ</w:t>
            </w:r>
            <w:r w:rsidRPr="006A6B3B" w:rsidR="001A54F2">
              <w:rPr>
                <w:rFonts w:hint="default"/>
                <w:sz w:val="20"/>
                <w:szCs w:val="20"/>
              </w:rPr>
              <w:t>ký</w:t>
            </w:r>
            <w:r w:rsidRPr="006A6B3B" w:rsidR="001A54F2">
              <w:rPr>
                <w:rFonts w:hint="default"/>
                <w:sz w:val="20"/>
                <w:szCs w:val="20"/>
              </w:rPr>
              <w:t>m predajcom alebo dodá</w:t>
            </w:r>
            <w:r w:rsidRPr="006A6B3B" w:rsidR="001A54F2">
              <w:rPr>
                <w:rFonts w:hint="default"/>
                <w:sz w:val="20"/>
                <w:szCs w:val="20"/>
              </w:rPr>
              <w:t>vateľ</w:t>
            </w:r>
            <w:r w:rsidRPr="006A6B3B" w:rsidR="001A54F2">
              <w:rPr>
                <w:rFonts w:hint="default"/>
                <w:sz w:val="20"/>
                <w:szCs w:val="20"/>
              </w:rPr>
              <w:t>om z toho isté</w:t>
            </w:r>
            <w:r w:rsidRPr="006A6B3B" w:rsidR="001A54F2">
              <w:rPr>
                <w:rFonts w:hint="default"/>
                <w:sz w:val="20"/>
                <w:szCs w:val="20"/>
              </w:rPr>
              <w:t>ho hospodá</w:t>
            </w:r>
            <w:r w:rsidRPr="006A6B3B" w:rsidR="001A54F2">
              <w:rPr>
                <w:rFonts w:hint="default"/>
                <w:sz w:val="20"/>
                <w:szCs w:val="20"/>
              </w:rPr>
              <w:t>rskeho sektoru alebo z ich združ</w:t>
            </w:r>
            <w:r w:rsidRPr="006A6B3B" w:rsidR="001A54F2">
              <w:rPr>
                <w:rFonts w:hint="default"/>
                <w:sz w:val="20"/>
                <w:szCs w:val="20"/>
              </w:rPr>
              <w:t>ení</w:t>
            </w:r>
            <w:r w:rsidRPr="006A6B3B" w:rsidR="001A54F2">
              <w:rPr>
                <w:rFonts w:hint="default"/>
                <w:sz w:val="20"/>
                <w:szCs w:val="20"/>
              </w:rPr>
              <w:t>, ktorí</w:t>
            </w:r>
            <w:r w:rsidRPr="006A6B3B" w:rsidR="001A54F2">
              <w:rPr>
                <w:rFonts w:hint="default"/>
                <w:sz w:val="20"/>
                <w:szCs w:val="20"/>
              </w:rPr>
              <w:t xml:space="preserve"> použí</w:t>
            </w:r>
            <w:r w:rsidRPr="006A6B3B" w:rsidR="001A54F2">
              <w:rPr>
                <w:rFonts w:hint="default"/>
                <w:sz w:val="20"/>
                <w:szCs w:val="20"/>
              </w:rPr>
              <w:t>vajú</w:t>
            </w:r>
            <w:r w:rsidRPr="006A6B3B" w:rsidR="001A54F2">
              <w:rPr>
                <w:rFonts w:hint="default"/>
                <w:sz w:val="20"/>
                <w:szCs w:val="20"/>
              </w:rPr>
              <w:t xml:space="preserve"> alebo odporúč</w:t>
            </w:r>
            <w:r w:rsidRPr="006A6B3B" w:rsidR="001A54F2">
              <w:rPr>
                <w:rFonts w:hint="default"/>
                <w:sz w:val="20"/>
                <w:szCs w:val="20"/>
              </w:rPr>
              <w:t>ajú</w:t>
            </w:r>
            <w:r w:rsidRPr="006A6B3B" w:rsidR="001A54F2">
              <w:rPr>
                <w:rFonts w:hint="default"/>
                <w:sz w:val="20"/>
                <w:szCs w:val="20"/>
              </w:rPr>
              <w:t xml:space="preserve"> použ</w:t>
            </w:r>
            <w:r w:rsidRPr="006A6B3B" w:rsidR="001A54F2">
              <w:rPr>
                <w:rFonts w:hint="default"/>
                <w:sz w:val="20"/>
                <w:szCs w:val="20"/>
              </w:rPr>
              <w:t>itie rovnaký</w:t>
            </w:r>
            <w:r w:rsidRPr="006A6B3B" w:rsidR="001A54F2">
              <w:rPr>
                <w:rFonts w:hint="default"/>
                <w:sz w:val="20"/>
                <w:szCs w:val="20"/>
              </w:rPr>
              <w:t>ch vš</w:t>
            </w:r>
            <w:r w:rsidRPr="006A6B3B" w:rsidR="001A54F2">
              <w:rPr>
                <w:rFonts w:hint="default"/>
                <w:sz w:val="20"/>
                <w:szCs w:val="20"/>
              </w:rPr>
              <w:t>eobecný</w:t>
            </w:r>
            <w:r w:rsidRPr="006A6B3B" w:rsidR="001A54F2">
              <w:rPr>
                <w:rFonts w:hint="default"/>
                <w:sz w:val="20"/>
                <w:szCs w:val="20"/>
              </w:rPr>
              <w:t>ch zmluvný</w:t>
            </w:r>
            <w:r w:rsidRPr="006A6B3B" w:rsidR="001A54F2">
              <w:rPr>
                <w:rFonts w:hint="default"/>
                <w:sz w:val="20"/>
                <w:szCs w:val="20"/>
              </w:rPr>
              <w:t>ch podmienok alebo</w:t>
            </w:r>
            <w:r w:rsidRPr="006A6B3B" w:rsidR="001A54F2">
              <w:rPr>
                <w:rFonts w:hint="default"/>
                <w:sz w:val="20"/>
                <w:szCs w:val="20"/>
              </w:rPr>
              <w:t xml:space="preserve"> </w:t>
            </w:r>
            <w:r w:rsidRPr="006A6B3B" w:rsidR="001A54F2">
              <w:rPr>
                <w:rFonts w:hint="default"/>
                <w:sz w:val="20"/>
                <w:szCs w:val="20"/>
              </w:rPr>
              <w:t>podobný</w:t>
            </w:r>
            <w:r w:rsidRPr="006A6B3B" w:rsidR="001A54F2">
              <w:rPr>
                <w:rFonts w:hint="default"/>
                <w:sz w:val="20"/>
                <w:szCs w:val="20"/>
              </w:rPr>
              <w:t xml:space="preserve">ch podmienok.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 w:rsidR="00236B5B">
              <w:rPr>
                <w:sz w:val="20"/>
                <w:szCs w:val="20"/>
              </w:rPr>
              <w:t>N</w:t>
            </w: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20203" w:rsidP="001A54F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076C" w:rsidP="001A54F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076C" w:rsidRPr="006A6B3B" w:rsidP="001A54F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2AA4" w:rsidRPr="006A6B3B" w:rsidP="001A54F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0203" w:rsidRPr="006A6B3B" w:rsidP="001A54F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rFonts w:hint="default"/>
                <w:sz w:val="20"/>
                <w:szCs w:val="20"/>
              </w:rPr>
              <w:t>§</w:t>
            </w:r>
            <w:r w:rsidRPr="006A6B3B" w:rsidR="001A54F2">
              <w:rPr>
                <w:sz w:val="20"/>
                <w:szCs w:val="20"/>
              </w:rPr>
              <w:t>:</w:t>
            </w:r>
            <w:r w:rsidRPr="006A6B3B">
              <w:rPr>
                <w:sz w:val="20"/>
                <w:szCs w:val="20"/>
              </w:rPr>
              <w:t xml:space="preserve"> </w:t>
            </w:r>
            <w:r w:rsidRPr="006A6B3B" w:rsidR="00AD2AA4">
              <w:rPr>
                <w:sz w:val="20"/>
                <w:szCs w:val="20"/>
              </w:rPr>
              <w:t>294</w:t>
            </w:r>
          </w:p>
          <w:p w:rsidR="00320203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RPr="006A6B3B" w:rsidP="0056076C">
            <w:pPr>
              <w:pStyle w:val="EnvelopeReturn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03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03" w:rsidRPr="006A6B3B" w:rsidP="001A54F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rFonts w:hint="default"/>
                <w:sz w:val="20"/>
                <w:szCs w:val="20"/>
              </w:rPr>
              <w:t>§</w:t>
            </w:r>
            <w:r w:rsidRPr="006A6B3B" w:rsidR="001A54F2">
              <w:rPr>
                <w:sz w:val="20"/>
                <w:szCs w:val="20"/>
              </w:rPr>
              <w:t>:</w:t>
            </w:r>
            <w:r w:rsidRPr="006A6B3B">
              <w:rPr>
                <w:sz w:val="20"/>
                <w:szCs w:val="20"/>
              </w:rPr>
              <w:t xml:space="preserve"> </w:t>
            </w:r>
            <w:r w:rsidRPr="006A6B3B" w:rsidR="00AD2AA4">
              <w:rPr>
                <w:sz w:val="20"/>
                <w:szCs w:val="20"/>
              </w:rPr>
              <w:t>295</w:t>
            </w:r>
          </w:p>
          <w:p w:rsidR="00320203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RPr="006A6B3B" w:rsidP="0056076C">
            <w:pPr>
              <w:pStyle w:val="EnvelopeReturn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03" w:rsidRPr="006A6B3B" w:rsidP="001A54F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rFonts w:hint="default"/>
                <w:sz w:val="20"/>
                <w:szCs w:val="20"/>
              </w:rPr>
              <w:t>§</w:t>
            </w:r>
            <w:r w:rsidRPr="006A6B3B">
              <w:rPr>
                <w:rFonts w:hint="default"/>
                <w:sz w:val="20"/>
                <w:szCs w:val="20"/>
              </w:rPr>
              <w:t xml:space="preserve"> </w:t>
            </w:r>
            <w:r w:rsidRPr="006A6B3B" w:rsidR="00AD2AA4">
              <w:rPr>
                <w:sz w:val="20"/>
                <w:szCs w:val="20"/>
              </w:rPr>
              <w:t>296</w:t>
            </w:r>
          </w:p>
          <w:p w:rsidR="00320203" w:rsidRPr="006A6B3B" w:rsidP="001A54F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sz w:val="20"/>
                <w:szCs w:val="20"/>
              </w:rPr>
              <w:t>O:</w:t>
            </w:r>
            <w:r w:rsidRPr="006A6B3B" w:rsidR="001A54F2">
              <w:rPr>
                <w:sz w:val="20"/>
                <w:szCs w:val="20"/>
              </w:rPr>
              <w:t xml:space="preserve"> </w:t>
            </w:r>
            <w:r w:rsidRPr="006A6B3B">
              <w:rPr>
                <w:sz w:val="20"/>
                <w:szCs w:val="20"/>
              </w:rPr>
              <w:t>1</w:t>
            </w:r>
          </w:p>
          <w:p w:rsidR="00320203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03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03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A4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03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B3B">
              <w:rPr>
                <w:rFonts w:ascii="Times New Roman" w:hAnsi="Times New Roman" w:cs="Times New Roman"/>
                <w:sz w:val="20"/>
                <w:szCs w:val="20"/>
              </w:rPr>
              <w:t>O:</w:t>
            </w:r>
            <w:r w:rsidRPr="006A6B3B" w:rsidR="001A54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6B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20203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03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AA4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03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03" w:rsidRPr="006A6B3B" w:rsidP="0056076C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B3B">
              <w:rPr>
                <w:rFonts w:ascii="Times New Roman" w:hAnsi="Times New Roman" w:cs="Times New Roman"/>
                <w:sz w:val="20"/>
                <w:szCs w:val="20"/>
              </w:rPr>
              <w:t>O:</w:t>
            </w:r>
            <w:r w:rsidRPr="006A6B3B" w:rsidR="001A54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07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20203" w:rsidRPr="006A6B3B" w:rsidP="0056076C">
            <w:pPr>
              <w:pStyle w:val="EnvelopeReturn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03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203" w:rsidRPr="006A6B3B" w:rsidP="001A54F2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rFonts w:hint="default"/>
                <w:sz w:val="20"/>
                <w:szCs w:val="20"/>
              </w:rPr>
              <w:t>§</w:t>
            </w:r>
            <w:r w:rsidRPr="006A6B3B" w:rsidR="001A54F2">
              <w:rPr>
                <w:sz w:val="20"/>
                <w:szCs w:val="20"/>
              </w:rPr>
              <w:t>:</w:t>
            </w:r>
            <w:r w:rsidRPr="006A6B3B">
              <w:rPr>
                <w:sz w:val="20"/>
                <w:szCs w:val="20"/>
              </w:rPr>
              <w:t xml:space="preserve"> </w:t>
            </w:r>
            <w:r w:rsidRPr="006A6B3B" w:rsidR="00AD2AA4">
              <w:rPr>
                <w:sz w:val="20"/>
                <w:szCs w:val="20"/>
              </w:rPr>
              <w:t>297</w:t>
            </w:r>
          </w:p>
          <w:p w:rsidR="00320203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 w:hint="default"/>
                <w:sz w:val="20"/>
                <w:szCs w:val="20"/>
              </w:rPr>
              <w:t>:298</w:t>
            </w: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sz w:val="20"/>
                <w:szCs w:val="20"/>
              </w:rPr>
              <w:t>O:1</w:t>
            </w: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sz w:val="20"/>
                <w:szCs w:val="20"/>
              </w:rPr>
              <w:t>O:2</w:t>
            </w: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sz w:val="20"/>
                <w:szCs w:val="20"/>
              </w:rPr>
              <w:t>O:3</w:t>
            </w: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6076C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 w:hint="default"/>
                <w:sz w:val="20"/>
                <w:szCs w:val="20"/>
              </w:rPr>
              <w:t>:299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  <w:r w:rsidRPr="0056076C">
              <w:rPr>
                <w:rFonts w:hint="default"/>
                <w:sz w:val="20"/>
                <w:szCs w:val="20"/>
              </w:rPr>
              <w:t>DRUHÝ</w:t>
            </w:r>
            <w:r w:rsidRPr="0056076C">
              <w:rPr>
                <w:rFonts w:hint="default"/>
                <w:sz w:val="20"/>
                <w:szCs w:val="20"/>
              </w:rPr>
              <w:t xml:space="preserve"> ODDIEL</w:t>
            </w: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  <w:r w:rsidRPr="0056076C">
              <w:rPr>
                <w:rFonts w:hint="default"/>
                <w:sz w:val="20"/>
                <w:szCs w:val="20"/>
              </w:rPr>
              <w:t>KONANIE O ABSTRAKTNEJ KONTROLE V SPOTREBITEĽ</w:t>
            </w:r>
            <w:r w:rsidRPr="0056076C">
              <w:rPr>
                <w:rFonts w:hint="default"/>
                <w:sz w:val="20"/>
                <w:szCs w:val="20"/>
              </w:rPr>
              <w:t>SKÝ</w:t>
            </w:r>
            <w:r w:rsidRPr="0056076C">
              <w:rPr>
                <w:rFonts w:hint="default"/>
                <w:sz w:val="20"/>
                <w:szCs w:val="20"/>
              </w:rPr>
              <w:t>CH VECIACH</w:t>
            </w: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  <w:r w:rsidRPr="0056076C">
              <w:rPr>
                <w:rFonts w:hint="default"/>
                <w:sz w:val="20"/>
                <w:szCs w:val="20"/>
              </w:rPr>
              <w:t>§</w:t>
            </w:r>
            <w:r w:rsidRPr="0056076C">
              <w:rPr>
                <w:rFonts w:hint="default"/>
                <w:sz w:val="20"/>
                <w:szCs w:val="20"/>
              </w:rPr>
              <w:t xml:space="preserve"> 294</w:t>
            </w: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  <w:r w:rsidRPr="0056076C">
              <w:rPr>
                <w:rFonts w:hint="default"/>
                <w:sz w:val="20"/>
                <w:szCs w:val="20"/>
              </w:rPr>
              <w:t>Konanie o abstraktnej kontrole v spotrebiteľ</w:t>
            </w:r>
            <w:r w:rsidRPr="0056076C">
              <w:rPr>
                <w:rFonts w:hint="default"/>
                <w:sz w:val="20"/>
                <w:szCs w:val="20"/>
              </w:rPr>
              <w:t>ský</w:t>
            </w:r>
            <w:r w:rsidRPr="0056076C">
              <w:rPr>
                <w:rFonts w:hint="default"/>
                <w:sz w:val="20"/>
                <w:szCs w:val="20"/>
              </w:rPr>
              <w:t>ch veciach je konanie, v ktorom sú</w:t>
            </w:r>
            <w:r w:rsidRPr="0056076C">
              <w:rPr>
                <w:rFonts w:hint="default"/>
                <w:sz w:val="20"/>
                <w:szCs w:val="20"/>
              </w:rPr>
              <w:t>d skú</w:t>
            </w:r>
            <w:r w:rsidRPr="0056076C">
              <w:rPr>
                <w:rFonts w:hint="default"/>
                <w:sz w:val="20"/>
                <w:szCs w:val="20"/>
              </w:rPr>
              <w:t>ma neprijateľ</w:t>
            </w:r>
            <w:r w:rsidRPr="0056076C">
              <w:rPr>
                <w:rFonts w:hint="default"/>
                <w:sz w:val="20"/>
                <w:szCs w:val="20"/>
              </w:rPr>
              <w:t>nosť</w:t>
            </w:r>
            <w:r w:rsidRPr="0056076C">
              <w:rPr>
                <w:rFonts w:hint="default"/>
                <w:sz w:val="20"/>
                <w:szCs w:val="20"/>
              </w:rPr>
              <w:t xml:space="preserve"> podmienok v spotrebiteľ</w:t>
            </w:r>
            <w:r w:rsidRPr="0056076C">
              <w:rPr>
                <w:rFonts w:hint="default"/>
                <w:sz w:val="20"/>
                <w:szCs w:val="20"/>
              </w:rPr>
              <w:t>skej zmluve alebo v iný</w:t>
            </w:r>
            <w:r w:rsidRPr="0056076C">
              <w:rPr>
                <w:rFonts w:hint="default"/>
                <w:sz w:val="20"/>
                <w:szCs w:val="20"/>
              </w:rPr>
              <w:t>ch zmluvný</w:t>
            </w:r>
            <w:r w:rsidRPr="0056076C">
              <w:rPr>
                <w:rFonts w:hint="default"/>
                <w:sz w:val="20"/>
                <w:szCs w:val="20"/>
              </w:rPr>
              <w:t>ch dokumentoch sú</w:t>
            </w:r>
            <w:r w:rsidRPr="0056076C">
              <w:rPr>
                <w:rFonts w:hint="default"/>
                <w:sz w:val="20"/>
                <w:szCs w:val="20"/>
              </w:rPr>
              <w:t>visiacich so spotrebiteľ</w:t>
            </w:r>
            <w:r w:rsidRPr="0056076C">
              <w:rPr>
                <w:rFonts w:hint="default"/>
                <w:sz w:val="20"/>
                <w:szCs w:val="20"/>
              </w:rPr>
              <w:t>skou zmluvou a nekalé</w:t>
            </w:r>
            <w:r w:rsidRPr="0056076C">
              <w:rPr>
                <w:rFonts w:hint="default"/>
                <w:sz w:val="20"/>
                <w:szCs w:val="20"/>
              </w:rPr>
              <w:t xml:space="preserve"> obchodné</w:t>
            </w:r>
            <w:r w:rsidRPr="0056076C">
              <w:rPr>
                <w:rFonts w:hint="default"/>
                <w:sz w:val="20"/>
                <w:szCs w:val="20"/>
              </w:rPr>
              <w:t xml:space="preserve"> praktiky nezá</w:t>
            </w:r>
            <w:r w:rsidRPr="0056076C">
              <w:rPr>
                <w:rFonts w:hint="default"/>
                <w:sz w:val="20"/>
                <w:szCs w:val="20"/>
              </w:rPr>
              <w:t>visle od o</w:t>
            </w:r>
            <w:r w:rsidRPr="0056076C">
              <w:rPr>
                <w:rFonts w:hint="default"/>
                <w:sz w:val="20"/>
                <w:szCs w:val="20"/>
              </w:rPr>
              <w:t>k</w:t>
            </w:r>
            <w:r w:rsidRPr="0056076C">
              <w:rPr>
                <w:rFonts w:hint="default"/>
                <w:sz w:val="20"/>
                <w:szCs w:val="20"/>
              </w:rPr>
              <w:t>olností</w:t>
            </w:r>
            <w:r w:rsidRPr="0056076C">
              <w:rPr>
                <w:rFonts w:hint="default"/>
                <w:sz w:val="20"/>
                <w:szCs w:val="20"/>
              </w:rPr>
              <w:t xml:space="preserve"> konkré</w:t>
            </w:r>
            <w:r w:rsidRPr="0056076C">
              <w:rPr>
                <w:rFonts w:hint="default"/>
                <w:sz w:val="20"/>
                <w:szCs w:val="20"/>
              </w:rPr>
              <w:t>tneho prí</w:t>
            </w:r>
            <w:r w:rsidRPr="0056076C">
              <w:rPr>
                <w:rFonts w:hint="default"/>
                <w:sz w:val="20"/>
                <w:szCs w:val="20"/>
              </w:rPr>
              <w:t>padu.</w:t>
            </w: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  <w:r w:rsidRPr="0056076C">
              <w:rPr>
                <w:rFonts w:hint="default"/>
                <w:sz w:val="20"/>
                <w:szCs w:val="20"/>
              </w:rPr>
              <w:t>§</w:t>
            </w:r>
            <w:r w:rsidRPr="0056076C">
              <w:rPr>
                <w:rFonts w:hint="default"/>
                <w:sz w:val="20"/>
                <w:szCs w:val="20"/>
              </w:rPr>
              <w:t xml:space="preserve"> 295</w:t>
            </w: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56076C" w:rsidP="0056076C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6076C">
              <w:rPr>
                <w:rFonts w:hint="default"/>
                <w:sz w:val="20"/>
                <w:szCs w:val="20"/>
              </w:rPr>
              <w:t>Ž</w:t>
            </w:r>
            <w:r w:rsidRPr="0056076C">
              <w:rPr>
                <w:rFonts w:hint="default"/>
                <w:sz w:val="20"/>
                <w:szCs w:val="20"/>
              </w:rPr>
              <w:t>alobu podľ</w:t>
            </w:r>
            <w:r w:rsidRPr="0056076C">
              <w:rPr>
                <w:rFonts w:hint="default"/>
                <w:sz w:val="20"/>
                <w:szCs w:val="20"/>
              </w:rPr>
              <w:t>a §</w:t>
            </w:r>
            <w:r w:rsidRPr="0056076C">
              <w:rPr>
                <w:rFonts w:hint="default"/>
                <w:sz w:val="20"/>
                <w:szCs w:val="20"/>
              </w:rPr>
              <w:t xml:space="preserve"> 294 môž</w:t>
            </w:r>
            <w:r w:rsidRPr="0056076C">
              <w:rPr>
                <w:rFonts w:hint="default"/>
                <w:sz w:val="20"/>
                <w:szCs w:val="20"/>
              </w:rPr>
              <w:t>e podať</w:t>
            </w:r>
            <w:r w:rsidRPr="0056076C">
              <w:rPr>
                <w:rFonts w:hint="default"/>
                <w:sz w:val="20"/>
                <w:szCs w:val="20"/>
              </w:rPr>
              <w:t xml:space="preserve"> iba prá</w:t>
            </w:r>
            <w:r w:rsidRPr="0056076C">
              <w:rPr>
                <w:rFonts w:hint="default"/>
                <w:sz w:val="20"/>
                <w:szCs w:val="20"/>
              </w:rPr>
              <w:t>vnická</w:t>
            </w:r>
            <w:r w:rsidRPr="0056076C">
              <w:rPr>
                <w:rFonts w:hint="default"/>
                <w:sz w:val="20"/>
                <w:szCs w:val="20"/>
              </w:rPr>
              <w:t xml:space="preserve"> osoba založ</w:t>
            </w:r>
            <w:r w:rsidRPr="0056076C">
              <w:rPr>
                <w:rFonts w:hint="default"/>
                <w:sz w:val="20"/>
                <w:szCs w:val="20"/>
              </w:rPr>
              <w:t>ená</w:t>
            </w:r>
            <w:r w:rsidRPr="0056076C">
              <w:rPr>
                <w:rFonts w:hint="default"/>
                <w:sz w:val="20"/>
                <w:szCs w:val="20"/>
              </w:rPr>
              <w:t xml:space="preserve"> alebo zriadená</w:t>
            </w:r>
            <w:r w:rsidRPr="0056076C">
              <w:rPr>
                <w:rFonts w:hint="default"/>
                <w:sz w:val="20"/>
                <w:szCs w:val="20"/>
              </w:rPr>
              <w:t xml:space="preserve"> na ochranu spotrebiteľ</w:t>
            </w:r>
            <w:r w:rsidRPr="0056076C">
              <w:rPr>
                <w:rFonts w:hint="default"/>
                <w:sz w:val="20"/>
                <w:szCs w:val="20"/>
              </w:rPr>
              <w:t>a voč</w:t>
            </w:r>
            <w:r w:rsidRPr="0056076C">
              <w:rPr>
                <w:rFonts w:hint="default"/>
                <w:sz w:val="20"/>
                <w:szCs w:val="20"/>
              </w:rPr>
              <w:t>i dodá</w:t>
            </w:r>
            <w:r w:rsidRPr="0056076C">
              <w:rPr>
                <w:rFonts w:hint="default"/>
                <w:sz w:val="20"/>
                <w:szCs w:val="20"/>
              </w:rPr>
              <w:t>vateľ</w:t>
            </w:r>
            <w:r w:rsidRPr="0056076C">
              <w:rPr>
                <w:rFonts w:hint="default"/>
                <w:sz w:val="20"/>
                <w:szCs w:val="20"/>
              </w:rPr>
              <w:t>ovi a orgá</w:t>
            </w:r>
            <w:r w:rsidRPr="0056076C">
              <w:rPr>
                <w:rFonts w:hint="default"/>
                <w:sz w:val="20"/>
                <w:szCs w:val="20"/>
              </w:rPr>
              <w:t>n dohľ</w:t>
            </w:r>
            <w:r w:rsidRPr="0056076C">
              <w:rPr>
                <w:rFonts w:hint="default"/>
                <w:sz w:val="20"/>
                <w:szCs w:val="20"/>
              </w:rPr>
              <w:t>adu podľ</w:t>
            </w:r>
            <w:r w:rsidRPr="0056076C">
              <w:rPr>
                <w:rFonts w:hint="default"/>
                <w:sz w:val="20"/>
                <w:szCs w:val="20"/>
              </w:rPr>
              <w:t>a osobitný</w:t>
            </w:r>
            <w:r w:rsidRPr="0056076C">
              <w:rPr>
                <w:rFonts w:hint="default"/>
                <w:sz w:val="20"/>
                <w:szCs w:val="20"/>
              </w:rPr>
              <w:t>ch predpisov.</w:t>
            </w:r>
            <w:r>
              <w:rPr>
                <w:sz w:val="20"/>
                <w:szCs w:val="20"/>
              </w:rPr>
              <w:t>24</w:t>
            </w:r>
            <w:r w:rsidRPr="0056076C">
              <w:rPr>
                <w:sz w:val="20"/>
                <w:szCs w:val="20"/>
              </w:rPr>
              <w:t xml:space="preserve"> )</w:t>
            </w:r>
          </w:p>
          <w:p w:rsidR="0056076C" w:rsidP="0056076C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Pozná</w:t>
            </w:r>
            <w:r>
              <w:rPr>
                <w:rFonts w:hint="default"/>
                <w:sz w:val="20"/>
                <w:szCs w:val="20"/>
              </w:rPr>
              <w:t>mka pod č</w:t>
            </w:r>
            <w:r>
              <w:rPr>
                <w:rFonts w:hint="default"/>
                <w:sz w:val="20"/>
                <w:szCs w:val="20"/>
              </w:rPr>
              <w:t xml:space="preserve">iarou 24 znie: </w:t>
            </w:r>
            <w:r w:rsidRPr="0056076C">
              <w:rPr>
                <w:rFonts w:hint="default"/>
                <w:sz w:val="20"/>
                <w:szCs w:val="20"/>
              </w:rPr>
              <w:t>Naprí</w:t>
            </w:r>
            <w:r w:rsidRPr="0056076C">
              <w:rPr>
                <w:rFonts w:hint="default"/>
                <w:sz w:val="20"/>
                <w:szCs w:val="20"/>
              </w:rPr>
              <w:t>klad zá</w:t>
            </w:r>
            <w:r w:rsidRPr="0056076C">
              <w:rPr>
                <w:rFonts w:hint="default"/>
                <w:sz w:val="20"/>
                <w:szCs w:val="20"/>
              </w:rPr>
              <w:t>kon Ná</w:t>
            </w:r>
            <w:r w:rsidRPr="0056076C">
              <w:rPr>
                <w:rFonts w:hint="default"/>
                <w:sz w:val="20"/>
                <w:szCs w:val="20"/>
              </w:rPr>
              <w:t>r</w:t>
            </w:r>
            <w:r w:rsidRPr="0056076C">
              <w:rPr>
                <w:rFonts w:hint="default"/>
                <w:sz w:val="20"/>
                <w:szCs w:val="20"/>
              </w:rPr>
              <w:t>odnej rady Slovenskej republiky č</w:t>
            </w:r>
            <w:r w:rsidRPr="0056076C">
              <w:rPr>
                <w:rFonts w:hint="default"/>
                <w:sz w:val="20"/>
                <w:szCs w:val="20"/>
              </w:rPr>
              <w:t>. 566/1992 Zb. o Ná</w:t>
            </w:r>
            <w:r w:rsidRPr="0056076C">
              <w:rPr>
                <w:rFonts w:hint="default"/>
                <w:sz w:val="20"/>
                <w:szCs w:val="20"/>
              </w:rPr>
              <w:t>rodnej banke Slovenska v znení</w:t>
            </w:r>
            <w:r w:rsidRPr="0056076C">
              <w:rPr>
                <w:rFonts w:hint="default"/>
                <w:sz w:val="20"/>
                <w:szCs w:val="20"/>
              </w:rPr>
              <w:t xml:space="preserve"> neskorší</w:t>
            </w:r>
            <w:r w:rsidRPr="0056076C">
              <w:rPr>
                <w:rFonts w:hint="default"/>
                <w:sz w:val="20"/>
                <w:szCs w:val="20"/>
              </w:rPr>
              <w:t>ch predpisov, zá</w:t>
            </w:r>
            <w:r w:rsidRPr="0056076C">
              <w:rPr>
                <w:rFonts w:hint="default"/>
                <w:sz w:val="20"/>
                <w:szCs w:val="20"/>
              </w:rPr>
              <w:t>kon č</w:t>
            </w:r>
            <w:r w:rsidRPr="0056076C">
              <w:rPr>
                <w:rFonts w:hint="default"/>
                <w:sz w:val="20"/>
                <w:szCs w:val="20"/>
              </w:rPr>
              <w:t>. 128/2002 Z. z. o š</w:t>
            </w:r>
            <w:r w:rsidRPr="0056076C">
              <w:rPr>
                <w:rFonts w:hint="default"/>
                <w:sz w:val="20"/>
                <w:szCs w:val="20"/>
              </w:rPr>
              <w:t>tá</w:t>
            </w:r>
            <w:r w:rsidRPr="0056076C">
              <w:rPr>
                <w:rFonts w:hint="default"/>
                <w:sz w:val="20"/>
                <w:szCs w:val="20"/>
              </w:rPr>
              <w:t>tnej kontrole vnú</w:t>
            </w:r>
            <w:r w:rsidRPr="0056076C">
              <w:rPr>
                <w:rFonts w:hint="default"/>
                <w:sz w:val="20"/>
                <w:szCs w:val="20"/>
              </w:rPr>
              <w:t>torné</w:t>
            </w:r>
            <w:r w:rsidRPr="0056076C">
              <w:rPr>
                <w:rFonts w:hint="default"/>
                <w:sz w:val="20"/>
                <w:szCs w:val="20"/>
              </w:rPr>
              <w:t>ho trhu vo veciach ochrany spotrebiteľ</w:t>
            </w:r>
            <w:r w:rsidRPr="0056076C">
              <w:rPr>
                <w:rFonts w:hint="default"/>
                <w:sz w:val="20"/>
                <w:szCs w:val="20"/>
              </w:rPr>
              <w:t>a a o zmene a doplnení</w:t>
            </w:r>
            <w:r w:rsidRPr="0056076C">
              <w:rPr>
                <w:rFonts w:hint="default"/>
                <w:sz w:val="20"/>
                <w:szCs w:val="20"/>
              </w:rPr>
              <w:t xml:space="preserve"> niektorý</w:t>
            </w:r>
            <w:r w:rsidRPr="0056076C">
              <w:rPr>
                <w:rFonts w:hint="default"/>
                <w:sz w:val="20"/>
                <w:szCs w:val="20"/>
              </w:rPr>
              <w:t>ch zá</w:t>
            </w:r>
            <w:r w:rsidRPr="0056076C">
              <w:rPr>
                <w:rFonts w:hint="default"/>
                <w:sz w:val="20"/>
                <w:szCs w:val="20"/>
              </w:rPr>
              <w:t>konov v znení</w:t>
            </w:r>
            <w:r w:rsidRPr="0056076C">
              <w:rPr>
                <w:rFonts w:hint="default"/>
                <w:sz w:val="20"/>
                <w:szCs w:val="20"/>
              </w:rPr>
              <w:t xml:space="preserve"> neskorší</w:t>
            </w:r>
            <w:r w:rsidRPr="0056076C">
              <w:rPr>
                <w:rFonts w:hint="default"/>
                <w:sz w:val="20"/>
                <w:szCs w:val="20"/>
              </w:rPr>
              <w:t xml:space="preserve">ch </w:t>
            </w:r>
            <w:r w:rsidRPr="0056076C">
              <w:rPr>
                <w:rFonts w:hint="default"/>
                <w:sz w:val="20"/>
                <w:szCs w:val="20"/>
              </w:rPr>
              <w:t>p</w:t>
            </w:r>
            <w:r w:rsidRPr="0056076C">
              <w:rPr>
                <w:rFonts w:hint="default"/>
                <w:sz w:val="20"/>
                <w:szCs w:val="20"/>
              </w:rPr>
              <w:t>redpisov, zá</w:t>
            </w:r>
            <w:r w:rsidRPr="0056076C">
              <w:rPr>
                <w:rFonts w:hint="default"/>
                <w:sz w:val="20"/>
                <w:szCs w:val="20"/>
              </w:rPr>
              <w:t>kon č</w:t>
            </w:r>
            <w:r w:rsidRPr="0056076C">
              <w:rPr>
                <w:rFonts w:hint="default"/>
                <w:sz w:val="20"/>
                <w:szCs w:val="20"/>
              </w:rPr>
              <w:t>. 747/2004 Z. z. o dohľ</w:t>
            </w:r>
            <w:r w:rsidRPr="0056076C">
              <w:rPr>
                <w:rFonts w:hint="default"/>
                <w:sz w:val="20"/>
                <w:szCs w:val="20"/>
              </w:rPr>
              <w:t>ade nad finanč</w:t>
            </w:r>
            <w:r w:rsidRPr="0056076C">
              <w:rPr>
                <w:rFonts w:hint="default"/>
                <w:sz w:val="20"/>
                <w:szCs w:val="20"/>
              </w:rPr>
              <w:t>ný</w:t>
            </w:r>
            <w:r w:rsidRPr="0056076C">
              <w:rPr>
                <w:rFonts w:hint="default"/>
                <w:sz w:val="20"/>
                <w:szCs w:val="20"/>
              </w:rPr>
              <w:t>m trhom a o zmene a doplnení</w:t>
            </w:r>
            <w:r w:rsidRPr="0056076C">
              <w:rPr>
                <w:rFonts w:hint="default"/>
                <w:sz w:val="20"/>
                <w:szCs w:val="20"/>
              </w:rPr>
              <w:t xml:space="preserve"> niektorý</w:t>
            </w:r>
            <w:r w:rsidRPr="0056076C">
              <w:rPr>
                <w:rFonts w:hint="default"/>
                <w:sz w:val="20"/>
                <w:szCs w:val="20"/>
              </w:rPr>
              <w:t>ch zá</w:t>
            </w:r>
            <w:r w:rsidRPr="0056076C">
              <w:rPr>
                <w:rFonts w:hint="default"/>
                <w:sz w:val="20"/>
                <w:szCs w:val="20"/>
              </w:rPr>
              <w:t>konov v znení</w:t>
            </w:r>
            <w:r w:rsidRPr="0056076C">
              <w:rPr>
                <w:rFonts w:hint="default"/>
                <w:sz w:val="20"/>
                <w:szCs w:val="20"/>
              </w:rPr>
              <w:t xml:space="preserve"> neskorší</w:t>
            </w:r>
            <w:r w:rsidRPr="0056076C">
              <w:rPr>
                <w:rFonts w:hint="default"/>
                <w:sz w:val="20"/>
                <w:szCs w:val="20"/>
              </w:rPr>
              <w:t>ch predpisov, zá</w:t>
            </w:r>
            <w:r w:rsidRPr="0056076C">
              <w:rPr>
                <w:rFonts w:hint="default"/>
                <w:sz w:val="20"/>
                <w:szCs w:val="20"/>
              </w:rPr>
              <w:t>kon č</w:t>
            </w:r>
            <w:r w:rsidRPr="0056076C">
              <w:rPr>
                <w:rFonts w:hint="default"/>
                <w:sz w:val="20"/>
                <w:szCs w:val="20"/>
              </w:rPr>
              <w:t>. 250/2012 Z. z. o regulá</w:t>
            </w:r>
            <w:r w:rsidRPr="0056076C">
              <w:rPr>
                <w:rFonts w:hint="default"/>
                <w:sz w:val="20"/>
                <w:szCs w:val="20"/>
              </w:rPr>
              <w:t>cii v sieť</w:t>
            </w:r>
            <w:r w:rsidRPr="0056076C">
              <w:rPr>
                <w:rFonts w:hint="default"/>
                <w:sz w:val="20"/>
                <w:szCs w:val="20"/>
              </w:rPr>
              <w:t>ový</w:t>
            </w:r>
            <w:r w:rsidRPr="0056076C">
              <w:rPr>
                <w:rFonts w:hint="default"/>
                <w:sz w:val="20"/>
                <w:szCs w:val="20"/>
              </w:rPr>
              <w:t>ch odvetviach v znení</w:t>
            </w:r>
            <w:r w:rsidRPr="0056076C">
              <w:rPr>
                <w:rFonts w:hint="default"/>
                <w:sz w:val="20"/>
                <w:szCs w:val="20"/>
              </w:rPr>
              <w:t xml:space="preserve"> zá</w:t>
            </w:r>
            <w:r w:rsidRPr="0056076C">
              <w:rPr>
                <w:rFonts w:hint="default"/>
                <w:sz w:val="20"/>
                <w:szCs w:val="20"/>
              </w:rPr>
              <w:t>kona č</w:t>
            </w:r>
            <w:r w:rsidRPr="0056076C">
              <w:rPr>
                <w:rFonts w:hint="default"/>
                <w:sz w:val="20"/>
                <w:szCs w:val="20"/>
              </w:rPr>
              <w:t>. 435/2013 Z. z., zá</w:t>
            </w:r>
            <w:r w:rsidRPr="0056076C">
              <w:rPr>
                <w:rFonts w:hint="default"/>
                <w:sz w:val="20"/>
                <w:szCs w:val="20"/>
              </w:rPr>
              <w:t>kon č</w:t>
            </w:r>
            <w:r w:rsidRPr="0056076C">
              <w:rPr>
                <w:rFonts w:hint="default"/>
                <w:sz w:val="20"/>
                <w:szCs w:val="20"/>
              </w:rPr>
              <w:t>. 402/2013 Z. z. o Ú</w:t>
            </w:r>
            <w:r w:rsidRPr="0056076C">
              <w:rPr>
                <w:rFonts w:hint="default"/>
                <w:sz w:val="20"/>
                <w:szCs w:val="20"/>
              </w:rPr>
              <w:t>r</w:t>
            </w:r>
            <w:r w:rsidRPr="0056076C">
              <w:rPr>
                <w:rFonts w:hint="default"/>
                <w:sz w:val="20"/>
                <w:szCs w:val="20"/>
              </w:rPr>
              <w:t>a</w:t>
            </w:r>
            <w:r w:rsidRPr="0056076C">
              <w:rPr>
                <w:rFonts w:hint="default"/>
                <w:sz w:val="20"/>
                <w:szCs w:val="20"/>
              </w:rPr>
              <w:t>de pre regulá</w:t>
            </w:r>
            <w:r w:rsidRPr="0056076C">
              <w:rPr>
                <w:rFonts w:hint="default"/>
                <w:sz w:val="20"/>
                <w:szCs w:val="20"/>
              </w:rPr>
              <w:t>ciu elektronický</w:t>
            </w:r>
            <w:r w:rsidRPr="0056076C">
              <w:rPr>
                <w:rFonts w:hint="default"/>
                <w:sz w:val="20"/>
                <w:szCs w:val="20"/>
              </w:rPr>
              <w:t>ch komuniká</w:t>
            </w:r>
            <w:r w:rsidRPr="0056076C">
              <w:rPr>
                <w:rFonts w:hint="default"/>
                <w:sz w:val="20"/>
                <w:szCs w:val="20"/>
              </w:rPr>
              <w:t>cií</w:t>
            </w:r>
            <w:r w:rsidRPr="0056076C">
              <w:rPr>
                <w:rFonts w:hint="default"/>
                <w:sz w:val="20"/>
                <w:szCs w:val="20"/>
              </w:rPr>
              <w:t xml:space="preserve"> a poš</w:t>
            </w:r>
            <w:r w:rsidRPr="0056076C">
              <w:rPr>
                <w:rFonts w:hint="default"/>
                <w:sz w:val="20"/>
                <w:szCs w:val="20"/>
              </w:rPr>
              <w:t>tový</w:t>
            </w:r>
            <w:r w:rsidRPr="0056076C">
              <w:rPr>
                <w:rFonts w:hint="default"/>
                <w:sz w:val="20"/>
                <w:szCs w:val="20"/>
              </w:rPr>
              <w:t>ch služ</w:t>
            </w:r>
            <w:r w:rsidRPr="0056076C">
              <w:rPr>
                <w:rFonts w:hint="default"/>
                <w:sz w:val="20"/>
                <w:szCs w:val="20"/>
              </w:rPr>
              <w:t>ieb a Dopravnom ú</w:t>
            </w:r>
            <w:r w:rsidRPr="0056076C">
              <w:rPr>
                <w:rFonts w:hint="default"/>
                <w:sz w:val="20"/>
                <w:szCs w:val="20"/>
              </w:rPr>
              <w:t>rade a o zmene a doplnení</w:t>
            </w:r>
            <w:r w:rsidRPr="0056076C">
              <w:rPr>
                <w:rFonts w:hint="default"/>
                <w:sz w:val="20"/>
                <w:szCs w:val="20"/>
              </w:rPr>
              <w:t xml:space="preserve"> niektorý</w:t>
            </w:r>
            <w:r w:rsidRPr="0056076C">
              <w:rPr>
                <w:rFonts w:hint="default"/>
                <w:sz w:val="20"/>
                <w:szCs w:val="20"/>
              </w:rPr>
              <w:t>ch zá</w:t>
            </w:r>
            <w:r w:rsidRPr="0056076C">
              <w:rPr>
                <w:rFonts w:hint="default"/>
                <w:sz w:val="20"/>
                <w:szCs w:val="20"/>
              </w:rPr>
              <w:t>konov.</w:t>
            </w: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  <w:r w:rsidRPr="0056076C">
              <w:rPr>
                <w:rFonts w:hint="default"/>
                <w:sz w:val="20"/>
                <w:szCs w:val="20"/>
              </w:rPr>
              <w:t>§</w:t>
            </w:r>
            <w:r w:rsidRPr="0056076C">
              <w:rPr>
                <w:rFonts w:hint="default"/>
                <w:sz w:val="20"/>
                <w:szCs w:val="20"/>
              </w:rPr>
              <w:t xml:space="preserve"> 296</w:t>
            </w: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  <w:r w:rsidRPr="0056076C">
              <w:rPr>
                <w:rFonts w:hint="default"/>
                <w:sz w:val="20"/>
                <w:szCs w:val="20"/>
              </w:rPr>
              <w:t>(1)</w:t>
              <w:tab/>
            </w:r>
            <w:r w:rsidRPr="0056076C">
              <w:rPr>
                <w:rFonts w:hint="default"/>
                <w:sz w:val="20"/>
                <w:szCs w:val="20"/>
              </w:rPr>
              <w:t>Na konanie sa primerane použ</w:t>
            </w:r>
            <w:r w:rsidRPr="0056076C">
              <w:rPr>
                <w:rFonts w:hint="default"/>
                <w:sz w:val="20"/>
                <w:szCs w:val="20"/>
              </w:rPr>
              <w:t>ijú</w:t>
            </w:r>
            <w:r w:rsidRPr="0056076C">
              <w:rPr>
                <w:rFonts w:hint="default"/>
                <w:sz w:val="20"/>
                <w:szCs w:val="20"/>
              </w:rPr>
              <w:t xml:space="preserve"> vš</w:t>
            </w:r>
            <w:r w:rsidRPr="0056076C">
              <w:rPr>
                <w:rFonts w:hint="default"/>
                <w:sz w:val="20"/>
                <w:szCs w:val="20"/>
              </w:rPr>
              <w:t>eobecné</w:t>
            </w:r>
            <w:r w:rsidRPr="0056076C">
              <w:rPr>
                <w:rFonts w:hint="default"/>
                <w:sz w:val="20"/>
                <w:szCs w:val="20"/>
              </w:rPr>
              <w:t xml:space="preserve"> ustanovenia o konaní</w:t>
            </w:r>
            <w:r w:rsidRPr="0056076C">
              <w:rPr>
                <w:rFonts w:hint="default"/>
                <w:sz w:val="20"/>
                <w:szCs w:val="20"/>
              </w:rPr>
              <w:t>, ak ď</w:t>
            </w:r>
            <w:r w:rsidRPr="0056076C">
              <w:rPr>
                <w:rFonts w:hint="default"/>
                <w:sz w:val="20"/>
                <w:szCs w:val="20"/>
              </w:rPr>
              <w:t>alej nie je uvedené</w:t>
            </w:r>
            <w:r w:rsidRPr="0056076C">
              <w:rPr>
                <w:rFonts w:hint="default"/>
                <w:sz w:val="20"/>
                <w:szCs w:val="20"/>
              </w:rPr>
              <w:t xml:space="preserve"> inak. </w:t>
            </w: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  <w:r w:rsidRPr="0056076C">
              <w:rPr>
                <w:rFonts w:hint="default"/>
                <w:sz w:val="20"/>
                <w:szCs w:val="20"/>
              </w:rPr>
              <w:t>(2)</w:t>
              <w:tab/>
            </w:r>
            <w:r w:rsidRPr="0056076C">
              <w:rPr>
                <w:rFonts w:hint="default"/>
                <w:sz w:val="20"/>
                <w:szCs w:val="20"/>
              </w:rPr>
              <w:t>Sú</w:t>
            </w:r>
            <w:r w:rsidRPr="0056076C">
              <w:rPr>
                <w:rFonts w:hint="default"/>
                <w:sz w:val="20"/>
                <w:szCs w:val="20"/>
              </w:rPr>
              <w:t>d môž</w:t>
            </w:r>
            <w:r w:rsidRPr="0056076C">
              <w:rPr>
                <w:rFonts w:hint="default"/>
                <w:sz w:val="20"/>
                <w:szCs w:val="20"/>
              </w:rPr>
              <w:t>e vykonať</w:t>
            </w:r>
            <w:r w:rsidRPr="0056076C">
              <w:rPr>
                <w:rFonts w:hint="default"/>
                <w:sz w:val="20"/>
                <w:szCs w:val="20"/>
              </w:rPr>
              <w:t xml:space="preserve"> aj t</w:t>
            </w:r>
            <w:r w:rsidRPr="0056076C">
              <w:rPr>
                <w:rFonts w:hint="default"/>
                <w:sz w:val="20"/>
                <w:szCs w:val="20"/>
              </w:rPr>
              <w:t>ie dô</w:t>
            </w:r>
            <w:r w:rsidRPr="0056076C">
              <w:rPr>
                <w:rFonts w:hint="default"/>
                <w:sz w:val="20"/>
                <w:szCs w:val="20"/>
              </w:rPr>
              <w:t>kazy, ktoré</w:t>
            </w:r>
            <w:r w:rsidRPr="0056076C">
              <w:rPr>
                <w:rFonts w:hint="default"/>
                <w:sz w:val="20"/>
                <w:szCs w:val="20"/>
              </w:rPr>
              <w:t xml:space="preserve"> neboli navrhnuté</w:t>
            </w:r>
            <w:r w:rsidRPr="0056076C">
              <w:rPr>
                <w:rFonts w:hint="default"/>
                <w:sz w:val="20"/>
                <w:szCs w:val="20"/>
              </w:rPr>
              <w:t>, ak je to nevyhnutné</w:t>
            </w:r>
            <w:r w:rsidRPr="0056076C">
              <w:rPr>
                <w:rFonts w:hint="default"/>
                <w:sz w:val="20"/>
                <w:szCs w:val="20"/>
              </w:rPr>
              <w:t xml:space="preserve"> na rozhodnutie vo veci. Sú</w:t>
            </w:r>
            <w:r w:rsidRPr="0056076C">
              <w:rPr>
                <w:rFonts w:hint="default"/>
                <w:sz w:val="20"/>
                <w:szCs w:val="20"/>
              </w:rPr>
              <w:t>d aj bez ná</w:t>
            </w:r>
            <w:r w:rsidRPr="0056076C">
              <w:rPr>
                <w:rFonts w:hint="default"/>
                <w:sz w:val="20"/>
                <w:szCs w:val="20"/>
              </w:rPr>
              <w:t>vrhu obstará</w:t>
            </w:r>
            <w:r w:rsidRPr="0056076C">
              <w:rPr>
                <w:rFonts w:hint="default"/>
                <w:sz w:val="20"/>
                <w:szCs w:val="20"/>
              </w:rPr>
              <w:t xml:space="preserve"> alebo zabezpečí</w:t>
            </w:r>
            <w:r w:rsidRPr="0056076C">
              <w:rPr>
                <w:rFonts w:hint="default"/>
                <w:sz w:val="20"/>
                <w:szCs w:val="20"/>
              </w:rPr>
              <w:t xml:space="preserve"> taký</w:t>
            </w:r>
            <w:r w:rsidRPr="0056076C">
              <w:rPr>
                <w:rFonts w:hint="default"/>
                <w:sz w:val="20"/>
                <w:szCs w:val="20"/>
              </w:rPr>
              <w:t>to dô</w:t>
            </w:r>
            <w:r w:rsidRPr="0056076C">
              <w:rPr>
                <w:rFonts w:hint="default"/>
                <w:sz w:val="20"/>
                <w:szCs w:val="20"/>
              </w:rPr>
              <w:t>kaz.</w:t>
            </w: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  <w:r w:rsidRPr="0056076C">
              <w:rPr>
                <w:rFonts w:hint="default"/>
                <w:sz w:val="20"/>
                <w:szCs w:val="20"/>
              </w:rPr>
              <w:t>(3)</w:t>
              <w:tab/>
            </w:r>
            <w:r w:rsidRPr="0056076C">
              <w:rPr>
                <w:rFonts w:hint="default"/>
                <w:sz w:val="20"/>
                <w:szCs w:val="20"/>
              </w:rPr>
              <w:t>Ustanovenia o sudcovskej koncentrá</w:t>
            </w:r>
            <w:r w:rsidRPr="0056076C">
              <w:rPr>
                <w:rFonts w:hint="default"/>
                <w:sz w:val="20"/>
                <w:szCs w:val="20"/>
              </w:rPr>
              <w:t>cii konania sa nepouž</w:t>
            </w:r>
            <w:r w:rsidRPr="0056076C">
              <w:rPr>
                <w:rFonts w:hint="default"/>
                <w:sz w:val="20"/>
                <w:szCs w:val="20"/>
              </w:rPr>
              <w:t>ijú.</w:t>
            </w: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  <w:r w:rsidRPr="0056076C">
              <w:rPr>
                <w:rFonts w:hint="default"/>
                <w:sz w:val="20"/>
                <w:szCs w:val="20"/>
              </w:rPr>
              <w:t>§</w:t>
            </w:r>
            <w:r w:rsidRPr="0056076C">
              <w:rPr>
                <w:rFonts w:hint="default"/>
                <w:sz w:val="20"/>
                <w:szCs w:val="20"/>
              </w:rPr>
              <w:t xml:space="preserve"> 297</w:t>
            </w: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  <w:r w:rsidRPr="0056076C">
              <w:rPr>
                <w:rFonts w:hint="default"/>
                <w:sz w:val="20"/>
                <w:szCs w:val="20"/>
              </w:rPr>
              <w:t>Pojedná</w:t>
            </w:r>
            <w:r w:rsidRPr="0056076C">
              <w:rPr>
                <w:rFonts w:hint="default"/>
                <w:sz w:val="20"/>
                <w:szCs w:val="20"/>
              </w:rPr>
              <w:t>vanie nie je potrebné</w:t>
            </w:r>
            <w:r w:rsidRPr="0056076C">
              <w:rPr>
                <w:rFonts w:hint="default"/>
                <w:sz w:val="20"/>
                <w:szCs w:val="20"/>
              </w:rPr>
              <w:t xml:space="preserve"> nariaď</w:t>
            </w:r>
            <w:r w:rsidRPr="0056076C">
              <w:rPr>
                <w:rFonts w:hint="default"/>
                <w:sz w:val="20"/>
                <w:szCs w:val="20"/>
              </w:rPr>
              <w:t>ovať.</w:t>
            </w: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  <w:r w:rsidRPr="0056076C">
              <w:rPr>
                <w:rFonts w:hint="default"/>
                <w:sz w:val="20"/>
                <w:szCs w:val="20"/>
              </w:rPr>
              <w:t xml:space="preserve"> </w:t>
            </w: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  <w:r w:rsidRPr="0056076C">
              <w:rPr>
                <w:rFonts w:hint="default"/>
                <w:sz w:val="20"/>
                <w:szCs w:val="20"/>
              </w:rPr>
              <w:t>§</w:t>
            </w:r>
            <w:r w:rsidRPr="0056076C">
              <w:rPr>
                <w:rFonts w:hint="default"/>
                <w:sz w:val="20"/>
                <w:szCs w:val="20"/>
              </w:rPr>
              <w:t xml:space="preserve"> 298</w:t>
            </w: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  <w:r w:rsidRPr="0056076C">
              <w:rPr>
                <w:rFonts w:hint="default"/>
                <w:sz w:val="20"/>
                <w:szCs w:val="20"/>
              </w:rPr>
              <w:t>(1) Sú</w:t>
            </w:r>
            <w:r w:rsidRPr="0056076C">
              <w:rPr>
                <w:rFonts w:hint="default"/>
                <w:sz w:val="20"/>
                <w:szCs w:val="20"/>
              </w:rPr>
              <w:t>d vo veci samej rozhoduje rozsudkom. Ak ž</w:t>
            </w:r>
            <w:r w:rsidRPr="0056076C">
              <w:rPr>
                <w:rFonts w:hint="default"/>
                <w:sz w:val="20"/>
                <w:szCs w:val="20"/>
              </w:rPr>
              <w:t>alobe vyhovie, vo vý</w:t>
            </w:r>
            <w:r w:rsidRPr="0056076C">
              <w:rPr>
                <w:rFonts w:hint="default"/>
                <w:sz w:val="20"/>
                <w:szCs w:val="20"/>
              </w:rPr>
              <w:t>roku určí</w:t>
            </w:r>
            <w:r w:rsidRPr="0056076C">
              <w:rPr>
                <w:rFonts w:hint="default"/>
                <w:sz w:val="20"/>
                <w:szCs w:val="20"/>
              </w:rPr>
              <w:t xml:space="preserve"> neprijateľ</w:t>
            </w:r>
            <w:r w:rsidRPr="0056076C">
              <w:rPr>
                <w:rFonts w:hint="default"/>
                <w:sz w:val="20"/>
                <w:szCs w:val="20"/>
              </w:rPr>
              <w:t>nosť</w:t>
            </w:r>
            <w:r w:rsidRPr="0056076C">
              <w:rPr>
                <w:rFonts w:hint="default"/>
                <w:sz w:val="20"/>
                <w:szCs w:val="20"/>
              </w:rPr>
              <w:t xml:space="preserve"> zmluvnej podmienky a znenie tejto zmluvnej podmienky vý</w:t>
            </w:r>
            <w:r w:rsidRPr="0056076C">
              <w:rPr>
                <w:rFonts w:hint="default"/>
                <w:sz w:val="20"/>
                <w:szCs w:val="20"/>
              </w:rPr>
              <w:t>slovne uvedie alebo vo vý</w:t>
            </w:r>
            <w:r w:rsidRPr="0056076C">
              <w:rPr>
                <w:rFonts w:hint="default"/>
                <w:sz w:val="20"/>
                <w:szCs w:val="20"/>
              </w:rPr>
              <w:t>roku určí</w:t>
            </w:r>
            <w:r w:rsidRPr="0056076C">
              <w:rPr>
                <w:rFonts w:hint="default"/>
                <w:sz w:val="20"/>
                <w:szCs w:val="20"/>
              </w:rPr>
              <w:t>, ž</w:t>
            </w:r>
            <w:r w:rsidRPr="0056076C">
              <w:rPr>
                <w:rFonts w:hint="default"/>
                <w:sz w:val="20"/>
                <w:szCs w:val="20"/>
              </w:rPr>
              <w:t>e obchodná</w:t>
            </w:r>
            <w:r w:rsidRPr="0056076C">
              <w:rPr>
                <w:rFonts w:hint="default"/>
                <w:sz w:val="20"/>
                <w:szCs w:val="20"/>
              </w:rPr>
              <w:t xml:space="preserve"> praktika je nekalá</w:t>
            </w:r>
            <w:r w:rsidR="00D95DBA">
              <w:rPr>
                <w:sz w:val="20"/>
                <w:szCs w:val="20"/>
              </w:rPr>
              <w:t>,</w:t>
            </w:r>
            <w:r w:rsidRPr="0056076C">
              <w:rPr>
                <w:sz w:val="20"/>
                <w:szCs w:val="20"/>
              </w:rPr>
              <w:t xml:space="preserve"> </w:t>
            </w:r>
            <w:r w:rsidR="00D95DBA">
              <w:rPr>
                <w:sz w:val="20"/>
                <w:szCs w:val="20"/>
              </w:rPr>
              <w:t>i</w:t>
            </w:r>
            <w:r w:rsidRPr="0056076C">
              <w:rPr>
                <w:rFonts w:hint="default"/>
                <w:sz w:val="20"/>
                <w:szCs w:val="20"/>
              </w:rPr>
              <w:t>nak ž</w:t>
            </w:r>
            <w:r w:rsidRPr="0056076C">
              <w:rPr>
                <w:rFonts w:hint="default"/>
                <w:sz w:val="20"/>
                <w:szCs w:val="20"/>
              </w:rPr>
              <w:t xml:space="preserve">alobu zamietne. </w:t>
            </w: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  <w:r w:rsidRPr="0056076C">
              <w:rPr>
                <w:rFonts w:hint="default"/>
                <w:sz w:val="20"/>
                <w:szCs w:val="20"/>
              </w:rPr>
              <w:t>(2) Ak sú</w:t>
            </w:r>
            <w:r w:rsidRPr="0056076C">
              <w:rPr>
                <w:rFonts w:hint="default"/>
                <w:sz w:val="20"/>
                <w:szCs w:val="20"/>
              </w:rPr>
              <w:t>d prá</w:t>
            </w:r>
            <w:r w:rsidRPr="0056076C">
              <w:rPr>
                <w:rFonts w:hint="default"/>
                <w:sz w:val="20"/>
                <w:szCs w:val="20"/>
              </w:rPr>
              <w:t>v</w:t>
            </w:r>
            <w:r w:rsidRPr="0056076C">
              <w:rPr>
                <w:rFonts w:hint="default"/>
                <w:sz w:val="20"/>
                <w:szCs w:val="20"/>
              </w:rPr>
              <w:t>oplatne určí</w:t>
            </w:r>
            <w:r w:rsidRPr="0056076C">
              <w:rPr>
                <w:rFonts w:hint="default"/>
                <w:sz w:val="20"/>
                <w:szCs w:val="20"/>
              </w:rPr>
              <w:t xml:space="preserve"> neprijateľ</w:t>
            </w:r>
            <w:r w:rsidRPr="0056076C">
              <w:rPr>
                <w:rFonts w:hint="default"/>
                <w:sz w:val="20"/>
                <w:szCs w:val="20"/>
              </w:rPr>
              <w:t>nosť</w:t>
            </w:r>
            <w:r w:rsidRPr="0056076C">
              <w:rPr>
                <w:rFonts w:hint="default"/>
                <w:sz w:val="20"/>
                <w:szCs w:val="20"/>
              </w:rPr>
              <w:t xml:space="preserve"> zmluvnej podmienky alebo určí</w:t>
            </w:r>
            <w:r w:rsidRPr="0056076C">
              <w:rPr>
                <w:rFonts w:hint="default"/>
                <w:sz w:val="20"/>
                <w:szCs w:val="20"/>
              </w:rPr>
              <w:t>, ž</w:t>
            </w:r>
            <w:r w:rsidRPr="0056076C">
              <w:rPr>
                <w:rFonts w:hint="default"/>
                <w:sz w:val="20"/>
                <w:szCs w:val="20"/>
              </w:rPr>
              <w:t>e obchodná</w:t>
            </w:r>
            <w:r w:rsidRPr="0056076C">
              <w:rPr>
                <w:rFonts w:hint="default"/>
                <w:sz w:val="20"/>
                <w:szCs w:val="20"/>
              </w:rPr>
              <w:t xml:space="preserve"> praktika je nekalá</w:t>
            </w:r>
            <w:r w:rsidRPr="0056076C">
              <w:rPr>
                <w:rFonts w:hint="default"/>
                <w:sz w:val="20"/>
                <w:szCs w:val="20"/>
              </w:rPr>
              <w:t>, ž</w:t>
            </w:r>
            <w:r w:rsidRPr="0056076C">
              <w:rPr>
                <w:rFonts w:hint="default"/>
                <w:sz w:val="20"/>
                <w:szCs w:val="20"/>
              </w:rPr>
              <w:t>alobca je oprá</w:t>
            </w:r>
            <w:r w:rsidRPr="0056076C">
              <w:rPr>
                <w:rFonts w:hint="default"/>
                <w:sz w:val="20"/>
                <w:szCs w:val="20"/>
              </w:rPr>
              <w:t>vnený</w:t>
            </w:r>
            <w:r w:rsidRPr="0056076C">
              <w:rPr>
                <w:rFonts w:hint="default"/>
                <w:sz w:val="20"/>
                <w:szCs w:val="20"/>
              </w:rPr>
              <w:t xml:space="preserve"> vhodnou formou zabezpeč</w:t>
            </w:r>
            <w:r w:rsidRPr="0056076C">
              <w:rPr>
                <w:rFonts w:hint="default"/>
                <w:sz w:val="20"/>
                <w:szCs w:val="20"/>
              </w:rPr>
              <w:t>iť</w:t>
            </w:r>
            <w:r w:rsidRPr="0056076C">
              <w:rPr>
                <w:rFonts w:hint="default"/>
                <w:sz w:val="20"/>
                <w:szCs w:val="20"/>
              </w:rPr>
              <w:t xml:space="preserve"> zverejnenie tohto rozsudku.</w:t>
            </w: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  <w:r w:rsidRPr="0056076C">
              <w:rPr>
                <w:rFonts w:hint="default"/>
                <w:sz w:val="20"/>
                <w:szCs w:val="20"/>
              </w:rPr>
              <w:t>(3) Ak sú</w:t>
            </w:r>
            <w:r w:rsidRPr="0056076C">
              <w:rPr>
                <w:rFonts w:hint="default"/>
                <w:sz w:val="20"/>
                <w:szCs w:val="20"/>
              </w:rPr>
              <w:t>d určí</w:t>
            </w:r>
            <w:r w:rsidRPr="0056076C">
              <w:rPr>
                <w:rFonts w:hint="default"/>
                <w:sz w:val="20"/>
                <w:szCs w:val="20"/>
              </w:rPr>
              <w:t xml:space="preserve"> neprijateľ</w:t>
            </w:r>
            <w:r w:rsidRPr="0056076C">
              <w:rPr>
                <w:rFonts w:hint="default"/>
                <w:sz w:val="20"/>
                <w:szCs w:val="20"/>
              </w:rPr>
              <w:t>nosť</w:t>
            </w:r>
            <w:r w:rsidRPr="0056076C">
              <w:rPr>
                <w:rFonts w:hint="default"/>
                <w:sz w:val="20"/>
                <w:szCs w:val="20"/>
              </w:rPr>
              <w:t xml:space="preserve"> zmluvnej podmienky alebo určí</w:t>
            </w:r>
            <w:r w:rsidRPr="0056076C">
              <w:rPr>
                <w:rFonts w:hint="default"/>
                <w:sz w:val="20"/>
                <w:szCs w:val="20"/>
              </w:rPr>
              <w:t>, ž</w:t>
            </w:r>
            <w:r w:rsidRPr="0056076C">
              <w:rPr>
                <w:rFonts w:hint="default"/>
                <w:sz w:val="20"/>
                <w:szCs w:val="20"/>
              </w:rPr>
              <w:t>e obchodná</w:t>
            </w:r>
            <w:r w:rsidRPr="0056076C">
              <w:rPr>
                <w:rFonts w:hint="default"/>
                <w:sz w:val="20"/>
                <w:szCs w:val="20"/>
              </w:rPr>
              <w:t xml:space="preserve"> praktika je nek</w:t>
            </w:r>
            <w:r w:rsidRPr="0056076C">
              <w:rPr>
                <w:rFonts w:hint="default"/>
                <w:sz w:val="20"/>
                <w:szCs w:val="20"/>
              </w:rPr>
              <w:t>alá</w:t>
            </w:r>
            <w:r w:rsidRPr="0056076C">
              <w:rPr>
                <w:rFonts w:hint="default"/>
                <w:sz w:val="20"/>
                <w:szCs w:val="20"/>
              </w:rPr>
              <w:t>, zakáž</w:t>
            </w:r>
            <w:r w:rsidRPr="0056076C">
              <w:rPr>
                <w:rFonts w:hint="default"/>
                <w:sz w:val="20"/>
                <w:szCs w:val="20"/>
              </w:rPr>
              <w:t>e ž</w:t>
            </w:r>
            <w:r w:rsidRPr="0056076C">
              <w:rPr>
                <w:rFonts w:hint="default"/>
                <w:sz w:val="20"/>
                <w:szCs w:val="20"/>
              </w:rPr>
              <w:t>alované</w:t>
            </w:r>
            <w:r w:rsidRPr="0056076C">
              <w:rPr>
                <w:rFonts w:hint="default"/>
                <w:sz w:val="20"/>
                <w:szCs w:val="20"/>
              </w:rPr>
              <w:t>mu použí</w:t>
            </w:r>
            <w:r w:rsidRPr="0056076C">
              <w:rPr>
                <w:rFonts w:hint="default"/>
                <w:sz w:val="20"/>
                <w:szCs w:val="20"/>
              </w:rPr>
              <w:t>vať</w:t>
            </w:r>
            <w:r w:rsidRPr="0056076C">
              <w:rPr>
                <w:rFonts w:hint="default"/>
                <w:sz w:val="20"/>
                <w:szCs w:val="20"/>
              </w:rPr>
              <w:t xml:space="preserve"> tú</w:t>
            </w:r>
            <w:r w:rsidRPr="0056076C">
              <w:rPr>
                <w:rFonts w:hint="default"/>
                <w:sz w:val="20"/>
                <w:szCs w:val="20"/>
              </w:rPr>
              <w:t>to podmienku alebo podmienku s rovnaký</w:t>
            </w:r>
            <w:r w:rsidRPr="0056076C">
              <w:rPr>
                <w:rFonts w:hint="default"/>
                <w:sz w:val="20"/>
                <w:szCs w:val="20"/>
              </w:rPr>
              <w:t>m vý</w:t>
            </w:r>
            <w:r w:rsidRPr="0056076C">
              <w:rPr>
                <w:rFonts w:hint="default"/>
                <w:sz w:val="20"/>
                <w:szCs w:val="20"/>
              </w:rPr>
              <w:t>znamom vo vš</w:t>
            </w:r>
            <w:r w:rsidRPr="0056076C">
              <w:rPr>
                <w:rFonts w:hint="default"/>
                <w:sz w:val="20"/>
                <w:szCs w:val="20"/>
              </w:rPr>
              <w:t>etký</w:t>
            </w:r>
            <w:r w:rsidRPr="0056076C">
              <w:rPr>
                <w:rFonts w:hint="default"/>
                <w:sz w:val="20"/>
                <w:szCs w:val="20"/>
              </w:rPr>
              <w:t>ch zmluvá</w:t>
            </w:r>
            <w:r w:rsidRPr="0056076C">
              <w:rPr>
                <w:rFonts w:hint="default"/>
                <w:sz w:val="20"/>
                <w:szCs w:val="20"/>
              </w:rPr>
              <w:t>ch alebo v iný</w:t>
            </w:r>
            <w:r w:rsidRPr="0056076C">
              <w:rPr>
                <w:rFonts w:hint="default"/>
                <w:sz w:val="20"/>
                <w:szCs w:val="20"/>
              </w:rPr>
              <w:t>ch zmluvný</w:t>
            </w:r>
            <w:r w:rsidRPr="0056076C">
              <w:rPr>
                <w:rFonts w:hint="default"/>
                <w:sz w:val="20"/>
                <w:szCs w:val="20"/>
              </w:rPr>
              <w:t>ch dokumentoch sú</w:t>
            </w:r>
            <w:r w:rsidRPr="0056076C">
              <w:rPr>
                <w:rFonts w:hint="default"/>
                <w:sz w:val="20"/>
                <w:szCs w:val="20"/>
              </w:rPr>
              <w:t>visiacich so spotrebiteľ</w:t>
            </w:r>
            <w:r w:rsidRPr="0056076C">
              <w:rPr>
                <w:rFonts w:hint="default"/>
                <w:sz w:val="20"/>
                <w:szCs w:val="20"/>
              </w:rPr>
              <w:t>skou zmluvou alebo ž</w:t>
            </w:r>
            <w:r w:rsidRPr="0056076C">
              <w:rPr>
                <w:rFonts w:hint="default"/>
                <w:sz w:val="20"/>
                <w:szCs w:val="20"/>
              </w:rPr>
              <w:t>alované</w:t>
            </w:r>
            <w:r w:rsidRPr="0056076C">
              <w:rPr>
                <w:rFonts w:hint="default"/>
                <w:sz w:val="20"/>
                <w:szCs w:val="20"/>
              </w:rPr>
              <w:t>mu zakáž</w:t>
            </w:r>
            <w:r w:rsidRPr="0056076C">
              <w:rPr>
                <w:rFonts w:hint="default"/>
                <w:sz w:val="20"/>
                <w:szCs w:val="20"/>
              </w:rPr>
              <w:t>e použí</w:t>
            </w:r>
            <w:r w:rsidRPr="0056076C">
              <w:rPr>
                <w:rFonts w:hint="default"/>
                <w:sz w:val="20"/>
                <w:szCs w:val="20"/>
              </w:rPr>
              <w:t>vať</w:t>
            </w:r>
            <w:r w:rsidRPr="0056076C">
              <w:rPr>
                <w:rFonts w:hint="default"/>
                <w:sz w:val="20"/>
                <w:szCs w:val="20"/>
              </w:rPr>
              <w:t xml:space="preserve"> nekalú</w:t>
            </w:r>
            <w:r w:rsidRPr="0056076C">
              <w:rPr>
                <w:rFonts w:hint="default"/>
                <w:sz w:val="20"/>
                <w:szCs w:val="20"/>
              </w:rPr>
              <w:t xml:space="preserve"> obchodnú</w:t>
            </w:r>
            <w:r w:rsidRPr="0056076C">
              <w:rPr>
                <w:rFonts w:hint="default"/>
                <w:sz w:val="20"/>
                <w:szCs w:val="20"/>
              </w:rPr>
              <w:t xml:space="preserve"> praktiku. </w:t>
            </w: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  <w:r w:rsidRPr="0056076C">
              <w:rPr>
                <w:rFonts w:hint="default"/>
                <w:sz w:val="20"/>
                <w:szCs w:val="20"/>
              </w:rPr>
              <w:t xml:space="preserve"> </w:t>
            </w: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  <w:r w:rsidRPr="0056076C">
              <w:rPr>
                <w:rFonts w:hint="default"/>
                <w:sz w:val="20"/>
                <w:szCs w:val="20"/>
              </w:rPr>
              <w:t>§</w:t>
            </w:r>
            <w:r w:rsidRPr="0056076C">
              <w:rPr>
                <w:rFonts w:hint="default"/>
                <w:sz w:val="20"/>
                <w:szCs w:val="20"/>
              </w:rPr>
              <w:t xml:space="preserve"> 299</w:t>
            </w: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  <w:r w:rsidRPr="0056076C">
              <w:rPr>
                <w:rFonts w:hint="default"/>
                <w:sz w:val="20"/>
                <w:szCs w:val="20"/>
              </w:rPr>
              <w:t>Úč</w:t>
            </w:r>
            <w:r w:rsidRPr="0056076C">
              <w:rPr>
                <w:rFonts w:hint="default"/>
                <w:sz w:val="20"/>
                <w:szCs w:val="20"/>
              </w:rPr>
              <w:t>inky ro</w:t>
            </w:r>
            <w:r w:rsidRPr="0056076C">
              <w:rPr>
                <w:rFonts w:hint="default"/>
                <w:sz w:val="20"/>
                <w:szCs w:val="20"/>
              </w:rPr>
              <w:t>zsudku</w:t>
            </w:r>
          </w:p>
          <w:p w:rsidR="0056076C" w:rsidRPr="0056076C" w:rsidP="0056076C">
            <w:pPr>
              <w:bidi w:val="0"/>
              <w:spacing w:after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553EA6" w:rsidRPr="006A6B3B" w:rsidP="0056076C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6076C" w:rsidR="0056076C">
              <w:rPr>
                <w:rFonts w:hint="default"/>
                <w:sz w:val="20"/>
                <w:szCs w:val="20"/>
              </w:rPr>
              <w:t>Vý</w:t>
            </w:r>
            <w:r w:rsidRPr="0056076C" w:rsidR="0056076C">
              <w:rPr>
                <w:rFonts w:hint="default"/>
                <w:sz w:val="20"/>
                <w:szCs w:val="20"/>
              </w:rPr>
              <w:t>rok prá</w:t>
            </w:r>
            <w:r w:rsidRPr="0056076C" w:rsidR="0056076C">
              <w:rPr>
                <w:rFonts w:hint="default"/>
                <w:sz w:val="20"/>
                <w:szCs w:val="20"/>
              </w:rPr>
              <w:t>voplatné</w:t>
            </w:r>
            <w:r w:rsidRPr="0056076C" w:rsidR="0056076C">
              <w:rPr>
                <w:rFonts w:hint="default"/>
                <w:sz w:val="20"/>
                <w:szCs w:val="20"/>
              </w:rPr>
              <w:t>ho rozsudku podľ</w:t>
            </w:r>
            <w:r w:rsidRPr="0056076C" w:rsidR="0056076C">
              <w:rPr>
                <w:rFonts w:hint="default"/>
                <w:sz w:val="20"/>
                <w:szCs w:val="20"/>
              </w:rPr>
              <w:t>a §</w:t>
            </w:r>
            <w:r w:rsidRPr="0056076C" w:rsidR="0056076C">
              <w:rPr>
                <w:rFonts w:hint="default"/>
                <w:sz w:val="20"/>
                <w:szCs w:val="20"/>
              </w:rPr>
              <w:t xml:space="preserve"> 298 je zá</w:t>
            </w:r>
            <w:r w:rsidRPr="0056076C" w:rsidR="0056076C">
              <w:rPr>
                <w:rFonts w:hint="default"/>
                <w:sz w:val="20"/>
                <w:szCs w:val="20"/>
              </w:rPr>
              <w:t>vä</w:t>
            </w:r>
            <w:r w:rsidRPr="0056076C" w:rsidR="0056076C">
              <w:rPr>
                <w:rFonts w:hint="default"/>
                <w:sz w:val="20"/>
                <w:szCs w:val="20"/>
              </w:rPr>
              <w:t>zný</w:t>
            </w:r>
            <w:r w:rsidRPr="0056076C" w:rsidR="0056076C">
              <w:rPr>
                <w:rFonts w:hint="default"/>
                <w:sz w:val="20"/>
                <w:szCs w:val="20"/>
              </w:rPr>
              <w:t xml:space="preserve"> pre kaž</w:t>
            </w:r>
            <w:r w:rsidRPr="0056076C" w:rsidR="0056076C">
              <w:rPr>
                <w:rFonts w:hint="default"/>
                <w:sz w:val="20"/>
                <w:szCs w:val="20"/>
              </w:rPr>
              <w:t>dé</w:t>
            </w:r>
            <w:r w:rsidRPr="0056076C" w:rsidR="0056076C">
              <w:rPr>
                <w:rFonts w:hint="default"/>
                <w:sz w:val="20"/>
                <w:szCs w:val="20"/>
              </w:rPr>
              <w:t>ho.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 w:rsidR="00AD2AA4">
              <w:rPr>
                <w:rFonts w:hint="default"/>
                <w:sz w:val="20"/>
                <w:szCs w:val="20"/>
              </w:rPr>
              <w:t>Ú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53EA6" w:rsidRPr="006A6B3B">
            <w:pPr>
              <w:pStyle w:val="FootnoteText"/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W w:w="4720" w:type="pct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rFonts w:hint="default"/>
                <w:sz w:val="20"/>
                <w:szCs w:val="20"/>
              </w:rPr>
              <w:t>Č</w:t>
            </w:r>
            <w:r w:rsidRPr="006A6B3B">
              <w:rPr>
                <w:rFonts w:hint="default"/>
                <w:sz w:val="20"/>
                <w:szCs w:val="20"/>
              </w:rPr>
              <w:t>:</w:t>
            </w:r>
            <w:r w:rsidRPr="006A6B3B" w:rsidR="003241D7">
              <w:rPr>
                <w:sz w:val="20"/>
                <w:szCs w:val="20"/>
              </w:rPr>
              <w:t xml:space="preserve"> </w:t>
            </w:r>
            <w:r w:rsidRPr="006A6B3B">
              <w:rPr>
                <w:sz w:val="20"/>
                <w:szCs w:val="20"/>
              </w:rPr>
              <w:t>10</w:t>
            </w: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sz w:val="20"/>
                <w:szCs w:val="20"/>
              </w:rPr>
              <w:t>O:</w:t>
            </w:r>
            <w:r w:rsidRPr="006A6B3B" w:rsidR="003241D7">
              <w:rPr>
                <w:sz w:val="20"/>
                <w:szCs w:val="20"/>
              </w:rPr>
              <w:t xml:space="preserve"> </w:t>
            </w:r>
            <w:r w:rsidRPr="006A6B3B">
              <w:rPr>
                <w:sz w:val="20"/>
                <w:szCs w:val="20"/>
              </w:rPr>
              <w:t>1</w:t>
            </w: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 w:rsidP="003241D7">
            <w:pPr>
              <w:bidi w:val="0"/>
              <w:spacing w:after="0" w:line="240" w:lineRule="auto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sz w:val="20"/>
                <w:szCs w:val="20"/>
              </w:rPr>
              <w:t>O:</w:t>
            </w:r>
            <w:r w:rsidRPr="006A6B3B" w:rsidR="003241D7">
              <w:rPr>
                <w:sz w:val="20"/>
                <w:szCs w:val="20"/>
              </w:rPr>
              <w:t xml:space="preserve"> </w:t>
            </w:r>
            <w:r w:rsidRPr="006A6B3B">
              <w:rPr>
                <w:sz w:val="20"/>
                <w:szCs w:val="20"/>
              </w:rPr>
              <w:t>2</w:t>
            </w: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 w:rsidP="003241D7">
            <w:pPr>
              <w:bidi w:val="0"/>
              <w:spacing w:after="0" w:line="240" w:lineRule="auto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B3B">
              <w:rPr>
                <w:sz w:val="20"/>
                <w:szCs w:val="20"/>
              </w:rPr>
              <w:t>O:3</w:t>
            </w:r>
          </w:p>
          <w:p w:rsidR="00553EA6" w:rsidRPr="006A6B3B">
            <w:pPr>
              <w:bidi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pStyle w:val="BodyText"/>
              <w:tabs>
                <w:tab w:val="left" w:pos="426"/>
              </w:tabs>
              <w:bidi w:val="0"/>
              <w:spacing w:after="0" w:line="240" w:lineRule="auto"/>
              <w:rPr>
                <w:sz w:val="20"/>
                <w:szCs w:val="20"/>
              </w:rPr>
            </w:pPr>
            <w:r w:rsidRPr="006A6B3B" w:rsidR="003241D7">
              <w:rPr>
                <w:rFonts w:hint="default"/>
                <w:sz w:val="20"/>
                <w:szCs w:val="20"/>
              </w:rPr>
              <w:t>Č</w:t>
            </w:r>
            <w:r w:rsidRPr="006A6B3B" w:rsidR="003241D7">
              <w:rPr>
                <w:rFonts w:hint="default"/>
                <w:sz w:val="20"/>
                <w:szCs w:val="20"/>
              </w:rPr>
              <w:t>lenské</w:t>
            </w:r>
            <w:r w:rsidRPr="006A6B3B" w:rsidR="003241D7">
              <w:rPr>
                <w:rFonts w:hint="default"/>
                <w:sz w:val="20"/>
                <w:szCs w:val="20"/>
              </w:rPr>
              <w:t xml:space="preserve"> š</w:t>
            </w:r>
            <w:r w:rsidRPr="006A6B3B" w:rsidR="003241D7">
              <w:rPr>
                <w:rFonts w:hint="default"/>
                <w:sz w:val="20"/>
                <w:szCs w:val="20"/>
              </w:rPr>
              <w:t>tá</w:t>
            </w:r>
            <w:r w:rsidRPr="006A6B3B" w:rsidR="003241D7">
              <w:rPr>
                <w:rFonts w:hint="default"/>
                <w:sz w:val="20"/>
                <w:szCs w:val="20"/>
              </w:rPr>
              <w:t>ty uvedú</w:t>
            </w:r>
            <w:r w:rsidRPr="006A6B3B" w:rsidR="003241D7">
              <w:rPr>
                <w:rFonts w:hint="default"/>
                <w:sz w:val="20"/>
                <w:szCs w:val="20"/>
              </w:rPr>
              <w:t xml:space="preserve"> do úč</w:t>
            </w:r>
            <w:r w:rsidRPr="006A6B3B" w:rsidR="003241D7">
              <w:rPr>
                <w:rFonts w:hint="default"/>
                <w:sz w:val="20"/>
                <w:szCs w:val="20"/>
              </w:rPr>
              <w:t>innosti zá</w:t>
            </w:r>
            <w:r w:rsidRPr="006A6B3B" w:rsidR="003241D7">
              <w:rPr>
                <w:rFonts w:hint="default"/>
                <w:sz w:val="20"/>
                <w:szCs w:val="20"/>
              </w:rPr>
              <w:t>kony, iné</w:t>
            </w:r>
            <w:r w:rsidRPr="006A6B3B" w:rsidR="003241D7">
              <w:rPr>
                <w:rFonts w:hint="default"/>
                <w:sz w:val="20"/>
                <w:szCs w:val="20"/>
              </w:rPr>
              <w:t xml:space="preserve"> prá</w:t>
            </w:r>
            <w:r w:rsidRPr="006A6B3B" w:rsidR="003241D7">
              <w:rPr>
                <w:rFonts w:hint="default"/>
                <w:sz w:val="20"/>
                <w:szCs w:val="20"/>
              </w:rPr>
              <w:t>vne predpisy a sprá</w:t>
            </w:r>
            <w:r w:rsidRPr="006A6B3B" w:rsidR="003241D7">
              <w:rPr>
                <w:rFonts w:hint="default"/>
                <w:sz w:val="20"/>
                <w:szCs w:val="20"/>
              </w:rPr>
              <w:t>vne opatrenia potrebné</w:t>
            </w:r>
            <w:r w:rsidRPr="006A6B3B" w:rsidR="003241D7">
              <w:rPr>
                <w:rFonts w:hint="default"/>
                <w:sz w:val="20"/>
                <w:szCs w:val="20"/>
              </w:rPr>
              <w:t xml:space="preserve"> na dosiahnutie sú</w:t>
            </w:r>
            <w:r w:rsidRPr="006A6B3B" w:rsidR="003241D7">
              <w:rPr>
                <w:rFonts w:hint="default"/>
                <w:sz w:val="20"/>
                <w:szCs w:val="20"/>
              </w:rPr>
              <w:t>ladu s touto smernicou najneskô</w:t>
            </w:r>
            <w:r w:rsidRPr="006A6B3B" w:rsidR="003241D7">
              <w:rPr>
                <w:rFonts w:hint="default"/>
                <w:sz w:val="20"/>
                <w:szCs w:val="20"/>
              </w:rPr>
              <w:t>r do 31. decembra 1994. Bezodkladne o tom informujú</w:t>
            </w:r>
            <w:r w:rsidRPr="006A6B3B" w:rsidR="003241D7">
              <w:rPr>
                <w:rFonts w:hint="default"/>
                <w:sz w:val="20"/>
                <w:szCs w:val="20"/>
              </w:rPr>
              <w:t xml:space="preserve"> Komisiu.</w:t>
            </w:r>
          </w:p>
          <w:p w:rsidR="003241D7" w:rsidRPr="006A6B3B">
            <w:pPr>
              <w:pStyle w:val="BodyText"/>
              <w:tabs>
                <w:tab w:val="left" w:pos="426"/>
              </w:tabs>
              <w:bidi w:val="0"/>
              <w:spacing w:after="0" w:line="240" w:lineRule="auto"/>
              <w:rPr>
                <w:sz w:val="20"/>
                <w:szCs w:val="20"/>
              </w:rPr>
            </w:pPr>
            <w:r w:rsidRPr="006A6B3B" w:rsidR="00553EA6">
              <w:rPr>
                <w:rFonts w:hint="default"/>
                <w:sz w:val="20"/>
                <w:szCs w:val="20"/>
              </w:rPr>
              <w:t>Tieto ustanovenia sa uplatnia na vš</w:t>
            </w:r>
            <w:r w:rsidRPr="006A6B3B" w:rsidR="00553EA6">
              <w:rPr>
                <w:rFonts w:hint="default"/>
                <w:sz w:val="20"/>
                <w:szCs w:val="20"/>
              </w:rPr>
              <w:t>etky zmluvy uzatvorené</w:t>
            </w:r>
            <w:r w:rsidRPr="006A6B3B" w:rsidR="00553EA6">
              <w:rPr>
                <w:rFonts w:hint="default"/>
                <w:sz w:val="20"/>
                <w:szCs w:val="20"/>
              </w:rPr>
              <w:t xml:space="preserve"> po 31. decembri 1994.</w:t>
            </w:r>
          </w:p>
          <w:p w:rsidR="003241D7" w:rsidRPr="006A6B3B" w:rsidP="003241D7">
            <w:pPr>
              <w:pStyle w:val="BodyText"/>
              <w:tabs>
                <w:tab w:val="left" w:pos="426"/>
              </w:tabs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6A6B3B">
              <w:rPr>
                <w:rFonts w:hint="default"/>
                <w:sz w:val="20"/>
                <w:szCs w:val="20"/>
              </w:rPr>
              <w:t>Č</w:t>
            </w:r>
            <w:r w:rsidRPr="006A6B3B">
              <w:rPr>
                <w:rFonts w:hint="default"/>
                <w:sz w:val="20"/>
                <w:szCs w:val="20"/>
              </w:rPr>
              <w:t>lenské</w:t>
            </w:r>
            <w:r w:rsidRPr="006A6B3B">
              <w:rPr>
                <w:rFonts w:hint="default"/>
                <w:sz w:val="20"/>
                <w:szCs w:val="20"/>
              </w:rPr>
              <w:t xml:space="preserve"> š</w:t>
            </w:r>
            <w:r w:rsidRPr="006A6B3B">
              <w:rPr>
                <w:rFonts w:hint="default"/>
                <w:sz w:val="20"/>
                <w:szCs w:val="20"/>
              </w:rPr>
              <w:t>tá</w:t>
            </w:r>
            <w:r w:rsidRPr="006A6B3B">
              <w:rPr>
                <w:rFonts w:hint="default"/>
                <w:sz w:val="20"/>
                <w:szCs w:val="20"/>
              </w:rPr>
              <w:t>ty uvedú</w:t>
            </w:r>
            <w:r w:rsidRPr="006A6B3B">
              <w:rPr>
                <w:rFonts w:hint="default"/>
                <w:sz w:val="20"/>
                <w:szCs w:val="20"/>
              </w:rPr>
              <w:t xml:space="preserve"> priam</w:t>
            </w:r>
            <w:r w:rsidRPr="006A6B3B">
              <w:rPr>
                <w:rFonts w:hint="default"/>
                <w:sz w:val="20"/>
                <w:szCs w:val="20"/>
              </w:rPr>
              <w:t>o v prijatý</w:t>
            </w:r>
            <w:r w:rsidRPr="006A6B3B">
              <w:rPr>
                <w:rFonts w:hint="default"/>
                <w:sz w:val="20"/>
                <w:szCs w:val="20"/>
              </w:rPr>
              <w:t>ch ustanoveniach alebo pri ich ú</w:t>
            </w:r>
            <w:r w:rsidRPr="006A6B3B">
              <w:rPr>
                <w:rFonts w:hint="default"/>
                <w:sz w:val="20"/>
                <w:szCs w:val="20"/>
              </w:rPr>
              <w:t>radnom uverejnení</w:t>
            </w:r>
            <w:r w:rsidRPr="006A6B3B">
              <w:rPr>
                <w:rFonts w:hint="default"/>
                <w:sz w:val="20"/>
                <w:szCs w:val="20"/>
              </w:rPr>
              <w:t xml:space="preserve"> odkaz na tú</w:t>
            </w:r>
            <w:r w:rsidRPr="006A6B3B">
              <w:rPr>
                <w:rFonts w:hint="default"/>
                <w:sz w:val="20"/>
                <w:szCs w:val="20"/>
              </w:rPr>
              <w:t>to smernicu. Podrobnosti o odkaze upravia č</w:t>
            </w:r>
            <w:r w:rsidRPr="006A6B3B">
              <w:rPr>
                <w:rFonts w:hint="default"/>
                <w:sz w:val="20"/>
                <w:szCs w:val="20"/>
              </w:rPr>
              <w:t>lenské</w:t>
            </w:r>
            <w:r w:rsidRPr="006A6B3B">
              <w:rPr>
                <w:rFonts w:hint="default"/>
                <w:sz w:val="20"/>
                <w:szCs w:val="20"/>
              </w:rPr>
              <w:t xml:space="preserve"> š</w:t>
            </w:r>
            <w:r w:rsidRPr="006A6B3B">
              <w:rPr>
                <w:rFonts w:hint="default"/>
                <w:sz w:val="20"/>
                <w:szCs w:val="20"/>
              </w:rPr>
              <w:t>tá</w:t>
            </w:r>
            <w:r w:rsidRPr="006A6B3B">
              <w:rPr>
                <w:rFonts w:hint="default"/>
                <w:sz w:val="20"/>
                <w:szCs w:val="20"/>
              </w:rPr>
              <w:t>ty. Č</w:t>
            </w:r>
            <w:r w:rsidRPr="006A6B3B">
              <w:rPr>
                <w:rFonts w:hint="default"/>
                <w:sz w:val="20"/>
                <w:szCs w:val="20"/>
              </w:rPr>
              <w:t>lenské</w:t>
            </w:r>
            <w:r w:rsidRPr="006A6B3B">
              <w:rPr>
                <w:rFonts w:hint="default"/>
                <w:sz w:val="20"/>
                <w:szCs w:val="20"/>
              </w:rPr>
              <w:t xml:space="preserve"> š</w:t>
            </w:r>
            <w:r w:rsidRPr="006A6B3B">
              <w:rPr>
                <w:rFonts w:hint="default"/>
                <w:sz w:val="20"/>
                <w:szCs w:val="20"/>
              </w:rPr>
              <w:t>tá</w:t>
            </w:r>
            <w:r w:rsidRPr="006A6B3B">
              <w:rPr>
                <w:rFonts w:hint="default"/>
                <w:sz w:val="20"/>
                <w:szCs w:val="20"/>
              </w:rPr>
              <w:t>ty ozná</w:t>
            </w:r>
            <w:r w:rsidRPr="006A6B3B">
              <w:rPr>
                <w:rFonts w:hint="default"/>
                <w:sz w:val="20"/>
                <w:szCs w:val="20"/>
              </w:rPr>
              <w:t>mia Komisii hlavné</w:t>
            </w:r>
            <w:r w:rsidRPr="006A6B3B">
              <w:rPr>
                <w:rFonts w:hint="default"/>
                <w:sz w:val="20"/>
                <w:szCs w:val="20"/>
              </w:rPr>
              <w:t xml:space="preserve"> ustanovenia vnú</w:t>
            </w:r>
            <w:r w:rsidRPr="006A6B3B">
              <w:rPr>
                <w:rFonts w:hint="default"/>
                <w:sz w:val="20"/>
                <w:szCs w:val="20"/>
              </w:rPr>
              <w:t>troš</w:t>
            </w:r>
            <w:r w:rsidRPr="006A6B3B">
              <w:rPr>
                <w:rFonts w:hint="default"/>
                <w:sz w:val="20"/>
                <w:szCs w:val="20"/>
              </w:rPr>
              <w:t>tá</w:t>
            </w:r>
            <w:r w:rsidRPr="006A6B3B">
              <w:rPr>
                <w:rFonts w:hint="default"/>
                <w:sz w:val="20"/>
                <w:szCs w:val="20"/>
              </w:rPr>
              <w:t>tnych prá</w:t>
            </w:r>
            <w:r w:rsidRPr="006A6B3B">
              <w:rPr>
                <w:rFonts w:hint="default"/>
                <w:sz w:val="20"/>
                <w:szCs w:val="20"/>
              </w:rPr>
              <w:t>vnych predpisov, ktoré</w:t>
            </w:r>
            <w:r w:rsidRPr="006A6B3B">
              <w:rPr>
                <w:rFonts w:hint="default"/>
                <w:sz w:val="20"/>
                <w:szCs w:val="20"/>
              </w:rPr>
              <w:t xml:space="preserve"> prijmú</w:t>
            </w:r>
            <w:r w:rsidRPr="006A6B3B">
              <w:rPr>
                <w:rFonts w:hint="default"/>
                <w:sz w:val="20"/>
                <w:szCs w:val="20"/>
              </w:rPr>
              <w:t xml:space="preserve"> v oblasti pô</w:t>
            </w:r>
            <w:r w:rsidRPr="006A6B3B">
              <w:rPr>
                <w:rFonts w:hint="default"/>
                <w:sz w:val="20"/>
                <w:szCs w:val="20"/>
              </w:rPr>
              <w:t>sobnosti tejto sm</w:t>
            </w:r>
            <w:r w:rsidRPr="006A6B3B">
              <w:rPr>
                <w:rFonts w:hint="default"/>
                <w:sz w:val="20"/>
                <w:szCs w:val="20"/>
              </w:rPr>
              <w:t>e</w:t>
            </w:r>
            <w:r w:rsidRPr="006A6B3B">
              <w:rPr>
                <w:rFonts w:hint="default"/>
                <w:sz w:val="20"/>
                <w:szCs w:val="20"/>
              </w:rPr>
              <w:t>rnice.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076C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076C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076C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076C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076C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EA6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EA6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EA6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EA6" w:rsidRPr="006A6B3B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6C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58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958" w:rsidP="001A54F2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EA6" w:rsidRPr="006A6B3B" w:rsidP="00D95DBA">
            <w:pPr>
              <w:pStyle w:val="EnvelopeReturn"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="00506958">
              <w:rPr>
                <w:rFonts w:ascii="Times New Roman" w:hAnsi="Times New Roman" w:cs="Times New Roman" w:hint="default"/>
                <w:sz w:val="20"/>
                <w:szCs w:val="20"/>
              </w:rPr>
              <w:t>§</w:t>
            </w:r>
            <w:r w:rsidR="00506958">
              <w:rPr>
                <w:rFonts w:ascii="Times New Roman" w:hAnsi="Times New Roman" w:cs="Times New Roman" w:hint="default"/>
                <w:sz w:val="20"/>
                <w:szCs w:val="20"/>
              </w:rPr>
              <w:t>:4</w:t>
            </w:r>
            <w:r w:rsidR="00D95DB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53EA6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06958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06958" w:rsidRPr="006A6B3B">
            <w:pPr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06958" w:rsidRPr="00506958" w:rsidP="00506958">
            <w:pPr>
              <w:pStyle w:val="Odsekzoznamu1"/>
              <w:tabs>
                <w:tab w:val="left" w:pos="993"/>
              </w:tabs>
              <w:bidi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506958" w:rsidRPr="00506958" w:rsidP="00506958">
            <w:pPr>
              <w:pStyle w:val="Odsekzoznamu1"/>
              <w:tabs>
                <w:tab w:val="left" w:pos="993"/>
              </w:tabs>
              <w:bidi w:val="0"/>
              <w:spacing w:after="0" w:line="240" w:lineRule="auto"/>
              <w:ind w:left="0"/>
              <w:jc w:val="both"/>
              <w:rPr>
                <w:rFonts w:ascii="Times New Roman" w:hAnsi="Times New Roman" w:hint="default"/>
                <w:sz w:val="20"/>
                <w:szCs w:val="20"/>
                <w:lang w:val="sk-SK"/>
              </w:rPr>
            </w:pPr>
            <w:r w:rsidRPr="00506958">
              <w:rPr>
                <w:rFonts w:ascii="Times New Roman" w:hAnsi="Times New Roman" w:hint="default"/>
                <w:sz w:val="20"/>
                <w:szCs w:val="20"/>
                <w:lang w:val="sk-SK"/>
              </w:rPr>
              <w:t>Tý</w:t>
            </w:r>
            <w:r w:rsidRPr="00506958">
              <w:rPr>
                <w:rFonts w:ascii="Times New Roman" w:hAnsi="Times New Roman" w:hint="default"/>
                <w:sz w:val="20"/>
                <w:szCs w:val="20"/>
                <w:lang w:val="sk-SK"/>
              </w:rPr>
              <w:t>mto zá</w:t>
            </w:r>
            <w:r w:rsidRPr="00506958">
              <w:rPr>
                <w:rFonts w:ascii="Times New Roman" w:hAnsi="Times New Roman" w:hint="default"/>
                <w:sz w:val="20"/>
                <w:szCs w:val="20"/>
                <w:lang w:val="sk-SK"/>
              </w:rPr>
              <w:t>konom sa preberajú</w:t>
            </w:r>
            <w:r w:rsidRPr="00506958">
              <w:rPr>
                <w:rFonts w:ascii="Times New Roman" w:hAnsi="Times New Roman" w:hint="default"/>
                <w:sz w:val="20"/>
                <w:szCs w:val="20"/>
                <w:lang w:val="sk-SK"/>
              </w:rPr>
              <w:t xml:space="preserve"> prá</w:t>
            </w:r>
            <w:r w:rsidRPr="00506958">
              <w:rPr>
                <w:rFonts w:ascii="Times New Roman" w:hAnsi="Times New Roman" w:hint="default"/>
                <w:sz w:val="20"/>
                <w:szCs w:val="20"/>
                <w:lang w:val="sk-SK"/>
              </w:rPr>
              <w:t>vne zá</w:t>
            </w:r>
            <w:r w:rsidRPr="00506958">
              <w:rPr>
                <w:rFonts w:ascii="Times New Roman" w:hAnsi="Times New Roman" w:hint="default"/>
                <w:sz w:val="20"/>
                <w:szCs w:val="20"/>
                <w:lang w:val="sk-SK"/>
              </w:rPr>
              <w:t>vä</w:t>
            </w:r>
            <w:r w:rsidRPr="00506958">
              <w:rPr>
                <w:rFonts w:ascii="Times New Roman" w:hAnsi="Times New Roman" w:hint="default"/>
                <w:sz w:val="20"/>
                <w:szCs w:val="20"/>
                <w:lang w:val="sk-SK"/>
              </w:rPr>
              <w:t>zné</w:t>
            </w:r>
            <w:r w:rsidRPr="00506958">
              <w:rPr>
                <w:rFonts w:ascii="Times New Roman" w:hAnsi="Times New Roman" w:hint="default"/>
                <w:sz w:val="20"/>
                <w:szCs w:val="20"/>
                <w:lang w:val="sk-SK"/>
              </w:rPr>
              <w:t xml:space="preserve"> akty Euró</w:t>
            </w:r>
            <w:r w:rsidRPr="00506958">
              <w:rPr>
                <w:rFonts w:ascii="Times New Roman" w:hAnsi="Times New Roman" w:hint="default"/>
                <w:sz w:val="20"/>
                <w:szCs w:val="20"/>
                <w:lang w:val="sk-SK"/>
              </w:rPr>
              <w:t>pskej ú</w:t>
            </w:r>
            <w:r w:rsidRPr="00506958">
              <w:rPr>
                <w:rFonts w:ascii="Times New Roman" w:hAnsi="Times New Roman" w:hint="default"/>
                <w:sz w:val="20"/>
                <w:szCs w:val="20"/>
                <w:lang w:val="sk-SK"/>
              </w:rPr>
              <w:t>nie uvedené</w:t>
            </w:r>
            <w:r w:rsidRPr="00506958">
              <w:rPr>
                <w:rFonts w:ascii="Times New Roman" w:hAnsi="Times New Roman" w:hint="default"/>
                <w:sz w:val="20"/>
                <w:szCs w:val="20"/>
                <w:lang w:val="sk-SK"/>
              </w:rPr>
              <w:t xml:space="preserve"> v prí</w:t>
            </w:r>
            <w:r w:rsidRPr="00506958">
              <w:rPr>
                <w:rFonts w:ascii="Times New Roman" w:hAnsi="Times New Roman" w:hint="default"/>
                <w:sz w:val="20"/>
                <w:szCs w:val="20"/>
                <w:lang w:val="sk-SK"/>
              </w:rPr>
              <w:t>lohe.</w:t>
            </w:r>
          </w:p>
          <w:p w:rsidR="00553EA6" w:rsidRPr="00506958">
            <w:pPr>
              <w:bidi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3EA6" w:rsidRPr="006A6B3B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E6278" w:rsidRPr="006A6B3B">
      <w:pPr>
        <w:pStyle w:val="Title"/>
        <w:bidi w:val="0"/>
        <w:jc w:val="left"/>
        <w:rPr>
          <w:rFonts w:ascii="Times New Roman" w:hAnsi="Times New Roman" w:cs="Times New Roman"/>
        </w:rPr>
      </w:pPr>
    </w:p>
    <w:p w:rsidR="004E6278" w:rsidRPr="006A6B3B">
      <w:pPr>
        <w:pStyle w:val="Title"/>
        <w:bidi w:val="0"/>
        <w:jc w:val="left"/>
        <w:rPr>
          <w:rFonts w:ascii="Times New Roman" w:hAnsi="Times New Roman" w:cs="Times New Roman"/>
        </w:rPr>
      </w:pPr>
    </w:p>
    <w:sectPr>
      <w:footerReference w:type="default" r:id="rId4"/>
      <w:pgSz w:w="16838" w:h="11906" w:orient="landscape" w:code="9"/>
      <w:pgMar w:top="1418" w:right="1349" w:bottom="1418" w:left="1134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imesNewRomanSZ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T* New Century Schoolbook">
    <w:altName w:val="Courier New"/>
    <w:panose1 w:val="020B7200000000000000"/>
    <w:charset w:val="00"/>
    <w:family w:val="swiss"/>
    <w:pitch w:val="variable"/>
    <w:sig w:usb0="00000000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278">
    <w:pPr>
      <w:pStyle w:val="Footer"/>
      <w:framePr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62B3">
      <w:rPr>
        <w:rStyle w:val="PageNumber"/>
        <w:noProof/>
      </w:rPr>
      <w:t>7</w:t>
    </w:r>
    <w:r>
      <w:rPr>
        <w:rStyle w:val="PageNumber"/>
      </w:rPr>
      <w:fldChar w:fldCharType="end"/>
    </w:r>
  </w:p>
  <w:p w:rsidR="004E6278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4266"/>
    <w:multiLevelType w:val="singleLevel"/>
    <w:tmpl w:val="FF26FD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18231C"/>
    <w:multiLevelType w:val="hybridMultilevel"/>
    <w:tmpl w:val="6146158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8361FFB"/>
    <w:multiLevelType w:val="hybridMultilevel"/>
    <w:tmpl w:val="5C407028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A253EC2"/>
    <w:multiLevelType w:val="hybridMultilevel"/>
    <w:tmpl w:val="D352AF1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68D17632"/>
    <w:multiLevelType w:val="hybridMultilevel"/>
    <w:tmpl w:val="419C78BA"/>
    <w:lvl w:ilvl="0">
      <w:start w:val="1"/>
      <w:numFmt w:val="lowerLetter"/>
      <w:lvlText w:val="%1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hyphenationZone w:val="425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11735"/>
    <w:rsid w:val="0002104D"/>
    <w:rsid w:val="000E6AFE"/>
    <w:rsid w:val="0015733D"/>
    <w:rsid w:val="001662B3"/>
    <w:rsid w:val="001A54F2"/>
    <w:rsid w:val="001E62D3"/>
    <w:rsid w:val="001F0A02"/>
    <w:rsid w:val="002160C4"/>
    <w:rsid w:val="00222385"/>
    <w:rsid w:val="00236B5B"/>
    <w:rsid w:val="002440E0"/>
    <w:rsid w:val="00271E5A"/>
    <w:rsid w:val="00282124"/>
    <w:rsid w:val="00293A3D"/>
    <w:rsid w:val="003172C4"/>
    <w:rsid w:val="00320203"/>
    <w:rsid w:val="003241D7"/>
    <w:rsid w:val="00340523"/>
    <w:rsid w:val="00383C83"/>
    <w:rsid w:val="003A51A7"/>
    <w:rsid w:val="003D5838"/>
    <w:rsid w:val="004860E9"/>
    <w:rsid w:val="0049636D"/>
    <w:rsid w:val="004E6278"/>
    <w:rsid w:val="00506958"/>
    <w:rsid w:val="00514702"/>
    <w:rsid w:val="0051561C"/>
    <w:rsid w:val="00544B32"/>
    <w:rsid w:val="00553EA6"/>
    <w:rsid w:val="0056076C"/>
    <w:rsid w:val="0056511D"/>
    <w:rsid w:val="005B7363"/>
    <w:rsid w:val="006A6B3B"/>
    <w:rsid w:val="006B684D"/>
    <w:rsid w:val="006B7364"/>
    <w:rsid w:val="00721E2C"/>
    <w:rsid w:val="00751B63"/>
    <w:rsid w:val="0075429F"/>
    <w:rsid w:val="0083464C"/>
    <w:rsid w:val="00884C3E"/>
    <w:rsid w:val="008A5E82"/>
    <w:rsid w:val="00911735"/>
    <w:rsid w:val="00956D7F"/>
    <w:rsid w:val="00A42998"/>
    <w:rsid w:val="00A62BE4"/>
    <w:rsid w:val="00A646B3"/>
    <w:rsid w:val="00A6560D"/>
    <w:rsid w:val="00AB5713"/>
    <w:rsid w:val="00AD2AA4"/>
    <w:rsid w:val="00BA3D65"/>
    <w:rsid w:val="00C00417"/>
    <w:rsid w:val="00C06F23"/>
    <w:rsid w:val="00C30FCC"/>
    <w:rsid w:val="00C94FDC"/>
    <w:rsid w:val="00C95FD2"/>
    <w:rsid w:val="00CB3F45"/>
    <w:rsid w:val="00D4273D"/>
    <w:rsid w:val="00D930CE"/>
    <w:rsid w:val="00D95DBA"/>
    <w:rsid w:val="00DF6B88"/>
    <w:rsid w:val="00E50A93"/>
    <w:rsid w:val="00E52AC3"/>
    <w:rsid w:val="00E677A8"/>
    <w:rsid w:val="00E91F57"/>
    <w:rsid w:val="00FA15A9"/>
    <w:rsid w:val="00FD4AB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spacing w:before="120" w:after="12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 w:line="360" w:lineRule="auto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numPr>
        <w:numId w:val="1"/>
      </w:numPr>
      <w:tabs>
        <w:tab w:val="num" w:pos="720"/>
      </w:tabs>
      <w:ind w:left="720" w:hanging="720"/>
      <w:jc w:val="both"/>
      <w:outlineLvl w:val="2"/>
    </w:pPr>
    <w:rPr>
      <w:rFonts w:eastAsia="Arial Unicode MS"/>
      <w:b/>
      <w:bCs/>
      <w:sz w:val="28"/>
      <w:szCs w:val="28"/>
      <w:lang w:eastAsia="cs-CZ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both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jc w:val="center"/>
      <w:outlineLvl w:val="4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center"/>
      <w:outlineLvl w:val="6"/>
    </w:pPr>
    <w:rPr>
      <w:b/>
      <w:bCs/>
      <w:sz w:val="28"/>
      <w:szCs w:val="28"/>
      <w:lang w:eastAsia="cs-CZ"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center"/>
      <w:outlineLvl w:val="7"/>
    </w:pPr>
    <w:rPr>
      <w:sz w:val="28"/>
      <w:szCs w:val="28"/>
      <w:lang w:eastAsia="cs-CZ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locked/>
    <w:rPr>
      <w:rFonts w:ascii="Times New Roman" w:eastAsia="Arial Unicode MS" w:hAnsi="Times New Roman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rFonts w:ascii="TimesNewRomanSZ" w:hAnsi="TimesNewRomanSZ" w:cs="TimesNewRomanSZ"/>
      <w:b/>
      <w:bCs/>
      <w:sz w:val="22"/>
      <w:szCs w:val="2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pPr>
      <w:spacing w:line="360" w:lineRule="auto"/>
      <w:jc w:val="both"/>
    </w:pPr>
    <w:rPr>
      <w:rFonts w:ascii="AT* New Century Schoolbook" w:hAnsi="AT* New Century Schoolbook" w:cs="AT* New Century Schoolbook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</w:rPr>
  </w:style>
  <w:style w:type="paragraph" w:styleId="EnvelopeReturn">
    <w:name w:val="envelope return"/>
    <w:basedOn w:val="Normal"/>
    <w:uiPriority w:val="99"/>
    <w:pPr>
      <w:jc w:val="left"/>
    </w:pPr>
    <w:rPr>
      <w:rFonts w:ascii="Arial" w:hAnsi="Arial" w:cs="Arial"/>
      <w:lang w:eastAsia="cs-CZ"/>
    </w:rPr>
  </w:style>
  <w:style w:type="paragraph" w:styleId="BodyText2">
    <w:name w:val="Body Text 2"/>
    <w:basedOn w:val="Normal"/>
    <w:link w:val="Zkladntext2Char"/>
    <w:uiPriority w:val="99"/>
    <w:pPr>
      <w:spacing w:before="120" w:line="480" w:lineRule="auto"/>
      <w:jc w:val="both"/>
    </w:pPr>
    <w:rPr>
      <w:rFonts w:ascii="Arial" w:hAnsi="Arial" w:cs="Arial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center"/>
    </w:pPr>
    <w:rPr>
      <w:b/>
      <w:bCs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Times New Roman" w:hAnsi="Times New Roman" w:cs="Times New Roman"/>
      <w:sz w:val="16"/>
      <w:szCs w:val="16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before="120" w:line="360" w:lineRule="auto"/>
      <w:ind w:firstLine="720"/>
      <w:jc w:val="both"/>
    </w:pPr>
    <w:rPr>
      <w:rFonts w:ascii="Arial" w:hAnsi="Arial" w:cs="Arial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Times New Roman" w:hAnsi="Times New Roman"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spacing w:before="120"/>
      <w:ind w:left="426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  <w:rtl w:val="0"/>
      <w:cs w:val="0"/>
    </w:rPr>
  </w:style>
  <w:style w:type="paragraph" w:customStyle="1" w:styleId="H3">
    <w:name w:val="H3"/>
    <w:basedOn w:val="Normal"/>
    <w:next w:val="Normal"/>
    <w:uiPriority w:val="99"/>
    <w:pPr>
      <w:keepNext/>
      <w:spacing w:before="100" w:after="100"/>
      <w:jc w:val="left"/>
      <w:outlineLvl w:val="3"/>
    </w:pPr>
    <w:rPr>
      <w:b/>
      <w:bCs/>
      <w:sz w:val="28"/>
      <w:szCs w:val="28"/>
    </w:rPr>
  </w:style>
  <w:style w:type="paragraph" w:customStyle="1" w:styleId="CM4">
    <w:name w:val="CM4"/>
    <w:basedOn w:val="Normal"/>
    <w:next w:val="Normal"/>
    <w:uiPriority w:val="99"/>
    <w:rsid w:val="002160C4"/>
    <w:pPr>
      <w:autoSpaceDE w:val="0"/>
      <w:autoSpaceDN w:val="0"/>
      <w:adjustRightInd w:val="0"/>
      <w:jc w:val="left"/>
    </w:pPr>
  </w:style>
  <w:style w:type="paragraph" w:styleId="CommentText">
    <w:name w:val="annotation text"/>
    <w:basedOn w:val="Normal"/>
    <w:link w:val="TextkomentraChar"/>
    <w:uiPriority w:val="99"/>
    <w:rsid w:val="00514702"/>
    <w:pPr>
      <w:spacing w:after="200" w:line="276" w:lineRule="auto"/>
      <w:jc w:val="left"/>
    </w:pPr>
    <w:rPr>
      <w:rFonts w:ascii="Calibri" w:eastAsia="MS Mincho" w:hAnsi="Calibri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14702"/>
    <w:rPr>
      <w:rFonts w:ascii="Calibri" w:eastAsia="MS Mincho" w:hAnsi="Calibri" w:cs="Times New Roman"/>
      <w:sz w:val="20"/>
      <w:szCs w:val="20"/>
      <w:rtl w:val="0"/>
      <w:cs w:val="0"/>
    </w:rPr>
  </w:style>
  <w:style w:type="paragraph" w:customStyle="1" w:styleId="Odsekzoznamu1">
    <w:name w:val="Odsek zoznamu1"/>
    <w:basedOn w:val="Normal"/>
    <w:uiPriority w:val="99"/>
    <w:rsid w:val="00514702"/>
    <w:pPr>
      <w:ind w:left="720"/>
      <w:contextualSpacing/>
      <w:jc w:val="left"/>
    </w:pPr>
    <w:rPr>
      <w:rFonts w:ascii="Calibri" w:eastAsia="MS Mincho" w:hAnsi="Calibri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1470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1470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1353</Words>
  <Characters>7714</Characters>
  <Application>Microsoft Office Word</Application>
  <DocSecurity>0</DocSecurity>
  <Lines>0</Lines>
  <Paragraphs>0</Paragraphs>
  <ScaleCrop>false</ScaleCrop>
  <Company>MH SR</Company>
  <LinksUpToDate>false</LinksUpToDate>
  <CharactersWithSpaces>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MH</dc:creator>
  <cp:lastModifiedBy>DZIAKOVA Dominika</cp:lastModifiedBy>
  <cp:revision>2</cp:revision>
  <cp:lastPrinted>2002-04-22T16:33:00Z</cp:lastPrinted>
  <dcterms:created xsi:type="dcterms:W3CDTF">2014-12-10T12:56:00Z</dcterms:created>
  <dcterms:modified xsi:type="dcterms:W3CDTF">2014-12-10T12:56:00Z</dcterms:modified>
</cp:coreProperties>
</file>