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  <w:r w:rsidRPr="00B84146">
        <w:rPr>
          <w:rFonts w:ascii="Book Antiqua" w:hAnsi="Book Antiqua"/>
          <w:b/>
          <w:bCs/>
          <w:sz w:val="22"/>
          <w:szCs w:val="22"/>
        </w:rPr>
        <w:t> </w:t>
      </w:r>
    </w:p>
    <w:p w:rsidR="00CE15DC" w:rsidRPr="00B84146" w:rsidP="00B84146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sz w:val="22"/>
          <w:szCs w:val="22"/>
        </w:rPr>
        <w:t>A. Všeobecná časť</w:t>
      </w:r>
    </w:p>
    <w:p w:rsidR="00B84146" w:rsidP="00B8414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84146" w:rsidR="00CE15DC">
        <w:rPr>
          <w:rFonts w:ascii="Book Antiqua" w:hAnsi="Book Antiqua"/>
          <w:sz w:val="22"/>
          <w:szCs w:val="22"/>
        </w:rPr>
        <w:t xml:space="preserve">Návrh zákona, </w:t>
      </w:r>
      <w:r w:rsidRPr="00B84146" w:rsidR="009D3A81">
        <w:rPr>
          <w:rFonts w:ascii="Book Antiqua" w:hAnsi="Book Antiqua"/>
          <w:sz w:val="22"/>
          <w:szCs w:val="22"/>
        </w:rPr>
        <w:t xml:space="preserve">ktorým sa mení zákon Národnej rady Slovenskej republiky </w:t>
      </w:r>
      <w:r w:rsidRPr="00B84146" w:rsidR="00C15515">
        <w:rPr>
          <w:rFonts w:ascii="Book Antiqua" w:hAnsi="Book Antiqua"/>
          <w:bCs/>
          <w:sz w:val="22"/>
          <w:szCs w:val="22"/>
        </w:rPr>
        <w:t xml:space="preserve">č. 233/1995 Z. z. o súdnych exekútoroch a exekučnej činnosti (Exekučný poriadok) a o zmene a doplnení </w:t>
      </w:r>
      <w:r>
        <w:rPr>
          <w:rFonts w:ascii="Book Antiqua" w:hAnsi="Book Antiqua"/>
          <w:bCs/>
          <w:sz w:val="22"/>
          <w:szCs w:val="22"/>
        </w:rPr>
        <w:t>ďalších zákonov v znení neskorších predpisov a ktorým sa mení zákon</w:t>
      </w:r>
      <w:r w:rsidRPr="00B84146" w:rsidR="002C34EE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 xml:space="preserve">                </w:t>
      </w:r>
      <w:r w:rsidRPr="00B84146" w:rsidR="002C34EE">
        <w:rPr>
          <w:rFonts w:ascii="Book Antiqua" w:hAnsi="Book Antiqua"/>
          <w:bCs/>
          <w:sz w:val="22"/>
          <w:szCs w:val="22"/>
        </w:rPr>
        <w:t xml:space="preserve">č. 527/2002 Z. z. o dobrovoľných dražbách a o doplnení zákona Slovenskej národnej rady </w:t>
      </w:r>
      <w:r>
        <w:rPr>
          <w:rFonts w:ascii="Book Antiqua" w:hAnsi="Book Antiqua"/>
          <w:bCs/>
          <w:sz w:val="22"/>
          <w:szCs w:val="22"/>
        </w:rPr>
        <w:t xml:space="preserve">            </w:t>
      </w:r>
      <w:r w:rsidRPr="00B84146" w:rsidR="002C34EE">
        <w:rPr>
          <w:rFonts w:ascii="Book Antiqua" w:hAnsi="Book Antiqua"/>
          <w:bCs/>
          <w:sz w:val="22"/>
          <w:szCs w:val="22"/>
        </w:rPr>
        <w:t>č. 323/1992 Zb. o notároch a notárskej činnosti (Notársky poriadok)</w:t>
      </w:r>
      <w:r w:rsidRPr="00B84146" w:rsidR="00C15515">
        <w:rPr>
          <w:rFonts w:ascii="Book Antiqua" w:hAnsi="Book Antiqua"/>
          <w:bCs/>
          <w:sz w:val="22"/>
          <w:szCs w:val="22"/>
        </w:rPr>
        <w:t xml:space="preserve"> </w:t>
      </w:r>
      <w:r w:rsidRPr="00B84146" w:rsidR="00927C41">
        <w:rPr>
          <w:rFonts w:ascii="Book Antiqua" w:hAnsi="Book Antiqua"/>
          <w:bCs/>
          <w:sz w:val="22"/>
          <w:szCs w:val="22"/>
        </w:rPr>
        <w:t>v znení neskorších predpisov</w:t>
      </w:r>
      <w:r w:rsidR="00E7580B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v znení neskorších predpisov </w:t>
      </w:r>
      <w:r w:rsidRPr="00B84146" w:rsidR="00E7580B">
        <w:rPr>
          <w:rFonts w:ascii="Book Antiqua" w:hAnsi="Book Antiqua"/>
          <w:sz w:val="22"/>
          <w:szCs w:val="22"/>
        </w:rPr>
        <w:t>(ďalej len „návrh zákona“)</w:t>
      </w:r>
      <w:r w:rsidR="00974789">
        <w:rPr>
          <w:rFonts w:ascii="Book Antiqua" w:hAnsi="Book Antiqua"/>
          <w:sz w:val="22"/>
          <w:szCs w:val="22"/>
        </w:rPr>
        <w:t xml:space="preserve"> </w:t>
      </w:r>
      <w:r w:rsidRPr="00B84146" w:rsidR="009D3A81">
        <w:rPr>
          <w:rFonts w:ascii="Book Antiqua" w:hAnsi="Book Antiqua"/>
          <w:sz w:val="22"/>
          <w:szCs w:val="22"/>
        </w:rPr>
        <w:t>predkladá</w:t>
      </w:r>
      <w:r w:rsidRPr="00B84146" w:rsidR="00CE15DC">
        <w:rPr>
          <w:rFonts w:ascii="Book Antiqua" w:hAnsi="Book Antiqua"/>
          <w:sz w:val="22"/>
          <w:szCs w:val="22"/>
        </w:rPr>
        <w:t xml:space="preserve"> </w:t>
      </w:r>
      <w:r w:rsidRPr="00B84146" w:rsidR="009D3A81">
        <w:rPr>
          <w:rFonts w:ascii="Book Antiqua" w:hAnsi="Book Antiqua"/>
          <w:sz w:val="22"/>
          <w:szCs w:val="22"/>
        </w:rPr>
        <w:t>poslanec</w:t>
      </w:r>
      <w:r w:rsidRPr="00B84146" w:rsidR="00CE15DC">
        <w:rPr>
          <w:rFonts w:ascii="Book Antiqua" w:hAnsi="Book Antiqua"/>
          <w:sz w:val="22"/>
          <w:szCs w:val="22"/>
        </w:rPr>
        <w:t xml:space="preserve"> Národnej rady Slovenskej republiky (ďalej len „národná rada“) </w:t>
      </w:r>
      <w:r w:rsidRPr="00B84146" w:rsidR="009D3A81">
        <w:rPr>
          <w:rFonts w:ascii="Book Antiqua" w:hAnsi="Book Antiqua"/>
          <w:sz w:val="22"/>
          <w:szCs w:val="22"/>
        </w:rPr>
        <w:t>Igor Hraško</w:t>
      </w:r>
      <w:r w:rsidRPr="00B84146" w:rsidR="00CE15DC">
        <w:rPr>
          <w:rFonts w:ascii="Book Antiqua" w:hAnsi="Book Antiqua"/>
          <w:sz w:val="22"/>
          <w:szCs w:val="22"/>
        </w:rPr>
        <w:t>.</w:t>
      </w:r>
    </w:p>
    <w:p w:rsidR="0034292D" w:rsidRPr="00B84146" w:rsidP="00B8414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84146" w:rsidR="00927C41">
        <w:rPr>
          <w:rFonts w:ascii="Book Antiqua" w:hAnsi="Book Antiqua"/>
          <w:b/>
          <w:sz w:val="22"/>
          <w:szCs w:val="22"/>
        </w:rPr>
        <w:t>Cieľom návrhu zákona je zmiernenie nežiaducich dôsledkov</w:t>
      </w:r>
      <w:r w:rsidRPr="00B84146" w:rsidR="00C15515">
        <w:rPr>
          <w:rFonts w:ascii="Book Antiqua" w:hAnsi="Book Antiqua"/>
          <w:b/>
          <w:sz w:val="22"/>
          <w:szCs w:val="22"/>
        </w:rPr>
        <w:t xml:space="preserve"> </w:t>
      </w:r>
      <w:r w:rsidRPr="00B84146">
        <w:rPr>
          <w:rFonts w:ascii="Book Antiqua" w:hAnsi="Book Antiqua"/>
          <w:b/>
          <w:sz w:val="22"/>
          <w:szCs w:val="22"/>
        </w:rPr>
        <w:t>spojených s výkonom exekúcie formou predaja nehnuteľnosti</w:t>
      </w:r>
      <w:r w:rsidR="00B84146">
        <w:rPr>
          <w:rFonts w:ascii="Book Antiqua" w:hAnsi="Book Antiqua"/>
          <w:b/>
          <w:sz w:val="22"/>
          <w:szCs w:val="22"/>
        </w:rPr>
        <w:t>,</w:t>
      </w:r>
      <w:r w:rsidRPr="00B84146">
        <w:rPr>
          <w:rFonts w:ascii="Book Antiqua" w:hAnsi="Book Antiqua"/>
          <w:b/>
          <w:sz w:val="22"/>
          <w:szCs w:val="22"/>
        </w:rPr>
        <w:t xml:space="preserve"> v ktorej má povinný </w:t>
      </w:r>
      <w:r w:rsidRPr="00B84146" w:rsidR="001F3340">
        <w:rPr>
          <w:rFonts w:ascii="Book Antiqua" w:hAnsi="Book Antiqua"/>
          <w:b/>
          <w:sz w:val="22"/>
          <w:szCs w:val="22"/>
        </w:rPr>
        <w:t>na</w:t>
      </w:r>
      <w:r w:rsidRPr="00B84146">
        <w:rPr>
          <w:rFonts w:ascii="Book Antiqua" w:hAnsi="Book Antiqua"/>
          <w:b/>
          <w:sz w:val="22"/>
          <w:szCs w:val="22"/>
        </w:rPr>
        <w:t xml:space="preserve">hlásený trvalý pobyt alebo prechodný pobyt podľa osobitného predpisu. </w:t>
      </w:r>
    </w:p>
    <w:p w:rsidR="0008436E" w:rsidRPr="00B84146" w:rsidP="00B8414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sz w:val="22"/>
          <w:szCs w:val="22"/>
        </w:rPr>
        <w:t>Hoci nik nespochybňuje význam exekučného konania, ktoré v prvom rade reálne umožňuje veriteľom domôcť sa svojich majetkových práv, je úlohou štátu do istej miery regulovať spôsoby vymoženia legitímneho právneho nároku.</w:t>
      </w:r>
      <w:r w:rsidRPr="00B84146" w:rsidR="007242D7">
        <w:rPr>
          <w:rFonts w:ascii="Book Antiqua" w:hAnsi="Book Antiqua"/>
          <w:sz w:val="22"/>
          <w:szCs w:val="22"/>
        </w:rPr>
        <w:t xml:space="preserve"> Úlohou štátu v tomto procese je stanoviť také pravidlá exekučného konania, </w:t>
      </w:r>
      <w:r w:rsidR="00C763A8">
        <w:rPr>
          <w:rFonts w:ascii="Book Antiqua" w:hAnsi="Book Antiqua"/>
          <w:sz w:val="22"/>
          <w:szCs w:val="22"/>
        </w:rPr>
        <w:t>aby bola pohľadávka uspokojená</w:t>
      </w:r>
      <w:r w:rsidRPr="00B84146" w:rsidR="007242D7">
        <w:rPr>
          <w:rFonts w:ascii="Book Antiqua" w:hAnsi="Book Antiqua"/>
          <w:sz w:val="22"/>
          <w:szCs w:val="22"/>
        </w:rPr>
        <w:t xml:space="preserve"> adekvátnymi spôsobmi, v súlade s dobrými mravmi a s ohľadom na možné následky nerešpektovania uvedených postupov.</w:t>
      </w:r>
    </w:p>
    <w:p w:rsidR="0034292D" w:rsidRPr="00B84146" w:rsidP="00B8414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84146" w:rsidR="007242D7">
        <w:rPr>
          <w:rFonts w:ascii="Book Antiqua" w:hAnsi="Book Antiqua"/>
          <w:sz w:val="22"/>
          <w:szCs w:val="22"/>
        </w:rPr>
        <w:t>Podstatou problému je to, že n</w:t>
      </w:r>
      <w:r w:rsidRPr="00B84146">
        <w:rPr>
          <w:rFonts w:ascii="Book Antiqua" w:hAnsi="Book Antiqua"/>
          <w:sz w:val="22"/>
          <w:szCs w:val="22"/>
        </w:rPr>
        <w:t xml:space="preserve">apriek </w:t>
      </w:r>
      <w:r w:rsidRPr="00B84146" w:rsidR="00E7327B">
        <w:rPr>
          <w:rFonts w:ascii="Book Antiqua" w:hAnsi="Book Antiqua"/>
          <w:sz w:val="22"/>
          <w:szCs w:val="22"/>
        </w:rPr>
        <w:t xml:space="preserve">existencii </w:t>
      </w:r>
      <w:r w:rsidRPr="00B84146" w:rsidR="007242D7">
        <w:rPr>
          <w:rFonts w:ascii="Book Antiqua" w:hAnsi="Book Antiqua"/>
          <w:sz w:val="22"/>
          <w:szCs w:val="22"/>
        </w:rPr>
        <w:t>rôznych spôsobov výkonu exekúcie</w:t>
      </w:r>
      <w:r w:rsidRPr="00B84146" w:rsidR="00E7327B">
        <w:rPr>
          <w:rFonts w:ascii="Book Antiqua" w:hAnsi="Book Antiqua"/>
          <w:sz w:val="22"/>
          <w:szCs w:val="22"/>
        </w:rPr>
        <w:t xml:space="preserve">, </w:t>
      </w:r>
      <w:r w:rsidRPr="00B84146" w:rsidR="00FD571B">
        <w:rPr>
          <w:rFonts w:ascii="Book Antiqua" w:hAnsi="Book Antiqua"/>
          <w:sz w:val="22"/>
          <w:szCs w:val="22"/>
        </w:rPr>
        <w:t xml:space="preserve">sa v praxi stále objavujú prípady, kedy povinný príde o svoje obydlie pre </w:t>
      </w:r>
      <w:r w:rsidRPr="00B84146" w:rsidR="001F3340">
        <w:rPr>
          <w:rFonts w:ascii="Book Antiqua" w:hAnsi="Book Antiqua"/>
          <w:sz w:val="22"/>
          <w:szCs w:val="22"/>
        </w:rPr>
        <w:t>exekvovanú</w:t>
      </w:r>
      <w:r w:rsidRPr="00B84146" w:rsidR="00FD571B">
        <w:rPr>
          <w:rFonts w:ascii="Book Antiqua" w:hAnsi="Book Antiqua"/>
          <w:sz w:val="22"/>
          <w:szCs w:val="22"/>
        </w:rPr>
        <w:t xml:space="preserve"> pohľadávku, ktorá je v porovnaní s hodnotou </w:t>
      </w:r>
      <w:r w:rsidRPr="00B84146" w:rsidR="00773EC7">
        <w:rPr>
          <w:rFonts w:ascii="Book Antiqua" w:hAnsi="Book Antiqua"/>
          <w:sz w:val="22"/>
          <w:szCs w:val="22"/>
        </w:rPr>
        <w:t xml:space="preserve">jeho </w:t>
      </w:r>
      <w:r w:rsidRPr="00B84146" w:rsidR="00FD571B">
        <w:rPr>
          <w:rFonts w:ascii="Book Antiqua" w:hAnsi="Book Antiqua"/>
          <w:sz w:val="22"/>
          <w:szCs w:val="22"/>
        </w:rPr>
        <w:t xml:space="preserve">obydlia </w:t>
      </w:r>
      <w:r w:rsidRPr="00B84146" w:rsidR="00773EC7">
        <w:rPr>
          <w:rFonts w:ascii="Book Antiqua" w:hAnsi="Book Antiqua"/>
          <w:sz w:val="22"/>
          <w:szCs w:val="22"/>
        </w:rPr>
        <w:t>často</w:t>
      </w:r>
      <w:r w:rsidRPr="00B84146" w:rsidR="00DA7C42">
        <w:rPr>
          <w:rFonts w:ascii="Book Antiqua" w:hAnsi="Book Antiqua"/>
          <w:sz w:val="22"/>
          <w:szCs w:val="22"/>
        </w:rPr>
        <w:t xml:space="preserve"> </w:t>
      </w:r>
      <w:r w:rsidRPr="00B84146" w:rsidR="00FD571B">
        <w:rPr>
          <w:rFonts w:ascii="Book Antiqua" w:hAnsi="Book Antiqua"/>
          <w:sz w:val="22"/>
          <w:szCs w:val="22"/>
        </w:rPr>
        <w:t>v nepomerne nižšej výške.</w:t>
      </w:r>
    </w:p>
    <w:p w:rsidR="0034292D" w:rsidRPr="00EA729D" w:rsidP="00EA729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84146" w:rsidR="009116F3">
        <w:rPr>
          <w:rFonts w:ascii="Book Antiqua" w:hAnsi="Book Antiqua"/>
          <w:sz w:val="22"/>
          <w:szCs w:val="22"/>
        </w:rPr>
        <w:t>Navýšenie minimálnej výšky</w:t>
      </w:r>
      <w:r w:rsidRPr="00B84146" w:rsidR="00401F5C">
        <w:rPr>
          <w:rFonts w:ascii="Book Antiqua" w:hAnsi="Book Antiqua"/>
          <w:sz w:val="22"/>
          <w:szCs w:val="22"/>
        </w:rPr>
        <w:t xml:space="preserve"> pohľadávky</w:t>
      </w:r>
      <w:r w:rsidRPr="00B84146" w:rsidR="009116F3">
        <w:rPr>
          <w:rFonts w:ascii="Book Antiqua" w:hAnsi="Book Antiqua"/>
          <w:sz w:val="22"/>
          <w:szCs w:val="22"/>
        </w:rPr>
        <w:t xml:space="preserve"> umožňujúcej výkon exekúcie formou predaja nehnuteľnosti, v ktorej povinný býva, </w:t>
      </w:r>
      <w:r w:rsidRPr="00B84146" w:rsidR="00704B18">
        <w:rPr>
          <w:rFonts w:ascii="Book Antiqua" w:hAnsi="Book Antiqua"/>
          <w:sz w:val="22"/>
          <w:szCs w:val="22"/>
        </w:rPr>
        <w:t xml:space="preserve">poskytne povinnému </w:t>
      </w:r>
      <w:r w:rsidRPr="00B84146" w:rsidR="009819E6">
        <w:rPr>
          <w:rFonts w:ascii="Book Antiqua" w:hAnsi="Book Antiqua"/>
          <w:sz w:val="22"/>
          <w:szCs w:val="22"/>
        </w:rPr>
        <w:t>nevyhnutnú</w:t>
      </w:r>
      <w:r w:rsidRPr="00B84146" w:rsidR="00773EC7">
        <w:rPr>
          <w:rFonts w:ascii="Book Antiqua" w:hAnsi="Book Antiqua"/>
          <w:sz w:val="22"/>
          <w:szCs w:val="22"/>
        </w:rPr>
        <w:t xml:space="preserve"> mieru ochrany. </w:t>
      </w:r>
      <w:r w:rsidR="00B84146">
        <w:rPr>
          <w:rFonts w:ascii="Book Antiqua" w:hAnsi="Book Antiqua"/>
          <w:sz w:val="22"/>
          <w:szCs w:val="22"/>
        </w:rPr>
        <w:t>Významným dôvodom pre takúto zákonnú úpravu je skutočnosť</w:t>
      </w:r>
      <w:r w:rsidRPr="00B84146" w:rsidR="0021663F">
        <w:rPr>
          <w:rFonts w:ascii="Book Antiqua" w:hAnsi="Book Antiqua"/>
          <w:sz w:val="22"/>
          <w:szCs w:val="22"/>
        </w:rPr>
        <w:t>, že výkonom exekúcie formou predaja nehnuteľnosti</w:t>
      </w:r>
      <w:r w:rsidR="00C763A8">
        <w:rPr>
          <w:rFonts w:ascii="Book Antiqua" w:hAnsi="Book Antiqua"/>
          <w:sz w:val="22"/>
          <w:szCs w:val="22"/>
        </w:rPr>
        <w:t xml:space="preserve"> vo vlastníctve povinného</w:t>
      </w:r>
      <w:r w:rsidR="00B84146">
        <w:rPr>
          <w:rFonts w:ascii="Book Antiqua" w:hAnsi="Book Antiqua"/>
          <w:sz w:val="22"/>
          <w:szCs w:val="22"/>
        </w:rPr>
        <w:t>,</w:t>
      </w:r>
      <w:r w:rsidRPr="00B84146" w:rsidR="0021663F">
        <w:rPr>
          <w:rFonts w:ascii="Book Antiqua" w:hAnsi="Book Antiqua"/>
          <w:sz w:val="22"/>
          <w:szCs w:val="22"/>
        </w:rPr>
        <w:t xml:space="preserve"> v ktor</w:t>
      </w:r>
      <w:r w:rsidR="00C763A8">
        <w:rPr>
          <w:rFonts w:ascii="Book Antiqua" w:hAnsi="Book Antiqua"/>
          <w:sz w:val="22"/>
          <w:szCs w:val="22"/>
        </w:rPr>
        <w:t>ej má povinný trvalý alebo prechodný pobyt</w:t>
      </w:r>
      <w:r w:rsidR="00B84146">
        <w:rPr>
          <w:rFonts w:ascii="Book Antiqua" w:hAnsi="Book Antiqua"/>
          <w:sz w:val="22"/>
          <w:szCs w:val="22"/>
        </w:rPr>
        <w:t>, sa z</w:t>
      </w:r>
      <w:r w:rsidRPr="00B84146" w:rsidR="0021663F">
        <w:rPr>
          <w:rFonts w:ascii="Book Antiqua" w:hAnsi="Book Antiqua"/>
          <w:sz w:val="22"/>
          <w:szCs w:val="22"/>
        </w:rPr>
        <w:t> takejto osoby v drvivej väč</w:t>
      </w:r>
      <w:r w:rsidR="00C763A8">
        <w:rPr>
          <w:rFonts w:ascii="Book Antiqua" w:hAnsi="Book Antiqua"/>
          <w:sz w:val="22"/>
          <w:szCs w:val="22"/>
        </w:rPr>
        <w:t xml:space="preserve">šine prípadov stáva bezdomovec. </w:t>
      </w:r>
      <w:r w:rsidRPr="00B84146" w:rsidR="0021663F">
        <w:rPr>
          <w:rFonts w:ascii="Book Antiqua" w:hAnsi="Book Antiqua"/>
          <w:sz w:val="22"/>
          <w:szCs w:val="22"/>
        </w:rPr>
        <w:t>V takom prípade sa problém veriteľa stáva problémom celej spoločnosti. Nehovoriac o tom, že ako</w:t>
      </w:r>
      <w:r w:rsidRPr="00B84146" w:rsidR="00AA1F1E">
        <w:rPr>
          <w:rFonts w:ascii="Book Antiqua" w:hAnsi="Book Antiqua"/>
          <w:sz w:val="22"/>
          <w:szCs w:val="22"/>
        </w:rPr>
        <w:t>náhle</w:t>
      </w:r>
      <w:r w:rsidRPr="00B84146" w:rsidR="0021663F">
        <w:rPr>
          <w:rFonts w:ascii="Book Antiqua" w:hAnsi="Book Antiqua"/>
          <w:sz w:val="22"/>
          <w:szCs w:val="22"/>
        </w:rPr>
        <w:t xml:space="preserve"> sa </w:t>
      </w:r>
      <w:r w:rsidRPr="00B84146" w:rsidR="00AA1F1E">
        <w:rPr>
          <w:rFonts w:ascii="Book Antiqua" w:hAnsi="Book Antiqua"/>
          <w:sz w:val="22"/>
          <w:szCs w:val="22"/>
        </w:rPr>
        <w:t xml:space="preserve">osoba stane bezdomovcom, akýkoľvek ďalší výkon </w:t>
      </w:r>
      <w:r w:rsidR="00EA729D">
        <w:rPr>
          <w:rFonts w:ascii="Book Antiqua" w:hAnsi="Book Antiqua"/>
          <w:sz w:val="22"/>
          <w:szCs w:val="22"/>
        </w:rPr>
        <w:t>exekúcie je prakticky nemožný.</w:t>
      </w:r>
    </w:p>
    <w:p w:rsidR="00AA1F1E" w:rsidRPr="00B84146" w:rsidP="00EA729D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84146" w:rsidR="00CE15DC">
        <w:rPr>
          <w:rFonts w:ascii="Book Antiqua" w:hAnsi="Book Antiqua"/>
          <w:sz w:val="22"/>
          <w:szCs w:val="22"/>
        </w:rPr>
        <w:t>Predkladaný návrh zákona nezakladá žiadne vplyv</w:t>
      </w:r>
      <w:r w:rsidRPr="00B84146">
        <w:rPr>
          <w:rFonts w:ascii="Book Antiqua" w:hAnsi="Book Antiqua"/>
          <w:sz w:val="22"/>
          <w:szCs w:val="22"/>
        </w:rPr>
        <w:t xml:space="preserve">y na rozpočet verejnej správy, </w:t>
      </w:r>
      <w:r w:rsidRPr="00B84146" w:rsidR="00CE15DC">
        <w:rPr>
          <w:rFonts w:ascii="Book Antiqua" w:hAnsi="Book Antiqua"/>
          <w:sz w:val="22"/>
          <w:szCs w:val="22"/>
        </w:rPr>
        <w:t xml:space="preserve">na podnikateľské prostredie, </w:t>
      </w:r>
      <w:r w:rsidRPr="00B84146">
        <w:rPr>
          <w:rFonts w:ascii="Book Antiqua" w:hAnsi="Book Antiqua"/>
          <w:sz w:val="22"/>
          <w:szCs w:val="22"/>
        </w:rPr>
        <w:t xml:space="preserve">taktiež </w:t>
      </w:r>
      <w:r w:rsidRPr="00B84146" w:rsidR="00CE15DC">
        <w:rPr>
          <w:rFonts w:ascii="Book Antiqua" w:hAnsi="Book Antiqua"/>
          <w:sz w:val="22"/>
          <w:szCs w:val="22"/>
        </w:rPr>
        <w:t>nemá vplyv na životné prostredie ani na informatizáciu spoločnosti.</w:t>
      </w:r>
      <w:r w:rsidRPr="00B84146" w:rsidR="00704B18">
        <w:rPr>
          <w:rFonts w:ascii="Book Antiqua" w:hAnsi="Book Antiqua"/>
          <w:sz w:val="22"/>
          <w:szCs w:val="22"/>
        </w:rPr>
        <w:t xml:space="preserve"> </w:t>
      </w:r>
      <w:r w:rsidRPr="00B84146" w:rsidR="009819E6">
        <w:rPr>
          <w:rFonts w:ascii="Book Antiqua" w:hAnsi="Book Antiqua"/>
          <w:sz w:val="22"/>
          <w:szCs w:val="22"/>
        </w:rPr>
        <w:t xml:space="preserve">Predkladaný návrh zákona </w:t>
      </w:r>
      <w:r w:rsidRPr="00B84146">
        <w:rPr>
          <w:rFonts w:ascii="Book Antiqua" w:hAnsi="Book Antiqua"/>
          <w:sz w:val="22"/>
          <w:szCs w:val="22"/>
        </w:rPr>
        <w:t>má pozitívne sociálne</w:t>
      </w:r>
      <w:r w:rsidRPr="00B84146" w:rsidR="009819E6">
        <w:rPr>
          <w:rFonts w:ascii="Book Antiqua" w:hAnsi="Book Antiqua"/>
          <w:sz w:val="22"/>
          <w:szCs w:val="22"/>
        </w:rPr>
        <w:t xml:space="preserve"> vplyv</w:t>
      </w:r>
      <w:r w:rsidRPr="00B84146">
        <w:rPr>
          <w:rFonts w:ascii="Book Antiqua" w:hAnsi="Book Antiqua"/>
          <w:sz w:val="22"/>
          <w:szCs w:val="22"/>
        </w:rPr>
        <w:t>y, a to konkrétne na sociálnu exklúziu obyvateľstva</w:t>
      </w:r>
      <w:r w:rsidRPr="00B84146" w:rsidR="009819E6">
        <w:rPr>
          <w:rFonts w:ascii="Book Antiqua" w:hAnsi="Book Antiqua"/>
          <w:sz w:val="22"/>
          <w:szCs w:val="22"/>
        </w:rPr>
        <w:t>.</w:t>
      </w:r>
    </w:p>
    <w:p w:rsidR="00CE15DC" w:rsidRPr="00B84146" w:rsidP="00B8414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br w:type="page"/>
        <w:t>B. Osobitná časť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K </w:t>
      </w:r>
      <w:r w:rsidRPr="00B84146" w:rsidR="00191A60">
        <w:rPr>
          <w:rFonts w:ascii="Book Antiqua" w:hAnsi="Book Antiqua"/>
          <w:b/>
          <w:bCs/>
          <w:sz w:val="22"/>
          <w:szCs w:val="22"/>
        </w:rPr>
        <w:t>Č</w:t>
      </w:r>
      <w:r w:rsidRPr="00B84146">
        <w:rPr>
          <w:rFonts w:ascii="Book Antiqua" w:hAnsi="Book Antiqua"/>
          <w:b/>
          <w:bCs/>
          <w:sz w:val="22"/>
          <w:szCs w:val="22"/>
        </w:rPr>
        <w:t xml:space="preserve">l. I 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84146" w:rsidR="00FB40E1">
        <w:rPr>
          <w:rFonts w:ascii="Book Antiqua" w:hAnsi="Book Antiqua"/>
          <w:bCs/>
          <w:sz w:val="22"/>
          <w:szCs w:val="22"/>
          <w:u w:val="single"/>
        </w:rPr>
        <w:t>K bodu</w:t>
      </w:r>
      <w:r w:rsidRPr="00B84146">
        <w:rPr>
          <w:rFonts w:ascii="Book Antiqua" w:hAnsi="Book Antiqua"/>
          <w:bCs/>
          <w:sz w:val="22"/>
          <w:szCs w:val="22"/>
          <w:u w:val="single"/>
        </w:rPr>
        <w:t> 1</w:t>
      </w:r>
    </w:p>
    <w:p w:rsidR="006B19BC" w:rsidRPr="00B84146" w:rsidP="00B8414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B84146" w:rsidR="005E15D2">
        <w:rPr>
          <w:rFonts w:ascii="Book Antiqua" w:hAnsi="Book Antiqua"/>
          <w:bCs/>
          <w:sz w:val="22"/>
          <w:szCs w:val="22"/>
        </w:rPr>
        <w:t xml:space="preserve">Exekúcia </w:t>
      </w:r>
      <w:r w:rsidR="00EA729D">
        <w:rPr>
          <w:rFonts w:ascii="Book Antiqua" w:hAnsi="Book Antiqua"/>
          <w:bCs/>
          <w:sz w:val="22"/>
          <w:szCs w:val="22"/>
        </w:rPr>
        <w:t xml:space="preserve">je </w:t>
      </w:r>
      <w:r w:rsidRPr="00B84146" w:rsidR="005E15D2">
        <w:rPr>
          <w:rFonts w:ascii="Book Antiqua" w:hAnsi="Book Antiqua"/>
          <w:bCs/>
          <w:sz w:val="22"/>
          <w:szCs w:val="22"/>
        </w:rPr>
        <w:t xml:space="preserve">v prvom rade nástrojom a poslednou možnosťou veriteľov na uspokojenie ich nesplatených pohľadávok. Napriek nespochybniteľnej legitimite exekúcie je však za istých okolností potrebné </w:t>
      </w:r>
      <w:r w:rsidRPr="00B84146">
        <w:rPr>
          <w:rFonts w:ascii="Book Antiqua" w:hAnsi="Book Antiqua"/>
          <w:bCs/>
          <w:sz w:val="22"/>
          <w:szCs w:val="22"/>
        </w:rPr>
        <w:t>brať ohľad</w:t>
      </w:r>
      <w:r w:rsidRPr="00B84146" w:rsidR="005E15D2">
        <w:rPr>
          <w:rFonts w:ascii="Book Antiqua" w:hAnsi="Book Antiqua"/>
          <w:bCs/>
          <w:sz w:val="22"/>
          <w:szCs w:val="22"/>
        </w:rPr>
        <w:t xml:space="preserve"> aj na osobu povinného. V drvivej väčšine p</w:t>
      </w:r>
      <w:r w:rsidR="00EA729D">
        <w:rPr>
          <w:rFonts w:ascii="Book Antiqua" w:hAnsi="Book Antiqua"/>
          <w:bCs/>
          <w:sz w:val="22"/>
          <w:szCs w:val="22"/>
        </w:rPr>
        <w:t xml:space="preserve">rípadov neexistuje spoločenská potreba ani záujem </w:t>
      </w:r>
      <w:r w:rsidRPr="00B84146" w:rsidR="005E15D2">
        <w:rPr>
          <w:rFonts w:ascii="Book Antiqua" w:hAnsi="Book Antiqua"/>
          <w:bCs/>
          <w:sz w:val="22"/>
          <w:szCs w:val="22"/>
        </w:rPr>
        <w:t>na určitej miere ochrany povinného, pretože povinný je tým subjektom, ktorý neplnil</w:t>
      </w:r>
      <w:r w:rsidR="00EA729D">
        <w:rPr>
          <w:rFonts w:ascii="Book Antiqua" w:hAnsi="Book Antiqua"/>
          <w:bCs/>
          <w:sz w:val="22"/>
          <w:szCs w:val="22"/>
        </w:rPr>
        <w:t>,</w:t>
      </w:r>
      <w:r w:rsidRPr="00B84146" w:rsidR="005E15D2">
        <w:rPr>
          <w:rFonts w:ascii="Book Antiqua" w:hAnsi="Book Antiqua"/>
          <w:bCs/>
          <w:sz w:val="22"/>
          <w:szCs w:val="22"/>
        </w:rPr>
        <w:t xml:space="preserve"> teda porušil svoju zmluvnú alebo zákonnú povinnosť</w:t>
      </w:r>
      <w:r w:rsidRPr="00B84146">
        <w:rPr>
          <w:rFonts w:ascii="Book Antiqua" w:hAnsi="Book Antiqua"/>
          <w:bCs/>
          <w:sz w:val="22"/>
          <w:szCs w:val="22"/>
        </w:rPr>
        <w:t xml:space="preserve"> plniť</w:t>
      </w:r>
      <w:r w:rsidRPr="00B84146" w:rsidR="005E15D2">
        <w:rPr>
          <w:rFonts w:ascii="Book Antiqua" w:hAnsi="Book Antiqua"/>
          <w:bCs/>
          <w:sz w:val="22"/>
          <w:szCs w:val="22"/>
        </w:rPr>
        <w:t>.</w:t>
      </w:r>
      <w:r w:rsidRPr="00B84146">
        <w:rPr>
          <w:rFonts w:ascii="Book Antiqua" w:hAnsi="Book Antiqua"/>
          <w:bCs/>
          <w:sz w:val="22"/>
          <w:szCs w:val="22"/>
        </w:rPr>
        <w:t xml:space="preserve"> </w:t>
      </w:r>
    </w:p>
    <w:p w:rsidR="006B19BC" w:rsidRPr="00B84146" w:rsidP="00B8414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B84146">
        <w:rPr>
          <w:rFonts w:ascii="Book Antiqua" w:hAnsi="Book Antiqua"/>
          <w:bCs/>
          <w:sz w:val="22"/>
          <w:szCs w:val="22"/>
        </w:rPr>
        <w:t>Za istých okolností však môže mať uspokojenie veriteľovej poh</w:t>
      </w:r>
      <w:r w:rsidR="00EA729D">
        <w:rPr>
          <w:rFonts w:ascii="Book Antiqua" w:hAnsi="Book Antiqua"/>
          <w:bCs/>
          <w:sz w:val="22"/>
          <w:szCs w:val="22"/>
        </w:rPr>
        <w:t>ľadávky predstavovať  dopad nie</w:t>
      </w:r>
      <w:r w:rsidRPr="00B84146">
        <w:rPr>
          <w:rFonts w:ascii="Book Antiqua" w:hAnsi="Book Antiqua"/>
          <w:bCs/>
          <w:sz w:val="22"/>
          <w:szCs w:val="22"/>
        </w:rPr>
        <w:t xml:space="preserve">len na osobu veriteľa, ale aj na jeho širšie okolie. Nepochybne najradikálnejším spôsobom uhradenia pohľadávky v exekučnom konaní predstavuje predaj nehnuteľnosti, v ktorej </w:t>
      </w:r>
      <w:r w:rsidRPr="00B84146" w:rsidR="003D1E93">
        <w:rPr>
          <w:rFonts w:ascii="Book Antiqua" w:hAnsi="Book Antiqua"/>
          <w:bCs/>
          <w:sz w:val="22"/>
          <w:szCs w:val="22"/>
        </w:rPr>
        <w:t xml:space="preserve">má </w:t>
      </w:r>
      <w:r w:rsidRPr="00B84146">
        <w:rPr>
          <w:rFonts w:ascii="Book Antiqua" w:hAnsi="Book Antiqua"/>
          <w:bCs/>
          <w:sz w:val="22"/>
          <w:szCs w:val="22"/>
        </w:rPr>
        <w:t xml:space="preserve">povinný </w:t>
      </w:r>
      <w:r w:rsidRPr="00B84146" w:rsidR="003D1E93">
        <w:rPr>
          <w:rFonts w:ascii="Book Antiqua" w:hAnsi="Book Antiqua"/>
          <w:bCs/>
          <w:sz w:val="22"/>
          <w:szCs w:val="22"/>
        </w:rPr>
        <w:t>trvalý pobyt</w:t>
      </w:r>
      <w:r w:rsidRPr="00B84146">
        <w:rPr>
          <w:rFonts w:ascii="Book Antiqua" w:hAnsi="Book Antiqua"/>
          <w:bCs/>
          <w:sz w:val="22"/>
          <w:szCs w:val="22"/>
        </w:rPr>
        <w:t>. Vzhľadom na mieru zásahu do vlastníckych práv povinného ako aj skutočnosti, že takýto zásah sa súčasne dotkne</w:t>
      </w:r>
      <w:r w:rsidRPr="00B84146" w:rsidR="00D41D13">
        <w:rPr>
          <w:rFonts w:ascii="Book Antiqua" w:hAnsi="Book Antiqua"/>
          <w:bCs/>
          <w:sz w:val="22"/>
          <w:szCs w:val="22"/>
        </w:rPr>
        <w:t xml:space="preserve"> aj osôb, ktoré s povinným v predmetnej nehnuteľnosti bývajú, je potrebné daný inštitút nastaviť obzvlášť citlivo a obozretne. </w:t>
      </w:r>
      <w:r w:rsidRPr="00B84146">
        <w:rPr>
          <w:rFonts w:ascii="Book Antiqua" w:hAnsi="Book Antiqua"/>
          <w:bCs/>
          <w:sz w:val="22"/>
          <w:szCs w:val="22"/>
        </w:rPr>
        <w:t xml:space="preserve"> </w:t>
      </w:r>
    </w:p>
    <w:p w:rsidR="00D41D13" w:rsidRPr="00B84146" w:rsidP="00B8414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B84146">
        <w:rPr>
          <w:rFonts w:ascii="Book Antiqua" w:hAnsi="Book Antiqua"/>
          <w:bCs/>
          <w:sz w:val="22"/>
          <w:szCs w:val="22"/>
        </w:rPr>
        <w:t>Predaj nehnuteľnosti, v ktorej povinný býva</w:t>
      </w:r>
      <w:r w:rsidR="00EA729D">
        <w:rPr>
          <w:rFonts w:ascii="Book Antiqua" w:hAnsi="Book Antiqua"/>
          <w:bCs/>
          <w:sz w:val="22"/>
          <w:szCs w:val="22"/>
        </w:rPr>
        <w:t>,</w:t>
      </w:r>
      <w:r w:rsidRPr="00B84146">
        <w:rPr>
          <w:rFonts w:ascii="Book Antiqua" w:hAnsi="Book Antiqua"/>
          <w:bCs/>
          <w:sz w:val="22"/>
          <w:szCs w:val="22"/>
        </w:rPr>
        <w:t xml:space="preserve"> predstavuje akúsi „poslednú inštanciu</w:t>
      </w:r>
      <w:r w:rsidRPr="00B84146" w:rsidR="00760763">
        <w:rPr>
          <w:rFonts w:ascii="Book Antiqua" w:hAnsi="Book Antiqua"/>
          <w:bCs/>
          <w:sz w:val="22"/>
          <w:szCs w:val="22"/>
        </w:rPr>
        <w:t>“ v rámci exekučného konania, a preto je</w:t>
      </w:r>
      <w:r w:rsidRPr="00B84146">
        <w:rPr>
          <w:rFonts w:ascii="Book Antiqua" w:hAnsi="Book Antiqua"/>
          <w:bCs/>
          <w:sz w:val="22"/>
          <w:szCs w:val="22"/>
        </w:rPr>
        <w:t xml:space="preserve"> potrebné </w:t>
      </w:r>
      <w:r w:rsidRPr="00B84146" w:rsidR="00760763">
        <w:rPr>
          <w:rFonts w:ascii="Book Antiqua" w:hAnsi="Book Antiqua"/>
          <w:bCs/>
          <w:sz w:val="22"/>
          <w:szCs w:val="22"/>
        </w:rPr>
        <w:t xml:space="preserve">k takémuto spôsobu exekúcie </w:t>
      </w:r>
      <w:r w:rsidRPr="00B84146">
        <w:rPr>
          <w:rFonts w:ascii="Book Antiqua" w:hAnsi="Book Antiqua"/>
          <w:bCs/>
          <w:sz w:val="22"/>
          <w:szCs w:val="22"/>
        </w:rPr>
        <w:t xml:space="preserve">pristupovať ako </w:t>
      </w:r>
      <w:r w:rsidRPr="00B84146" w:rsidR="00760763">
        <w:rPr>
          <w:rFonts w:ascii="Book Antiqua" w:hAnsi="Book Antiqua"/>
          <w:bCs/>
          <w:sz w:val="22"/>
          <w:szCs w:val="22"/>
        </w:rPr>
        <w:t xml:space="preserve">ku </w:t>
      </w:r>
      <w:r w:rsidRPr="00B84146">
        <w:rPr>
          <w:rFonts w:ascii="Book Antiqua" w:hAnsi="Book Antiqua"/>
          <w:bCs/>
          <w:sz w:val="22"/>
          <w:szCs w:val="22"/>
        </w:rPr>
        <w:t>krajné</w:t>
      </w:r>
      <w:r w:rsidRPr="00B84146" w:rsidR="00760763">
        <w:rPr>
          <w:rFonts w:ascii="Book Antiqua" w:hAnsi="Book Antiqua"/>
          <w:bCs/>
          <w:sz w:val="22"/>
          <w:szCs w:val="22"/>
        </w:rPr>
        <w:t>mu riešeniu</w:t>
      </w:r>
      <w:r w:rsidRPr="00B84146">
        <w:rPr>
          <w:rFonts w:ascii="Book Antiqua" w:hAnsi="Book Antiqua"/>
          <w:bCs/>
          <w:sz w:val="22"/>
          <w:szCs w:val="22"/>
        </w:rPr>
        <w:t xml:space="preserve"> len v odôvodnených prípadoch. </w:t>
      </w:r>
    </w:p>
    <w:p w:rsidR="00E02E01" w:rsidRPr="00B84146" w:rsidP="00B8414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B84146" w:rsidR="00004139">
        <w:rPr>
          <w:rFonts w:ascii="Book Antiqua" w:hAnsi="Book Antiqua"/>
          <w:bCs/>
          <w:sz w:val="22"/>
          <w:szCs w:val="22"/>
        </w:rPr>
        <w:t xml:space="preserve">V súčasnosti platné znenie ustanovenia § 63 ods. 2 zákona č. č. 233/1995 Z. z. o súdnych exekútoroch a exekučnej činnosti (Exekučný poriadok) a o zmene a doplnení ďalších zákonov v znení neskorších právnych predpisov umožňuje vykonať exekúciu predajom nehnuteľnosti v ktorej má povinný nahlásený trvalý pobyt už pri exekúcií peňažnej pohľadávky prevyšujúcej </w:t>
      </w:r>
      <w:r w:rsidR="00EA729D">
        <w:rPr>
          <w:rFonts w:ascii="Book Antiqua" w:hAnsi="Book Antiqua"/>
          <w:bCs/>
          <w:sz w:val="22"/>
          <w:szCs w:val="22"/>
        </w:rPr>
        <w:t xml:space="preserve">bez príslušenstva ku dňu doručenia návrhu na vykonanie exekúcie </w:t>
      </w:r>
      <w:r w:rsidRPr="00B84146" w:rsidR="00004139">
        <w:rPr>
          <w:rFonts w:ascii="Book Antiqua" w:hAnsi="Book Antiqua"/>
          <w:bCs/>
          <w:sz w:val="22"/>
          <w:szCs w:val="22"/>
        </w:rPr>
        <w:t xml:space="preserve">sumu 2 000 eur. </w:t>
      </w:r>
      <w:r w:rsidRPr="00B84146">
        <w:rPr>
          <w:rFonts w:ascii="Book Antiqua" w:hAnsi="Book Antiqua"/>
          <w:bCs/>
          <w:sz w:val="22"/>
          <w:szCs w:val="22"/>
        </w:rPr>
        <w:t>Nízko stanovená minimálna výška</w:t>
      </w:r>
      <w:r w:rsidRPr="00B84146" w:rsidR="00BB3D1E">
        <w:rPr>
          <w:rFonts w:ascii="Book Antiqua" w:hAnsi="Book Antiqua"/>
          <w:bCs/>
          <w:sz w:val="22"/>
          <w:szCs w:val="22"/>
        </w:rPr>
        <w:t xml:space="preserve"> </w:t>
      </w:r>
      <w:r w:rsidRPr="00B84146">
        <w:rPr>
          <w:rFonts w:ascii="Book Antiqua" w:hAnsi="Book Antiqua"/>
          <w:bCs/>
          <w:sz w:val="22"/>
          <w:szCs w:val="22"/>
        </w:rPr>
        <w:t xml:space="preserve">peňažnej </w:t>
      </w:r>
      <w:r w:rsidRPr="00B84146" w:rsidR="00BB3D1E">
        <w:rPr>
          <w:rFonts w:ascii="Book Antiqua" w:hAnsi="Book Antiqua"/>
          <w:bCs/>
          <w:sz w:val="22"/>
          <w:szCs w:val="22"/>
        </w:rPr>
        <w:t xml:space="preserve">pohľadávky </w:t>
      </w:r>
      <w:r w:rsidRPr="00B84146">
        <w:rPr>
          <w:rFonts w:ascii="Book Antiqua" w:hAnsi="Book Antiqua"/>
          <w:bCs/>
          <w:sz w:val="22"/>
          <w:szCs w:val="22"/>
        </w:rPr>
        <w:t xml:space="preserve">neraz spôsobuje </w:t>
      </w:r>
      <w:r w:rsidRPr="00B84146" w:rsidR="008F7CCE">
        <w:rPr>
          <w:rFonts w:ascii="Book Antiqua" w:hAnsi="Book Antiqua"/>
          <w:bCs/>
          <w:sz w:val="22"/>
          <w:szCs w:val="22"/>
        </w:rPr>
        <w:t xml:space="preserve">značný nepomer medzi vymáhanou sumou a hodnotou nehnuteľnosti. </w:t>
      </w:r>
    </w:p>
    <w:p w:rsidR="00973A81" w:rsidRPr="00B84146" w:rsidP="00EA729D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B84146">
        <w:rPr>
          <w:rFonts w:ascii="Book Antiqua" w:hAnsi="Book Antiqua"/>
          <w:bCs/>
          <w:sz w:val="22"/>
          <w:szCs w:val="22"/>
        </w:rPr>
        <w:t xml:space="preserve">Stanovenie minimálnej výšky peňažnej pohľadávky na sumu 10 000 eur, vo väčšine prípadov výrazným spôsobom zníži nepomer medzi vymáhanou sumou a hodnotou nehnuteľnosti. </w:t>
      </w:r>
      <w:r w:rsidRPr="00B84146" w:rsidR="00D756E1">
        <w:rPr>
          <w:rFonts w:ascii="Book Antiqua" w:hAnsi="Book Antiqua"/>
          <w:bCs/>
          <w:sz w:val="22"/>
          <w:szCs w:val="22"/>
        </w:rPr>
        <w:t>Suma 10 000 eur predstavuje v závislosti od jednotlivých krajov Slovenskej republiky štvrtinu až tret</w:t>
      </w:r>
      <w:r w:rsidR="00EA729D">
        <w:rPr>
          <w:rFonts w:ascii="Book Antiqua" w:hAnsi="Book Antiqua"/>
          <w:bCs/>
          <w:sz w:val="22"/>
          <w:szCs w:val="22"/>
        </w:rPr>
        <w:t>inu ceny bytu s rozlohou 50 m².</w:t>
      </w:r>
    </w:p>
    <w:p w:rsidR="008B7305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84146" w:rsidR="00FB40E1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8B7305" w:rsidRPr="00B84146" w:rsidP="00B8414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B84146">
        <w:rPr>
          <w:rFonts w:ascii="Book Antiqua" w:hAnsi="Book Antiqua"/>
          <w:bCs/>
          <w:sz w:val="22"/>
          <w:szCs w:val="22"/>
        </w:rPr>
        <w:t xml:space="preserve">Ide </w:t>
      </w:r>
      <w:r w:rsidRPr="00B84146" w:rsidR="00FB40E1">
        <w:rPr>
          <w:rFonts w:ascii="Book Antiqua" w:hAnsi="Book Antiqua"/>
          <w:bCs/>
          <w:sz w:val="22"/>
          <w:szCs w:val="22"/>
        </w:rPr>
        <w:t>o legislatívno-technickú úpravu</w:t>
      </w:r>
      <w:r w:rsidR="00EA729D">
        <w:rPr>
          <w:rFonts w:ascii="Book Antiqua" w:hAnsi="Book Antiqua"/>
          <w:bCs/>
          <w:sz w:val="22"/>
          <w:szCs w:val="22"/>
        </w:rPr>
        <w:t xml:space="preserve"> bezprostredne súvisiacu s Čl. I bodom 1 tohto návrhu zákona z dôvodu, že za drobné exekúcie sa majú aj naďalej považovať len exekúcie na vymoženie peňažnej pohľadávky, ktorá bez príslušenstva ku dňu doručenia návrhu na vykonanie exekúcie neprevyšuje sumu 2 000 eur.</w:t>
      </w:r>
    </w:p>
    <w:p w:rsidR="00DE14D3" w:rsidP="00EA729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DE14D3" w:rsidP="00EA729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EA729D" w:rsidP="00EA729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84146" w:rsidR="00764FEC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764FEC" w:rsidRPr="00EA729D" w:rsidP="00EA729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84146">
        <w:rPr>
          <w:rFonts w:ascii="Book Antiqua" w:hAnsi="Book Antiqua"/>
          <w:bCs/>
          <w:sz w:val="22"/>
          <w:szCs w:val="22"/>
        </w:rPr>
        <w:t>Ide o legislatívno-technickú úpravu. Návrh zákona mieni ponechať právnu úpravu tzv. drobnej</w:t>
      </w:r>
      <w:r w:rsidR="00DE14D3">
        <w:rPr>
          <w:rFonts w:ascii="Book Antiqua" w:hAnsi="Book Antiqua"/>
          <w:bCs/>
          <w:sz w:val="22"/>
          <w:szCs w:val="22"/>
        </w:rPr>
        <w:t xml:space="preserve"> exekúcie v platnom znení, </w:t>
      </w:r>
      <w:r w:rsidRPr="00B84146">
        <w:rPr>
          <w:rFonts w:ascii="Book Antiqua" w:hAnsi="Book Antiqua"/>
          <w:bCs/>
          <w:sz w:val="22"/>
          <w:szCs w:val="22"/>
        </w:rPr>
        <w:t>aby sa za drobnú exekúciu aj naďalej považovala exekúcia</w:t>
      </w:r>
      <w:r w:rsidRPr="00EA729D" w:rsidR="00EA729D">
        <w:rPr>
          <w:rFonts w:ascii="Book Antiqua" w:hAnsi="Book Antiqua"/>
          <w:bCs/>
          <w:sz w:val="22"/>
          <w:szCs w:val="22"/>
        </w:rPr>
        <w:t xml:space="preserve"> </w:t>
      </w:r>
      <w:r w:rsidR="00EA729D">
        <w:rPr>
          <w:rFonts w:ascii="Book Antiqua" w:hAnsi="Book Antiqua"/>
          <w:bCs/>
          <w:sz w:val="22"/>
          <w:szCs w:val="22"/>
        </w:rPr>
        <w:t>na vymoženie peňažnej pohľadávky, ktorá bez príslušenstva ku dňu doručenia návrhu na vykonanie exekúcie neprevyšuje sumu 2 000 eur.</w:t>
      </w:r>
    </w:p>
    <w:p w:rsidR="00764FE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B84146">
        <w:rPr>
          <w:rFonts w:ascii="Book Antiqua" w:hAnsi="Book Antiqua"/>
          <w:bCs/>
          <w:sz w:val="22"/>
          <w:szCs w:val="22"/>
          <w:u w:val="single"/>
        </w:rPr>
        <w:t>K bodu 4</w:t>
      </w:r>
    </w:p>
    <w:p w:rsidR="00764FEC" w:rsidP="00B8414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B84146">
        <w:rPr>
          <w:rFonts w:ascii="Book Antiqua" w:hAnsi="Book Antiqua"/>
          <w:bCs/>
          <w:sz w:val="22"/>
          <w:szCs w:val="22"/>
        </w:rPr>
        <w:t>Ide o legislatívno-techn</w:t>
      </w:r>
      <w:r w:rsidR="00DE14D3">
        <w:rPr>
          <w:rFonts w:ascii="Book Antiqua" w:hAnsi="Book Antiqua"/>
          <w:bCs/>
          <w:sz w:val="22"/>
          <w:szCs w:val="22"/>
        </w:rPr>
        <w:t xml:space="preserve">ickú úpravu </w:t>
      </w:r>
      <w:r w:rsidR="00EA729D">
        <w:rPr>
          <w:rFonts w:ascii="Book Antiqua" w:hAnsi="Book Antiqua"/>
          <w:bCs/>
          <w:sz w:val="22"/>
          <w:szCs w:val="22"/>
        </w:rPr>
        <w:t>bezprostredne súvisiacu s Čl. I bodom 1 tohto návrhu zákona</w:t>
      </w:r>
      <w:r w:rsidRPr="00B84146">
        <w:rPr>
          <w:rFonts w:ascii="Book Antiqua" w:hAnsi="Book Antiqua"/>
          <w:bCs/>
          <w:sz w:val="22"/>
          <w:szCs w:val="22"/>
        </w:rPr>
        <w:t>.</w:t>
      </w:r>
    </w:p>
    <w:p w:rsidR="00A26772" w:rsidP="00A267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26772">
        <w:rPr>
          <w:rFonts w:ascii="Book Antiqua" w:hAnsi="Book Antiqua"/>
          <w:bCs/>
          <w:sz w:val="22"/>
          <w:szCs w:val="22"/>
          <w:u w:val="single"/>
        </w:rPr>
        <w:t>K bodu 5</w:t>
      </w:r>
    </w:p>
    <w:p w:rsidR="00A26772" w:rsidP="00A267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lang w:eastAsia="en-US"/>
        </w:rPr>
      </w:pPr>
      <w:r w:rsidR="009139B6">
        <w:rPr>
          <w:rFonts w:ascii="Book Antiqua" w:hAnsi="Book Antiqua"/>
          <w:bCs/>
          <w:sz w:val="22"/>
          <w:szCs w:val="22"/>
        </w:rPr>
        <w:tab/>
        <w:t>V prechodných ustanoveniach sa zakotvuje nové obmedzenie (10 000 eur) aj pre tie exekučné konania, ktoré začali pred nadobudnutím účinnosti zákona. Ide o tzv. nepravú retroaktivitu.</w:t>
      </w:r>
      <w:r w:rsidRPr="009139B6" w:rsidR="009139B6">
        <w:rPr>
          <w:rFonts w:ascii="Book Antiqua" w:hAnsi="Book Antiqua"/>
          <w:sz w:val="22"/>
          <w:szCs w:val="22"/>
          <w:lang w:eastAsia="en-US"/>
        </w:rPr>
        <w:t xml:space="preserve"> </w:t>
      </w:r>
      <w:r w:rsidRPr="00F068B7" w:rsidR="009139B6">
        <w:rPr>
          <w:rFonts w:ascii="Book Antiqua" w:hAnsi="Book Antiqua"/>
          <w:sz w:val="22"/>
          <w:szCs w:val="22"/>
          <w:lang w:eastAsia="en-US"/>
        </w:rPr>
        <w:t xml:space="preserve">Pojem </w:t>
      </w:r>
      <w:r w:rsidRPr="00F068B7" w:rsidR="009139B6">
        <w:rPr>
          <w:rFonts w:ascii="Book Antiqua" w:hAnsi="Book Antiqua"/>
          <w:i/>
          <w:sz w:val="22"/>
          <w:szCs w:val="22"/>
        </w:rPr>
        <w:t>„nepravá retroaktivita“</w:t>
      </w:r>
      <w:r w:rsidR="009139B6">
        <w:rPr>
          <w:rFonts w:ascii="Book Antiqua" w:hAnsi="Book Antiqua"/>
          <w:sz w:val="22"/>
          <w:szCs w:val="22"/>
        </w:rPr>
        <w:t xml:space="preserve"> </w:t>
      </w:r>
      <w:r w:rsidRPr="00F068B7" w:rsidR="009139B6">
        <w:rPr>
          <w:rFonts w:ascii="Book Antiqua" w:hAnsi="Book Antiqua"/>
          <w:sz w:val="22"/>
          <w:szCs w:val="22"/>
          <w:lang w:eastAsia="en-US"/>
        </w:rPr>
        <w:t>používa aj Ústavný súd Slovenskej republiky a vysvetľuje ho napr. nasledovne:</w:t>
      </w:r>
      <w:r w:rsidR="009139B6">
        <w:rPr>
          <w:rFonts w:ascii="Book Antiqua" w:hAnsi="Book Antiqua"/>
          <w:sz w:val="22"/>
          <w:szCs w:val="22"/>
          <w:lang w:eastAsia="en-US"/>
        </w:rPr>
        <w:t xml:space="preserve"> </w:t>
      </w:r>
      <w:r w:rsidR="009139B6">
        <w:rPr>
          <w:rFonts w:ascii="Book Antiqua" w:hAnsi="Book Antiqua"/>
          <w:i/>
          <w:sz w:val="22"/>
          <w:szCs w:val="22"/>
          <w:lang w:eastAsia="en-US"/>
        </w:rPr>
        <w:t>„</w:t>
      </w:r>
      <w:r w:rsidR="009139B6">
        <w:rPr>
          <w:rFonts w:ascii="Book Antiqua" w:hAnsi="Book Antiqua"/>
          <w:i/>
          <w:sz w:val="22"/>
          <w:szCs w:val="22"/>
          <w:lang w:val="cs-CZ"/>
        </w:rPr>
        <w:t>[</w:t>
      </w:r>
      <w:r w:rsidRPr="00F068B7" w:rsidR="009139B6">
        <w:rPr>
          <w:rFonts w:ascii="Book Antiqua" w:hAnsi="Book Antiqua"/>
          <w:i/>
          <w:sz w:val="22"/>
          <w:szCs w:val="22"/>
          <w:lang w:val="cs-CZ"/>
        </w:rPr>
        <w:t>…</w:t>
      </w:r>
      <w:r w:rsidR="009139B6">
        <w:rPr>
          <w:rFonts w:ascii="Book Antiqua" w:hAnsi="Book Antiqua"/>
          <w:i/>
          <w:sz w:val="22"/>
          <w:szCs w:val="22"/>
          <w:lang w:val="cs-CZ"/>
        </w:rPr>
        <w:t xml:space="preserve">] </w:t>
      </w:r>
      <w:r w:rsidRPr="00F068B7" w:rsidR="009139B6">
        <w:rPr>
          <w:rFonts w:ascii="Book Antiqua" w:hAnsi="Book Antiqua"/>
          <w:i/>
          <w:sz w:val="22"/>
          <w:szCs w:val="22"/>
          <w:lang w:eastAsia="en-US"/>
        </w:rPr>
        <w:t>zákon právne kvalifikuje tie právne úkony, ku ktorým došlo ešte pred  nadobudnutím jeho účinnosti, v dôsledku čoho však môže dôjsť k zmene alebo zrušeniu tých  právnych účinkov, ktoré boli predtým späté s ich uzavretím“</w:t>
      </w:r>
      <w:r w:rsidRPr="00F068B7" w:rsidR="009139B6">
        <w:rPr>
          <w:rFonts w:ascii="Book Antiqua" w:hAnsi="Book Antiqua"/>
          <w:b/>
          <w:i/>
          <w:sz w:val="22"/>
          <w:szCs w:val="22"/>
          <w:lang w:eastAsia="en-US"/>
        </w:rPr>
        <w:t xml:space="preserve"> </w:t>
      </w:r>
      <w:r w:rsidRPr="00F068B7" w:rsidR="009139B6">
        <w:rPr>
          <w:rFonts w:ascii="Book Antiqua" w:hAnsi="Book Antiqua"/>
          <w:sz w:val="22"/>
          <w:szCs w:val="22"/>
          <w:lang w:eastAsia="en-US"/>
        </w:rPr>
        <w:t>(nález Ústavného súdu SR sp. zn. PL. ÚS 38/99 zo dňa 23. júna 1999).</w:t>
      </w:r>
    </w:p>
    <w:p w:rsidR="009139B6" w:rsidRPr="00A26772" w:rsidP="00A267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en-US"/>
        </w:rPr>
        <w:tab/>
      </w:r>
      <w:r>
        <w:rPr>
          <w:rFonts w:ascii="Book Antiqua" w:hAnsi="Book Antiqua"/>
          <w:bCs/>
          <w:sz w:val="22"/>
          <w:szCs w:val="22"/>
          <w:lang w:eastAsia="en-US"/>
        </w:rPr>
        <w:t>V tejto</w:t>
      </w:r>
      <w:r w:rsidRPr="00F068B7">
        <w:rPr>
          <w:rFonts w:ascii="Book Antiqua" w:hAnsi="Book Antiqua"/>
          <w:bCs/>
          <w:sz w:val="22"/>
          <w:szCs w:val="22"/>
          <w:lang w:eastAsia="en-US"/>
        </w:rPr>
        <w:t xml:space="preserve"> súvislosti je dôležité aj uznesenie </w:t>
      </w:r>
      <w:r w:rsidRPr="00F068B7">
        <w:rPr>
          <w:rFonts w:ascii="Book Antiqua" w:hAnsi="Book Antiqua"/>
          <w:bCs/>
          <w:iCs/>
          <w:sz w:val="22"/>
          <w:szCs w:val="22"/>
          <w:lang w:eastAsia="en-US"/>
        </w:rPr>
        <w:t>Najvyššieho súdu Slovenskej republiky sp. zn. 4 Cdo 98/2010 zo dňa z 29. júna 2010, podľa ktorého: „</w:t>
      </w:r>
      <w:r>
        <w:rPr>
          <w:rFonts w:ascii="Book Antiqua" w:hAnsi="Book Antiqua"/>
          <w:bCs/>
          <w:i/>
          <w:sz w:val="22"/>
          <w:szCs w:val="22"/>
          <w:lang w:eastAsia="en-US"/>
        </w:rPr>
        <w:t xml:space="preserve">Nie každá retroaktivita je </w:t>
      </w:r>
      <w:r>
        <w:rPr>
          <w:rFonts w:ascii="Book Antiqua" w:hAnsi="Book Antiqua"/>
          <w:i/>
          <w:sz w:val="22"/>
          <w:szCs w:val="22"/>
          <w:lang w:val="cs-CZ"/>
        </w:rPr>
        <w:t>[</w:t>
      </w:r>
      <w:r w:rsidRPr="00F068B7">
        <w:rPr>
          <w:rFonts w:ascii="Book Antiqua" w:hAnsi="Book Antiqua"/>
          <w:i/>
          <w:sz w:val="22"/>
          <w:szCs w:val="22"/>
          <w:lang w:val="cs-CZ"/>
        </w:rPr>
        <w:t>…</w:t>
      </w:r>
      <w:r>
        <w:rPr>
          <w:rFonts w:ascii="Book Antiqua" w:hAnsi="Book Antiqua"/>
          <w:i/>
          <w:sz w:val="22"/>
          <w:szCs w:val="22"/>
          <w:lang w:val="cs-CZ"/>
        </w:rPr>
        <w:t>]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 xml:space="preserve"> nezlučiteľná s princípmi, na ktorých je budovaný právny štát. V teórii a praxi sa rozlišuje tzv. </w:t>
      </w:r>
      <w:r w:rsidRPr="00F068B7">
        <w:rPr>
          <w:rFonts w:ascii="Book Antiqua" w:hAnsi="Book Antiqua"/>
          <w:b/>
          <w:bCs/>
          <w:i/>
          <w:sz w:val="22"/>
          <w:szCs w:val="22"/>
          <w:lang w:eastAsia="en-US"/>
        </w:rPr>
        <w:t>pravá a nepravá spätná účinnosť (retroaktivita) právnych predpisov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 xml:space="preserve">. Význam tohto rozlišovania je založený na skutočnosti, že pokiaľ </w:t>
      </w:r>
      <w:r w:rsidRPr="00F068B7">
        <w:rPr>
          <w:rFonts w:ascii="Book Antiqua" w:hAnsi="Book Antiqua"/>
          <w:b/>
          <w:bCs/>
          <w:i/>
          <w:sz w:val="22"/>
          <w:szCs w:val="22"/>
          <w:lang w:eastAsia="en-US"/>
        </w:rPr>
        <w:t>sa pravá retroaktivita v zásade odmieta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 xml:space="preserve"> ako nezlučiteľná s obsahom princípu štátu, </w:t>
      </w:r>
      <w:r w:rsidRPr="00F068B7">
        <w:rPr>
          <w:rFonts w:ascii="Book Antiqua" w:hAnsi="Book Antiqua"/>
          <w:b/>
          <w:bCs/>
          <w:i/>
          <w:sz w:val="22"/>
          <w:szCs w:val="22"/>
          <w:lang w:eastAsia="en-US"/>
        </w:rPr>
        <w:t>nepravá retroaktivita sa akceptuje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 xml:space="preserve"> ako prípustný nástroj na dosiahnutie ustanovených a dostatočne významných cieľov verejnej moci.</w:t>
      </w:r>
      <w:r w:rsidRPr="00F068B7">
        <w:rPr>
          <w:rFonts w:ascii="Book Antiqua" w:hAnsi="Book Antiqua"/>
          <w:bCs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i/>
          <w:sz w:val="22"/>
          <w:szCs w:val="22"/>
          <w:lang w:val="cs-CZ"/>
        </w:rPr>
        <w:t>[</w:t>
      </w:r>
      <w:r w:rsidRPr="00F068B7">
        <w:rPr>
          <w:rFonts w:ascii="Book Antiqua" w:hAnsi="Book Antiqua"/>
          <w:i/>
          <w:sz w:val="22"/>
          <w:szCs w:val="22"/>
          <w:lang w:val="cs-CZ"/>
        </w:rPr>
        <w:t>…</w:t>
      </w:r>
      <w:r>
        <w:rPr>
          <w:rFonts w:ascii="Book Antiqua" w:hAnsi="Book Antiqua"/>
          <w:i/>
          <w:sz w:val="22"/>
          <w:szCs w:val="22"/>
          <w:lang w:val="cs-CZ"/>
        </w:rPr>
        <w:t xml:space="preserve">] 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>O pravú retroaktivitu ide napr. vtedy, keď neskorší právny predpis so spätnou účinnosťou (s dopadom do minulosti) upravuje vzťahy, ktoré vznikli v minulosti. V dôsledku toho nastáva stav, v rámci ktorého účinnosť neskoršieho právneho predpisu nastáva skôr ako jeho platnosť (skôr, než začal existovať).</w:t>
      </w:r>
      <w:r w:rsidRPr="00F068B7">
        <w:rPr>
          <w:rFonts w:ascii="Book Antiqua" w:hAnsi="Book Antiqua"/>
          <w:bCs/>
          <w:sz w:val="22"/>
          <w:szCs w:val="22"/>
          <w:lang w:eastAsia="en-US"/>
        </w:rPr>
        <w:t xml:space="preserve"> 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 xml:space="preserve">Pri nepravej retroaktivite zákonodarca uznáva právne skutočnosti, na základe ktorých podľa predchádzajúcej právnej normy došlo k vzniku určitých právnych vzťahov. </w:t>
      </w:r>
      <w:r w:rsidRPr="00F068B7">
        <w:rPr>
          <w:rFonts w:ascii="Book Antiqua" w:hAnsi="Book Antiqua"/>
          <w:b/>
          <w:bCs/>
          <w:i/>
          <w:sz w:val="22"/>
          <w:szCs w:val="22"/>
          <w:lang w:eastAsia="en-US"/>
        </w:rPr>
        <w:t>O nepravú retroaktivitu môže ísť napriek tomu, že zákonodarca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i/>
          <w:sz w:val="22"/>
          <w:szCs w:val="22"/>
          <w:lang w:val="cs-CZ"/>
        </w:rPr>
        <w:t>[</w:t>
      </w:r>
      <w:r w:rsidRPr="00F068B7">
        <w:rPr>
          <w:rFonts w:ascii="Book Antiqua" w:hAnsi="Book Antiqua"/>
          <w:i/>
          <w:sz w:val="22"/>
          <w:szCs w:val="22"/>
          <w:lang w:val="cs-CZ"/>
        </w:rPr>
        <w:t>…</w:t>
      </w:r>
      <w:r>
        <w:rPr>
          <w:rFonts w:ascii="Book Antiqua" w:hAnsi="Book Antiqua"/>
          <w:i/>
          <w:sz w:val="22"/>
          <w:szCs w:val="22"/>
          <w:lang w:val="cs-CZ"/>
        </w:rPr>
        <w:t>]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 xml:space="preserve"> </w:t>
      </w:r>
      <w:r w:rsidRPr="00F068B7">
        <w:rPr>
          <w:rFonts w:ascii="Book Antiqua" w:hAnsi="Book Antiqua"/>
          <w:b/>
          <w:bCs/>
          <w:i/>
          <w:sz w:val="22"/>
          <w:szCs w:val="22"/>
          <w:lang w:eastAsia="en-US"/>
        </w:rPr>
        <w:t xml:space="preserve">novým právnym predpisom 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>zároveň</w:t>
      </w:r>
      <w:r w:rsidRPr="00F068B7">
        <w:rPr>
          <w:rFonts w:ascii="Book Antiqua" w:hAnsi="Book Antiqua"/>
          <w:b/>
          <w:bCs/>
          <w:i/>
          <w:sz w:val="22"/>
          <w:szCs w:val="22"/>
          <w:lang w:eastAsia="en-US"/>
        </w:rPr>
        <w:t xml:space="preserve"> s účinnosťou do budúcna prinesie určité zmeny aj tých práv (alebo povinností), ktoré vznikli za platnosti skoršieho zákona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 xml:space="preserve">. </w:t>
      </w:r>
      <w:r w:rsidRPr="00F068B7">
        <w:rPr>
          <w:rFonts w:ascii="Book Antiqua" w:hAnsi="Book Antiqua"/>
          <w:b/>
          <w:bCs/>
          <w:i/>
          <w:sz w:val="22"/>
          <w:szCs w:val="22"/>
          <w:lang w:eastAsia="en-US"/>
        </w:rPr>
        <w:t>Nepravá retroaktivita teda nebráni zákonodarcovi novou právnou úpravou vstúpiť aj do tých právnych vzťahov, ktoré vznikli na základe skôr prijatej právnej normy a meniť ich režim</w:t>
      </w:r>
      <w:r>
        <w:rPr>
          <w:rFonts w:ascii="Book Antiqua" w:hAnsi="Book Antiqua"/>
          <w:bCs/>
          <w:i/>
          <w:sz w:val="22"/>
          <w:szCs w:val="22"/>
          <w:lang w:eastAsia="en-US"/>
        </w:rPr>
        <w:t xml:space="preserve">. </w:t>
      </w:r>
      <w:r>
        <w:rPr>
          <w:rFonts w:ascii="Book Antiqua" w:hAnsi="Book Antiqua"/>
          <w:i/>
          <w:sz w:val="22"/>
          <w:szCs w:val="22"/>
          <w:lang w:val="cs-CZ"/>
        </w:rPr>
        <w:t>[</w:t>
      </w:r>
      <w:r w:rsidRPr="00F068B7">
        <w:rPr>
          <w:rFonts w:ascii="Book Antiqua" w:hAnsi="Book Antiqua"/>
          <w:i/>
          <w:sz w:val="22"/>
          <w:szCs w:val="22"/>
          <w:lang w:val="cs-CZ"/>
        </w:rPr>
        <w:t>…</w:t>
      </w:r>
      <w:r>
        <w:rPr>
          <w:rFonts w:ascii="Book Antiqua" w:hAnsi="Book Antiqua"/>
          <w:i/>
          <w:sz w:val="22"/>
          <w:szCs w:val="22"/>
          <w:lang w:val="cs-CZ"/>
        </w:rPr>
        <w:t xml:space="preserve">] </w:t>
      </w:r>
      <w:r w:rsidRPr="00F068B7">
        <w:rPr>
          <w:rFonts w:ascii="Book Antiqua" w:hAnsi="Book Antiqua"/>
          <w:bCs/>
          <w:i/>
          <w:sz w:val="22"/>
          <w:szCs w:val="22"/>
          <w:lang w:eastAsia="en-US"/>
        </w:rPr>
        <w:t>V konečnom dôsledku nepôsobí nepravá retroaktivita do minulosti.“.</w:t>
      </w:r>
    </w:p>
    <w:p w:rsidR="00764FEC" w:rsidRPr="00B84146" w:rsidP="00B8414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</w:p>
    <w:p w:rsidR="0025045A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84146">
        <w:rPr>
          <w:rFonts w:ascii="Book Antiqua" w:hAnsi="Book Antiqua"/>
          <w:b/>
          <w:sz w:val="22"/>
          <w:szCs w:val="22"/>
        </w:rPr>
        <w:t>K Čl. II</w:t>
      </w:r>
    </w:p>
    <w:p w:rsidR="00A26772" w:rsidRPr="00A26772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26772">
        <w:rPr>
          <w:rFonts w:ascii="Book Antiqua" w:hAnsi="Book Antiqua"/>
          <w:sz w:val="22"/>
          <w:szCs w:val="22"/>
          <w:u w:val="single"/>
        </w:rPr>
        <w:t>K bodom 1 a 2</w:t>
      </w:r>
    </w:p>
    <w:p w:rsidR="00E02E01" w:rsidRPr="00B84146" w:rsidP="00B84146">
      <w:pPr>
        <w:pStyle w:val="NormalWeb"/>
        <w:bidi w:val="0"/>
        <w:spacing w:before="120" w:beforeAutospacing="0" w:after="0" w:afterAutospacing="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B84146" w:rsidR="0025045A">
        <w:rPr>
          <w:rFonts w:ascii="Book Antiqua" w:hAnsi="Book Antiqua"/>
          <w:bCs/>
          <w:sz w:val="22"/>
          <w:szCs w:val="22"/>
        </w:rPr>
        <w:t xml:space="preserve">Navrhovaná úprava priamo súvisí a nadväzuje na Čl. I. Cieľom navrhovanej právnej úpravy je </w:t>
      </w:r>
      <w:r w:rsidRPr="00B84146" w:rsidR="00764FEC">
        <w:rPr>
          <w:rFonts w:ascii="Book Antiqua" w:hAnsi="Book Antiqua"/>
          <w:bCs/>
          <w:sz w:val="22"/>
          <w:szCs w:val="22"/>
        </w:rPr>
        <w:t>zosúladenie oboch právnych predpisov</w:t>
      </w:r>
      <w:r w:rsidR="00A26772">
        <w:rPr>
          <w:rFonts w:ascii="Book Antiqua" w:hAnsi="Book Antiqua"/>
          <w:bCs/>
          <w:sz w:val="22"/>
          <w:szCs w:val="22"/>
        </w:rPr>
        <w:t>, a to tak z hľadiska vecného, ako aj z hľadiska prechodných ustanovení oboch novelizovaných právnych predpisov.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84146">
        <w:rPr>
          <w:rFonts w:ascii="Book Antiqua" w:hAnsi="Book Antiqua"/>
          <w:b/>
          <w:sz w:val="22"/>
          <w:szCs w:val="22"/>
        </w:rPr>
        <w:t>K </w:t>
      </w:r>
      <w:r w:rsidRPr="00B84146" w:rsidR="00191A60">
        <w:rPr>
          <w:rFonts w:ascii="Book Antiqua" w:hAnsi="Book Antiqua"/>
          <w:b/>
          <w:sz w:val="22"/>
          <w:szCs w:val="22"/>
        </w:rPr>
        <w:t>Č</w:t>
      </w:r>
      <w:r w:rsidRPr="00B84146">
        <w:rPr>
          <w:rFonts w:ascii="Book Antiqua" w:hAnsi="Book Antiqua"/>
          <w:b/>
          <w:sz w:val="22"/>
          <w:szCs w:val="22"/>
        </w:rPr>
        <w:t>l. II</w:t>
      </w:r>
      <w:r w:rsidRPr="00B84146" w:rsidR="0025045A">
        <w:rPr>
          <w:rFonts w:ascii="Book Antiqua" w:hAnsi="Book Antiqua"/>
          <w:b/>
          <w:sz w:val="22"/>
          <w:szCs w:val="22"/>
        </w:rPr>
        <w:t>I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B84146">
        <w:rPr>
          <w:rFonts w:ascii="Book Antiqua" w:hAnsi="Book Antiqua"/>
          <w:sz w:val="22"/>
          <w:szCs w:val="22"/>
        </w:rPr>
        <w:t>Navrhuje sa účinnosť predkladaného zákona so zohľadnením legisvakančnej lehoty, a to od 1</w:t>
      </w:r>
      <w:r w:rsidRPr="00B84146" w:rsidR="000A43EB">
        <w:rPr>
          <w:rFonts w:ascii="Book Antiqua" w:hAnsi="Book Antiqua"/>
          <w:sz w:val="22"/>
          <w:szCs w:val="22"/>
        </w:rPr>
        <w:t>. </w:t>
      </w:r>
      <w:r w:rsidR="00A26772">
        <w:rPr>
          <w:rFonts w:ascii="Book Antiqua" w:hAnsi="Book Antiqua"/>
          <w:sz w:val="22"/>
          <w:szCs w:val="22"/>
        </w:rPr>
        <w:t>mája</w:t>
      </w:r>
      <w:r w:rsidRPr="00B84146" w:rsidR="008B7305">
        <w:rPr>
          <w:rFonts w:ascii="Book Antiqua" w:hAnsi="Book Antiqua"/>
          <w:sz w:val="22"/>
          <w:szCs w:val="22"/>
        </w:rPr>
        <w:t xml:space="preserve"> 2015</w:t>
      </w:r>
      <w:r w:rsidRPr="00B84146">
        <w:rPr>
          <w:rFonts w:ascii="Book Antiqua" w:hAnsi="Book Antiqua"/>
          <w:sz w:val="22"/>
          <w:szCs w:val="22"/>
        </w:rPr>
        <w:t xml:space="preserve">. </w:t>
      </w:r>
    </w:p>
    <w:p w:rsidR="00CE15DC" w:rsidRPr="00A26772" w:rsidP="00B8414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A26772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26772">
        <w:rPr>
          <w:rFonts w:ascii="Book Antiqua" w:hAnsi="Book Antiqua"/>
          <w:b/>
          <w:bCs/>
          <w:sz w:val="22"/>
          <w:szCs w:val="22"/>
        </w:rPr>
        <w:t>návrhu zákona</w:t>
      </w:r>
      <w:r w:rsidRPr="00A26772">
        <w:rPr>
          <w:rFonts w:ascii="Book Antiqua" w:hAnsi="Book Antiqua"/>
          <w:sz w:val="22"/>
          <w:szCs w:val="22"/>
        </w:rPr>
        <w:t xml:space="preserve"> </w:t>
      </w:r>
      <w:r w:rsidRPr="00A26772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sz w:val="22"/>
          <w:szCs w:val="22"/>
        </w:rPr>
        <w:t> 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B84146" w:rsidR="00C675B4">
        <w:rPr>
          <w:rFonts w:ascii="Book Antiqua" w:hAnsi="Book Antiqua"/>
          <w:sz w:val="22"/>
          <w:szCs w:val="22"/>
        </w:rPr>
        <w:t xml:space="preserve"> poslanec</w:t>
      </w:r>
      <w:r w:rsidRPr="00B84146">
        <w:rPr>
          <w:rFonts w:ascii="Book Antiqua" w:hAnsi="Book Antiqua"/>
          <w:sz w:val="22"/>
          <w:szCs w:val="22"/>
        </w:rPr>
        <w:t xml:space="preserve"> Národnej rady Slovenskej republiky </w:t>
      </w:r>
      <w:r w:rsidRPr="00B84146" w:rsidR="00C675B4">
        <w:rPr>
          <w:rFonts w:ascii="Book Antiqua" w:hAnsi="Book Antiqua"/>
          <w:sz w:val="22"/>
          <w:szCs w:val="22"/>
        </w:rPr>
        <w:t>Igor Hraško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B84146">
        <w:rPr>
          <w:rFonts w:ascii="Book Antiqua" w:hAnsi="Book Antiqua"/>
          <w:sz w:val="22"/>
          <w:szCs w:val="22"/>
        </w:rPr>
        <w:t xml:space="preserve"> návrh </w:t>
      </w:r>
      <w:r w:rsidRPr="00B84146" w:rsidR="002C34EE">
        <w:rPr>
          <w:rFonts w:ascii="Book Antiqua" w:hAnsi="Book Antiqua"/>
          <w:sz w:val="22"/>
          <w:szCs w:val="22"/>
        </w:rPr>
        <w:t xml:space="preserve">zákona, ktorým sa mení zákon Národnej rady Slovenskej republiky </w:t>
      </w:r>
      <w:r w:rsidRPr="00B84146" w:rsidR="002C34EE">
        <w:rPr>
          <w:rFonts w:ascii="Book Antiqua" w:hAnsi="Book Antiqua"/>
          <w:bCs/>
          <w:sz w:val="22"/>
          <w:szCs w:val="22"/>
        </w:rPr>
        <w:t xml:space="preserve">č. 233/1995 Z. z. o súdnych exekútoroch a exekučnej činnosti (Exekučný poriadok) </w:t>
      </w:r>
      <w:r w:rsidRPr="00B84146" w:rsidR="00A26772">
        <w:rPr>
          <w:rFonts w:ascii="Book Antiqua" w:hAnsi="Book Antiqua"/>
          <w:bCs/>
          <w:sz w:val="22"/>
          <w:szCs w:val="22"/>
        </w:rPr>
        <w:t xml:space="preserve">a o zmene a doplnení </w:t>
      </w:r>
      <w:r w:rsidR="00A26772">
        <w:rPr>
          <w:rFonts w:ascii="Book Antiqua" w:hAnsi="Book Antiqua"/>
          <w:bCs/>
          <w:sz w:val="22"/>
          <w:szCs w:val="22"/>
        </w:rPr>
        <w:t>ďalších zákonov v znení neskorších predpisov a ktorým sa mení zákon</w:t>
      </w:r>
      <w:r w:rsidRPr="00B84146" w:rsidR="002C34EE">
        <w:rPr>
          <w:rFonts w:ascii="Book Antiqua" w:hAnsi="Book Antiqua"/>
          <w:bCs/>
          <w:sz w:val="22"/>
          <w:szCs w:val="22"/>
        </w:rPr>
        <w:t xml:space="preserve"> č. 527/2002 Z. z. o dobrovoľných dražbách a o doplnení zákona Slovenskej národnej rady </w:t>
      </w:r>
      <w:r w:rsidR="00A26772">
        <w:rPr>
          <w:rFonts w:ascii="Book Antiqua" w:hAnsi="Book Antiqua"/>
          <w:bCs/>
          <w:sz w:val="22"/>
          <w:szCs w:val="22"/>
        </w:rPr>
        <w:t xml:space="preserve">    </w:t>
      </w:r>
      <w:r w:rsidRPr="00B84146" w:rsidR="002C34EE">
        <w:rPr>
          <w:rFonts w:ascii="Book Antiqua" w:hAnsi="Book Antiqua"/>
          <w:bCs/>
          <w:sz w:val="22"/>
          <w:szCs w:val="22"/>
        </w:rPr>
        <w:t>č. 323/1992 Zb. o notároch a notárskej činnosti (Notársky poriadok) v znení neskorších predpisov</w:t>
      </w:r>
      <w:r w:rsidR="00A26772">
        <w:rPr>
          <w:rFonts w:ascii="Book Antiqua" w:hAnsi="Book Antiqua"/>
          <w:bCs/>
          <w:sz w:val="22"/>
          <w:szCs w:val="22"/>
        </w:rPr>
        <w:t xml:space="preserve"> v znení neskorších predpisov</w:t>
      </w:r>
    </w:p>
    <w:p w:rsidR="00CE15DC" w:rsidRPr="00B84146" w:rsidP="00B8414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CE15DC" w:rsidRPr="00B84146" w:rsidP="00B84146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84146" w:rsidR="00B011D5">
        <w:rPr>
          <w:rFonts w:ascii="Book Antiqua" w:hAnsi="Book Antiqua"/>
          <w:bCs/>
          <w:sz w:val="22"/>
          <w:szCs w:val="22"/>
        </w:rPr>
        <w:t xml:space="preserve">nie </w:t>
      </w:r>
      <w:r w:rsidRPr="00B84146">
        <w:rPr>
          <w:rFonts w:ascii="Book Antiqua" w:hAnsi="Book Antiqua"/>
          <w:bCs/>
          <w:sz w:val="22"/>
          <w:szCs w:val="22"/>
        </w:rPr>
        <w:t xml:space="preserve">je upravený v </w:t>
      </w:r>
      <w:r w:rsidRPr="00B84146" w:rsidR="00B011D5">
        <w:rPr>
          <w:rFonts w:ascii="Book Antiqua" w:hAnsi="Book Antiqua"/>
          <w:bCs/>
          <w:sz w:val="22"/>
          <w:szCs w:val="22"/>
        </w:rPr>
        <w:t>primárnom práve Európskej únie</w:t>
      </w:r>
      <w:r w:rsidRPr="00B84146">
        <w:rPr>
          <w:rFonts w:ascii="Book Antiqua" w:hAnsi="Book Antiqua"/>
          <w:bCs/>
          <w:sz w:val="22"/>
          <w:szCs w:val="22"/>
        </w:rPr>
        <w:t>,</w:t>
      </w:r>
    </w:p>
    <w:p w:rsidR="00B011D5" w:rsidRPr="00B84146" w:rsidP="00B84146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84146">
        <w:rPr>
          <w:rFonts w:ascii="Book Antiqua" w:hAnsi="Book Antiqua"/>
          <w:bCs/>
          <w:sz w:val="22"/>
          <w:szCs w:val="22"/>
        </w:rPr>
        <w:t xml:space="preserve">nie </w:t>
      </w:r>
      <w:r w:rsidRPr="00B84146" w:rsidR="00CE15DC">
        <w:rPr>
          <w:rFonts w:ascii="Book Antiqua" w:hAnsi="Book Antiqua"/>
          <w:bCs/>
          <w:sz w:val="22"/>
          <w:szCs w:val="22"/>
        </w:rPr>
        <w:t>je upravený v sekund</w:t>
      </w:r>
      <w:r w:rsidRPr="00B84146">
        <w:rPr>
          <w:rFonts w:ascii="Book Antiqua" w:hAnsi="Book Antiqua"/>
          <w:bCs/>
          <w:sz w:val="22"/>
          <w:szCs w:val="22"/>
        </w:rPr>
        <w:t>árnom práve Európskej únie,</w:t>
      </w:r>
    </w:p>
    <w:p w:rsidR="00CE15DC" w:rsidRPr="00B84146" w:rsidP="00B84146">
      <w:pPr>
        <w:pStyle w:val="NormalWeb"/>
        <w:numPr>
          <w:numId w:val="2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84146" w:rsidR="00B011D5">
        <w:rPr>
          <w:rFonts w:ascii="Book Antiqua" w:hAnsi="Book Antiqua"/>
          <w:bCs/>
          <w:sz w:val="22"/>
          <w:szCs w:val="22"/>
        </w:rPr>
        <w:t xml:space="preserve">nie </w:t>
      </w:r>
      <w:r w:rsidRPr="00B84146">
        <w:rPr>
          <w:rFonts w:ascii="Book Antiqua" w:hAnsi="Book Antiqua"/>
          <w:bCs/>
          <w:sz w:val="22"/>
          <w:szCs w:val="22"/>
        </w:rPr>
        <w:t>je obsiahnutý v judikatúr</w:t>
      </w:r>
      <w:r w:rsidRPr="00B84146" w:rsidR="00B011D5">
        <w:rPr>
          <w:rFonts w:ascii="Book Antiqua" w:hAnsi="Book Antiqua"/>
          <w:bCs/>
          <w:sz w:val="22"/>
          <w:szCs w:val="22"/>
        </w:rPr>
        <w:t>e Súdneho dvora Európskej únie.</w:t>
      </w:r>
    </w:p>
    <w:p w:rsidR="00B011D5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A26772" w:rsidP="00A267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84146" w:rsidR="00B011D5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</w:t>
      </w:r>
      <w:r>
        <w:rPr>
          <w:rFonts w:ascii="Book Antiqua" w:hAnsi="Book Antiqua"/>
          <w:b/>
          <w:bCs/>
          <w:sz w:val="22"/>
          <w:szCs w:val="22"/>
        </w:rPr>
        <w:t>é vyjadrovať sa k bodom 4. a 5.</w:t>
      </w:r>
    </w:p>
    <w:p w:rsidR="00CE15DC" w:rsidRPr="00A26772" w:rsidP="00A26772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84146">
        <w:rPr>
          <w:rFonts w:ascii="Book Antiqua" w:hAnsi="Book Antiqua"/>
          <w:b/>
          <w:caps/>
          <w:spacing w:val="30"/>
          <w:sz w:val="22"/>
          <w:szCs w:val="22"/>
        </w:rPr>
        <w:br w:type="page"/>
      </w:r>
      <w:r w:rsidRPr="00B84146">
        <w:rPr>
          <w:rFonts w:ascii="Book Antiqua" w:hAnsi="Book Antiqua"/>
          <w:b/>
          <w:bCs/>
          <w:caps/>
          <w:spacing w:val="30"/>
          <w:sz w:val="22"/>
          <w:szCs w:val="22"/>
        </w:rPr>
        <w:t>Doložka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sz w:val="22"/>
          <w:szCs w:val="22"/>
        </w:rPr>
        <w:t> </w:t>
      </w:r>
    </w:p>
    <w:p w:rsidR="00CE15DC" w:rsidRPr="00A26772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B84146" w:rsidR="00A26772">
        <w:rPr>
          <w:rFonts w:ascii="Book Antiqua" w:hAnsi="Book Antiqua"/>
          <w:sz w:val="22"/>
          <w:szCs w:val="22"/>
        </w:rPr>
        <w:t xml:space="preserve">návrh zákona, ktorým sa mení zákon Národnej rady Slovenskej republiky </w:t>
      </w:r>
      <w:r w:rsidRPr="00B84146" w:rsidR="00A26772">
        <w:rPr>
          <w:rFonts w:ascii="Book Antiqua" w:hAnsi="Book Antiqua"/>
          <w:bCs/>
          <w:sz w:val="22"/>
          <w:szCs w:val="22"/>
        </w:rPr>
        <w:t xml:space="preserve">č. 233/1995 Z. z. o súdnych exekútoroch a exekučnej činnosti (Exekučný poriadok) a o zmene a doplnení </w:t>
      </w:r>
      <w:r w:rsidR="00A26772">
        <w:rPr>
          <w:rFonts w:ascii="Book Antiqua" w:hAnsi="Book Antiqua"/>
          <w:bCs/>
          <w:sz w:val="22"/>
          <w:szCs w:val="22"/>
        </w:rPr>
        <w:t>ďalších zákonov v znení neskorších predpisov a ktorým sa mení zákon</w:t>
      </w:r>
      <w:r w:rsidRPr="00B84146" w:rsidR="00A26772">
        <w:rPr>
          <w:rFonts w:ascii="Book Antiqua" w:hAnsi="Book Antiqua"/>
          <w:bCs/>
          <w:sz w:val="22"/>
          <w:szCs w:val="22"/>
        </w:rPr>
        <w:t xml:space="preserve"> č. 527/2002 Z. z. o dobrovoľných dražbách a o doplnení zákona Slovenskej národnej rady </w:t>
      </w:r>
      <w:r w:rsidR="00A26772">
        <w:rPr>
          <w:rFonts w:ascii="Book Antiqua" w:hAnsi="Book Antiqua"/>
          <w:bCs/>
          <w:sz w:val="22"/>
          <w:szCs w:val="22"/>
        </w:rPr>
        <w:t xml:space="preserve">    </w:t>
      </w:r>
      <w:r w:rsidRPr="00B84146" w:rsidR="00A26772">
        <w:rPr>
          <w:rFonts w:ascii="Book Antiqua" w:hAnsi="Book Antiqua"/>
          <w:bCs/>
          <w:sz w:val="22"/>
          <w:szCs w:val="22"/>
        </w:rPr>
        <w:t>č. 323/1992 Zb. o notároch a notárskej činnosti (Notársky poriadok) v znení neskorších predpisov</w:t>
      </w:r>
      <w:r w:rsidR="00A26772">
        <w:rPr>
          <w:rFonts w:ascii="Book Antiqua" w:hAnsi="Book Antiqua"/>
          <w:bCs/>
          <w:sz w:val="22"/>
          <w:szCs w:val="22"/>
        </w:rPr>
        <w:t xml:space="preserve"> v znení neskorších predpisov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        Termín začatia a ukončenia PPK:</w:t>
      </w:r>
      <w:r w:rsidRPr="00B84146">
        <w:rPr>
          <w:rFonts w:ascii="Book Antiqua" w:hAnsi="Book Antiqua"/>
          <w:sz w:val="22"/>
          <w:szCs w:val="22"/>
        </w:rPr>
        <w:t xml:space="preserve"> </w:t>
      </w:r>
      <w:r w:rsidRPr="00B84146">
        <w:rPr>
          <w:rFonts w:ascii="Book Antiqua" w:hAnsi="Book Antiqua"/>
          <w:i/>
          <w:iCs/>
          <w:sz w:val="22"/>
          <w:szCs w:val="22"/>
        </w:rPr>
        <w:t>bezpredmetné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  <w:r w:rsidRPr="00B84146" w:rsidR="002C34E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E15DC" w:rsidRPr="00B84146" w:rsidP="00B8414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84146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sz w:val="22"/>
          <w:szCs w:val="22"/>
        </w:rPr>
        <w:t> 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A.3. Poznámky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B84146" w:rsidR="002C34EE">
        <w:rPr>
          <w:rFonts w:ascii="Book Antiqua" w:hAnsi="Book Antiqua"/>
          <w:i/>
          <w:iCs/>
          <w:sz w:val="22"/>
          <w:szCs w:val="22"/>
        </w:rPr>
        <w:t>Návrh zákona zamedzuje tomu</w:t>
      </w:r>
      <w:r w:rsidR="00A26772">
        <w:rPr>
          <w:rFonts w:ascii="Book Antiqua" w:hAnsi="Book Antiqua"/>
          <w:i/>
          <w:iCs/>
          <w:sz w:val="22"/>
          <w:szCs w:val="22"/>
        </w:rPr>
        <w:t xml:space="preserve">, aby sa z dlžníkov a ich rodín, či príbuzných, </w:t>
      </w:r>
      <w:r w:rsidRPr="00B84146" w:rsidR="002C34EE">
        <w:rPr>
          <w:rFonts w:ascii="Book Antiqua" w:hAnsi="Book Antiqua"/>
          <w:i/>
          <w:iCs/>
          <w:sz w:val="22"/>
          <w:szCs w:val="22"/>
        </w:rPr>
        <w:t>stávali bezdomovci, už pre relatívne nízke dlžoby.</w:t>
      </w:r>
      <w:r w:rsidRPr="00B84146" w:rsidR="0047047A">
        <w:rPr>
          <w:rFonts w:ascii="Book Antiqua" w:hAnsi="Book Antiqua"/>
          <w:i/>
          <w:iCs/>
          <w:sz w:val="22"/>
          <w:szCs w:val="22"/>
        </w:rPr>
        <w:t xml:space="preserve"> Dlžník, ktorý je zároveň bezdomovcom je neželaným javom v každej spoločnosti pričom návrat do predošlého usporiadaného spôsobu života je v drvivej väčšine prípadov prakticky nemožný.  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i/>
          <w:iCs/>
          <w:sz w:val="22"/>
          <w:szCs w:val="22"/>
        </w:rPr>
        <w:t>bezpredmetné</w:t>
      </w:r>
    </w:p>
    <w:p w:rsidR="00A26772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E15DC" w:rsidRPr="00B84146" w:rsidP="00B8414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84146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CE15DC" w:rsidRPr="00A26772" w:rsidP="00A2677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B84146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5D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E15D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5D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180420"/>
    <w:multiLevelType w:val="hybridMultilevel"/>
    <w:tmpl w:val="23FA98F8"/>
    <w:lvl w:ilvl="0">
      <w:start w:val="0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837DC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901F40"/>
    <w:multiLevelType w:val="hybridMultilevel"/>
    <w:tmpl w:val="77F80222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23A5467"/>
    <w:multiLevelType w:val="hybridMultilevel"/>
    <w:tmpl w:val="A04022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AF652D9"/>
    <w:multiLevelType w:val="hybridMultilevel"/>
    <w:tmpl w:val="2C0896B2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3E063891"/>
    <w:multiLevelType w:val="hybridMultilevel"/>
    <w:tmpl w:val="2C3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3F243C9"/>
    <w:multiLevelType w:val="hybridMultilevel"/>
    <w:tmpl w:val="5D8C2D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5D156BF"/>
    <w:multiLevelType w:val="hybridMultilevel"/>
    <w:tmpl w:val="CA3CD580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7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7"/>
  </w:num>
  <w:num w:numId="9">
    <w:abstractNumId w:val="10"/>
  </w:num>
  <w:num w:numId="10">
    <w:abstractNumId w:val="18"/>
  </w:num>
  <w:num w:numId="11">
    <w:abstractNumId w:val="0"/>
  </w:num>
  <w:num w:numId="12">
    <w:abstractNumId w:val="20"/>
  </w:num>
  <w:num w:numId="13">
    <w:abstractNumId w:val="2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3"/>
  </w:num>
  <w:num w:numId="19">
    <w:abstractNumId w:val="8"/>
  </w:num>
  <w:num w:numId="20">
    <w:abstractNumId w:val="27"/>
  </w:num>
  <w:num w:numId="21">
    <w:abstractNumId w:val="5"/>
  </w:num>
  <w:num w:numId="22">
    <w:abstractNumId w:val="11"/>
  </w:num>
  <w:num w:numId="23">
    <w:abstractNumId w:val="16"/>
  </w:num>
  <w:num w:numId="24">
    <w:abstractNumId w:val="9"/>
  </w:num>
  <w:num w:numId="25">
    <w:abstractNumId w:val="6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"/>
  </w:num>
  <w:num w:numId="31">
    <w:abstractNumId w:val="2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91A60"/>
    <w:rsid w:val="00004139"/>
    <w:rsid w:val="00021103"/>
    <w:rsid w:val="00057F97"/>
    <w:rsid w:val="0008436E"/>
    <w:rsid w:val="000A43EB"/>
    <w:rsid w:val="001508F8"/>
    <w:rsid w:val="00191A60"/>
    <w:rsid w:val="001F3340"/>
    <w:rsid w:val="0021663F"/>
    <w:rsid w:val="00237EF1"/>
    <w:rsid w:val="0025045A"/>
    <w:rsid w:val="00292273"/>
    <w:rsid w:val="002C34EE"/>
    <w:rsid w:val="0031750D"/>
    <w:rsid w:val="0034292D"/>
    <w:rsid w:val="0036661E"/>
    <w:rsid w:val="003D1E93"/>
    <w:rsid w:val="00401F5C"/>
    <w:rsid w:val="004565EA"/>
    <w:rsid w:val="0047047A"/>
    <w:rsid w:val="00474AA8"/>
    <w:rsid w:val="00576BCA"/>
    <w:rsid w:val="005E15D2"/>
    <w:rsid w:val="005F19E0"/>
    <w:rsid w:val="0061009F"/>
    <w:rsid w:val="00696F40"/>
    <w:rsid w:val="006B19BC"/>
    <w:rsid w:val="00704B18"/>
    <w:rsid w:val="007242D7"/>
    <w:rsid w:val="00760763"/>
    <w:rsid w:val="00764FEC"/>
    <w:rsid w:val="00773EC7"/>
    <w:rsid w:val="007E300F"/>
    <w:rsid w:val="007E45CB"/>
    <w:rsid w:val="007E4BF2"/>
    <w:rsid w:val="008B7305"/>
    <w:rsid w:val="008F7CCE"/>
    <w:rsid w:val="009116F3"/>
    <w:rsid w:val="009139B6"/>
    <w:rsid w:val="00924D98"/>
    <w:rsid w:val="00927C41"/>
    <w:rsid w:val="00973A81"/>
    <w:rsid w:val="00974789"/>
    <w:rsid w:val="009819E6"/>
    <w:rsid w:val="009D3A81"/>
    <w:rsid w:val="00A26772"/>
    <w:rsid w:val="00AA1F1E"/>
    <w:rsid w:val="00AE21E0"/>
    <w:rsid w:val="00B011D5"/>
    <w:rsid w:val="00B41707"/>
    <w:rsid w:val="00B52B5A"/>
    <w:rsid w:val="00B84146"/>
    <w:rsid w:val="00BB3D1E"/>
    <w:rsid w:val="00BC093A"/>
    <w:rsid w:val="00C12937"/>
    <w:rsid w:val="00C15515"/>
    <w:rsid w:val="00C675B4"/>
    <w:rsid w:val="00C763A8"/>
    <w:rsid w:val="00C839BA"/>
    <w:rsid w:val="00CE15DC"/>
    <w:rsid w:val="00D41D13"/>
    <w:rsid w:val="00D756E1"/>
    <w:rsid w:val="00DA7C42"/>
    <w:rsid w:val="00DE14D3"/>
    <w:rsid w:val="00E02E01"/>
    <w:rsid w:val="00E20D89"/>
    <w:rsid w:val="00E7327B"/>
    <w:rsid w:val="00E7580B"/>
    <w:rsid w:val="00EA729D"/>
    <w:rsid w:val="00ED2EBC"/>
    <w:rsid w:val="00F068B7"/>
    <w:rsid w:val="00F70FD4"/>
    <w:rsid w:val="00FB40E1"/>
    <w:rsid w:val="00FD57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/>
      <w:sz w:val="16"/>
      <w:szCs w:val="20"/>
    </w:rPr>
  </w:style>
  <w:style w:type="character" w:customStyle="1" w:styleId="Nadpis3Char">
    <w:name w:val="Nadpis 3 Char"/>
    <w:semiHidden/>
    <w:locked/>
    <w:rPr>
      <w:rFonts w:ascii="Cambria" w:hAnsi="Cambria" w:cs="Cambria"/>
      <w:b/>
      <w:sz w:val="26"/>
    </w:rPr>
  </w:style>
  <w:style w:type="character" w:styleId="PageNumber">
    <w:name w:val="page number"/>
    <w:semiHidden/>
  </w:style>
  <w:style w:type="character" w:customStyle="1" w:styleId="Nadpis1Char">
    <w:name w:val="Nadpis 1 Char"/>
    <w:locked/>
    <w:rPr>
      <w:rFonts w:ascii="Cambria" w:hAnsi="Cambria" w:cs="Cambria"/>
      <w:b/>
      <w:kern w:val="32"/>
      <w:sz w:val="32"/>
    </w:r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character" w:customStyle="1" w:styleId="TextbublinyChar">
    <w:name w:val="Text bubliny Char"/>
    <w:semiHidden/>
    <w:locked/>
    <w:rPr>
      <w:rFonts w:ascii="Tahoma" w:hAnsi="Tahoma" w:cs="Tahoma"/>
      <w:sz w:val="16"/>
    </w:rPr>
  </w:style>
  <w:style w:type="character" w:customStyle="1" w:styleId="PtaChar">
    <w:name w:val="Päta Char"/>
    <w:semiHidden/>
    <w:locked/>
    <w:rPr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customStyle="1" w:styleId="Normlny">
    <w:name w:val="_Normálny"/>
    <w:basedOn w:val="Normal"/>
    <w:pPr>
      <w:autoSpaceDE w:val="0"/>
      <w:autoSpaceDN w:val="0"/>
      <w:jc w:val="left"/>
    </w:pPr>
    <w:rPr>
      <w:szCs w:val="20"/>
      <w:lang w:eastAsia="en-US"/>
    </w:rPr>
  </w:style>
  <w:style w:type="character" w:customStyle="1" w:styleId="NormlnyChar">
    <w:name w:val="_Normálny Char"/>
    <w:locked/>
    <w:rPr>
      <w:sz w:val="24"/>
      <w:lang w:val="x-none" w:eastAsia="en-US"/>
    </w:rPr>
  </w:style>
  <w:style w:type="paragraph" w:customStyle="1" w:styleId="Default">
    <w:name w:val="Defaul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ZkladntextChar">
    <w:name w:val="Základný text Char"/>
    <w:locked/>
  </w:style>
  <w:style w:type="paragraph" w:styleId="BodyText">
    <w:name w:val="Body Text"/>
    <w:basedOn w:val="Normal"/>
    <w:semiHidden/>
    <w:pPr>
      <w:autoSpaceDE w:val="0"/>
      <w:autoSpaceDN w:val="0"/>
      <w:jc w:val="both"/>
    </w:pPr>
    <w:rPr>
      <w:sz w:val="20"/>
      <w:szCs w:val="20"/>
    </w:rPr>
  </w:style>
  <w:style w:type="character" w:styleId="Strong">
    <w:name w:val="Strong"/>
    <w:qFormat/>
    <w:rPr>
      <w:b/>
    </w:rPr>
  </w:style>
  <w:style w:type="character" w:customStyle="1" w:styleId="HlavikaChar">
    <w:name w:val="Hlavička Char"/>
    <w:locked/>
    <w:rPr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l4">
    <w:name w:val="l4"/>
    <w:basedOn w:val="Normal"/>
    <w:rsid w:val="001F3340"/>
    <w:pPr>
      <w:spacing w:before="100" w:beforeAutospacing="1" w:after="100" w:afterAutospacing="1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6B5C-2329-41F0-BBB1-A193D281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1573</Words>
  <Characters>8972</Characters>
  <Application>Microsoft Office Word</Application>
  <DocSecurity>0</DocSecurity>
  <Lines>0</Lines>
  <Paragraphs>0</Paragraphs>
  <ScaleCrop>false</ScaleCrop>
  <Company>UVSR</Company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Valaštínová</dc:creator>
  <cp:lastModifiedBy>Gašparíková, Jarmila</cp:lastModifiedBy>
  <cp:revision>2</cp:revision>
  <cp:lastPrinted>2014-03-25T14:02:00Z</cp:lastPrinted>
  <dcterms:created xsi:type="dcterms:W3CDTF">2014-12-18T13:44:00Z</dcterms:created>
  <dcterms:modified xsi:type="dcterms:W3CDTF">2014-12-18T13:44:00Z</dcterms:modified>
</cp:coreProperties>
</file>