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62" w:rsidRPr="002E4C85" w:rsidP="00412A6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2E4C8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2E4C8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>z ... 2014,</w:t>
      </w: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 xml:space="preserve">ktorým sa </w:t>
      </w:r>
      <w:r>
        <w:rPr>
          <w:rFonts w:ascii="Book Antiqua" w:hAnsi="Book Antiqua"/>
          <w:b/>
          <w:bCs/>
          <w:sz w:val="22"/>
          <w:szCs w:val="22"/>
        </w:rPr>
        <w:t>mení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zákon č. </w:t>
      </w:r>
      <w:r>
        <w:rPr>
          <w:rFonts w:ascii="Book Antiqua" w:hAnsi="Book Antiqua"/>
          <w:b/>
          <w:bCs/>
          <w:sz w:val="22"/>
          <w:szCs w:val="22"/>
        </w:rPr>
        <w:t>586/2003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Z. z. </w:t>
      </w:r>
      <w:r w:rsidRPr="005509CA">
        <w:rPr>
          <w:rFonts w:ascii="Book Antiqua" w:hAnsi="Book Antiqua"/>
          <w:b/>
          <w:bCs/>
          <w:sz w:val="22"/>
          <w:szCs w:val="22"/>
        </w:rPr>
        <w:t>o advokácii a o zmene a doplnení zákona č. 455/1991 Zb. o živnostenskom podnikaní (živnostenský zákon) v znení neskorších predpisov</w:t>
      </w:r>
      <w:r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</w:p>
    <w:p w:rsidR="00412A62" w:rsidRPr="002E4C85" w:rsidP="00412A6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12A62" w:rsidRPr="002E4C85" w:rsidP="00412A6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12A62" w:rsidRPr="002E4C85" w:rsidP="00412A62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412A62" w:rsidRPr="002E4C85" w:rsidP="00412A62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>Čl. I</w:t>
      </w:r>
    </w:p>
    <w:p w:rsidR="00412A62" w:rsidRPr="002E4C85" w:rsidP="00412A62">
      <w:pPr>
        <w:bidi w:val="0"/>
        <w:spacing w:before="120" w:line="276" w:lineRule="auto"/>
        <w:ind w:firstLine="708"/>
        <w:jc w:val="both"/>
        <w:rPr>
          <w:rFonts w:ascii="Book Antiqua" w:hAnsi="Book Antiqua" w:cs="Verdana"/>
          <w:sz w:val="22"/>
          <w:szCs w:val="22"/>
        </w:rPr>
      </w:pPr>
      <w:r w:rsidRPr="002E4C85">
        <w:rPr>
          <w:rFonts w:ascii="Book Antiqua" w:hAnsi="Book Antiqua" w:cs="Verdana"/>
          <w:sz w:val="22"/>
          <w:szCs w:val="22"/>
        </w:rPr>
        <w:t xml:space="preserve">Zákon č. </w:t>
      </w:r>
      <w:r>
        <w:rPr>
          <w:rFonts w:ascii="Book Antiqua" w:hAnsi="Book Antiqua" w:cs="Verdana"/>
          <w:sz w:val="22"/>
          <w:szCs w:val="22"/>
        </w:rPr>
        <w:t>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Pr="005509CA">
        <w:rPr>
          <w:rFonts w:ascii="Book Antiqua" w:hAnsi="Book Antiqua" w:cs="Verdana"/>
          <w:sz w:val="22"/>
          <w:szCs w:val="22"/>
        </w:rPr>
        <w:t>o advokácii a o zmene a doplnení zákona č. 455/1991 Zb. o živnostenskom podnikaní (živnostenský zákon) v znení neskorších predpisov</w:t>
      </w:r>
      <w:r w:rsidRPr="002E4C85">
        <w:rPr>
          <w:rFonts w:ascii="Book Antiqua" w:hAnsi="Book Antiqua" w:cs="Verdana"/>
          <w:sz w:val="22"/>
          <w:szCs w:val="22"/>
        </w:rPr>
        <w:t xml:space="preserve"> v znení zákona č. </w:t>
      </w:r>
      <w:r>
        <w:rPr>
          <w:rFonts w:ascii="Book Antiqua" w:hAnsi="Book Antiqua" w:cs="Verdana"/>
          <w:sz w:val="22"/>
          <w:szCs w:val="22"/>
        </w:rPr>
        <w:t>8/2005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 </w:t>
      </w:r>
      <w:r>
        <w:rPr>
          <w:rFonts w:ascii="Book Antiqua" w:hAnsi="Book Antiqua" w:cs="Verdana"/>
          <w:sz w:val="22"/>
          <w:szCs w:val="22"/>
        </w:rPr>
        <w:t>327/2005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331/2007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297/2008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451/2008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304/2009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136/2010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332/2011</w:t>
      </w:r>
      <w:r w:rsidRPr="002E4C85">
        <w:rPr>
          <w:rFonts w:ascii="Book Antiqua" w:hAnsi="Book Antiqua" w:cs="Verdana"/>
          <w:sz w:val="22"/>
          <w:szCs w:val="22"/>
        </w:rPr>
        <w:t xml:space="preserve"> Z. z., zákona č. </w:t>
      </w:r>
      <w:r>
        <w:rPr>
          <w:rFonts w:ascii="Book Antiqua" w:hAnsi="Book Antiqua" w:cs="Verdana"/>
          <w:sz w:val="22"/>
          <w:szCs w:val="22"/>
        </w:rPr>
        <w:t>335/2012</w:t>
      </w:r>
      <w:r w:rsidRPr="002E4C85">
        <w:rPr>
          <w:rFonts w:ascii="Book Antiqua" w:hAnsi="Book Antiqua" w:cs="Verdana"/>
          <w:sz w:val="22"/>
          <w:szCs w:val="22"/>
        </w:rPr>
        <w:t xml:space="preserve"> Z. z.</w:t>
      </w:r>
      <w:r>
        <w:rPr>
          <w:rFonts w:ascii="Book Antiqua" w:hAnsi="Book Antiqua" w:cs="Verdana"/>
          <w:sz w:val="22"/>
          <w:szCs w:val="22"/>
        </w:rPr>
        <w:t>,</w:t>
      </w:r>
      <w:r w:rsidRPr="002E4C85">
        <w:rPr>
          <w:rFonts w:ascii="Book Antiqua" w:hAnsi="Book Antiqua" w:cs="Verdana"/>
          <w:sz w:val="22"/>
          <w:szCs w:val="22"/>
        </w:rPr>
        <w:t xml:space="preserve"> a zákona č. </w:t>
      </w:r>
      <w:r>
        <w:rPr>
          <w:rFonts w:ascii="Book Antiqua" w:hAnsi="Book Antiqua" w:cs="Verdana"/>
          <w:sz w:val="22"/>
          <w:szCs w:val="22"/>
        </w:rPr>
        <w:t>339/2013</w:t>
      </w:r>
      <w:r w:rsidRPr="002E4C85">
        <w:rPr>
          <w:rFonts w:ascii="Book Antiqua" w:hAnsi="Book Antiqua" w:cs="Verdana"/>
          <w:sz w:val="22"/>
          <w:szCs w:val="22"/>
        </w:rPr>
        <w:t xml:space="preserve"> Z.z. sa </w:t>
      </w:r>
      <w:r>
        <w:rPr>
          <w:rFonts w:ascii="Book Antiqua" w:hAnsi="Book Antiqua" w:cs="Verdana"/>
          <w:sz w:val="22"/>
          <w:szCs w:val="22"/>
        </w:rPr>
        <w:t>mení</w:t>
      </w:r>
      <w:r w:rsidRPr="002E4C85">
        <w:rPr>
          <w:rFonts w:ascii="Book Antiqua" w:hAnsi="Book Antiqua" w:cs="Verdana"/>
          <w:sz w:val="22"/>
          <w:szCs w:val="22"/>
        </w:rPr>
        <w:t xml:space="preserve"> </w:t>
      </w:r>
      <w:r>
        <w:rPr>
          <w:rFonts w:ascii="Book Antiqua" w:hAnsi="Book Antiqua" w:cs="Verdana"/>
          <w:sz w:val="22"/>
          <w:szCs w:val="22"/>
        </w:rPr>
        <w:t xml:space="preserve">a dopĺňa </w:t>
      </w:r>
      <w:r w:rsidRPr="002E4C85">
        <w:rPr>
          <w:rFonts w:ascii="Book Antiqua" w:hAnsi="Book Antiqua" w:cs="Verdana"/>
          <w:sz w:val="22"/>
          <w:szCs w:val="22"/>
        </w:rPr>
        <w:t>takto:</w:t>
      </w:r>
    </w:p>
    <w:p w:rsidR="00412A62" w:rsidRPr="002E4C85" w:rsidP="00412A62">
      <w:pPr>
        <w:bidi w:val="0"/>
        <w:spacing w:before="120" w:line="276" w:lineRule="auto"/>
        <w:jc w:val="both"/>
        <w:rPr>
          <w:rFonts w:ascii="Book Antiqua" w:hAnsi="Book Antiqua" w:cs="Verdana"/>
          <w:sz w:val="22"/>
          <w:szCs w:val="22"/>
        </w:rPr>
      </w:pPr>
    </w:p>
    <w:p w:rsidR="00412A62" w:rsidRPr="00A0077D" w:rsidP="00412A62">
      <w:pPr>
        <w:pStyle w:val="ListParagraph"/>
        <w:numPr>
          <w:numId w:val="1"/>
        </w:numPr>
        <w:bidi w:val="0"/>
        <w:spacing w:before="120" w:line="276" w:lineRule="auto"/>
        <w:jc w:val="both"/>
        <w:rPr>
          <w:rFonts w:ascii="Book Antiqua" w:hAnsi="Book Antiqua" w:cs="Verdana"/>
          <w:sz w:val="22"/>
          <w:szCs w:val="22"/>
        </w:rPr>
      </w:pPr>
      <w:r w:rsidRPr="00A0077D">
        <w:rPr>
          <w:rFonts w:ascii="Book Antiqua" w:hAnsi="Book Antiqua" w:cs="Verdana"/>
          <w:sz w:val="22"/>
          <w:szCs w:val="22"/>
        </w:rPr>
        <w:t>V § 6 odsek 2 znie</w:t>
      </w:r>
      <w:r w:rsidRPr="00A0077D">
        <w:rPr>
          <w:rFonts w:ascii="Book Antiqua" w:hAnsi="Book Antiqua"/>
          <w:sz w:val="22"/>
          <w:szCs w:val="22"/>
        </w:rPr>
        <w:t>:</w:t>
      </w:r>
    </w:p>
    <w:p w:rsidR="00412A62" w:rsidP="00412A62">
      <w:pPr>
        <w:bidi w:val="0"/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887E36">
        <w:rPr>
          <w:rFonts w:ascii="Book Antiqua" w:hAnsi="Book Antiqua"/>
          <w:sz w:val="22"/>
          <w:szCs w:val="22"/>
        </w:rPr>
        <w:t xml:space="preserve">„(2) </w:t>
        <w:tab/>
        <w:t xml:space="preserve">Komora započíta do praxe advokátskeho koncipienta prax sudcu, prokurátora, </w:t>
      </w:r>
      <w:r w:rsidRPr="00887E36" w:rsidR="00887E36">
        <w:rPr>
          <w:rFonts w:ascii="Book Antiqua" w:hAnsi="Book Antiqua"/>
          <w:sz w:val="22"/>
          <w:szCs w:val="22"/>
        </w:rPr>
        <w:t xml:space="preserve">asistenta sudcu Najvyššieho súdu Slovenskej republiky, </w:t>
      </w:r>
      <w:r w:rsidR="000A6BE9">
        <w:rPr>
          <w:rFonts w:ascii="Book Antiqua" w:hAnsi="Book Antiqua"/>
          <w:sz w:val="22"/>
          <w:szCs w:val="22"/>
        </w:rPr>
        <w:t xml:space="preserve">justičného čakateľa, </w:t>
      </w:r>
      <w:r w:rsidRPr="00887E36">
        <w:rPr>
          <w:rFonts w:ascii="Book Antiqua" w:hAnsi="Book Antiqua"/>
          <w:sz w:val="22"/>
          <w:szCs w:val="22"/>
        </w:rPr>
        <w:t>vyššieho súdneho úradníka</w:t>
      </w:r>
      <w:r w:rsidR="00BA3F70">
        <w:rPr>
          <w:rFonts w:ascii="Book Antiqua" w:hAnsi="Book Antiqua"/>
          <w:sz w:val="22"/>
          <w:szCs w:val="22"/>
        </w:rPr>
        <w:t xml:space="preserve">, právneho čakateľa prokuratúry </w:t>
      </w:r>
      <w:r w:rsidRPr="00E21548">
        <w:rPr>
          <w:rFonts w:ascii="Book Antiqua" w:hAnsi="Book Antiqua"/>
          <w:sz w:val="22"/>
          <w:szCs w:val="22"/>
        </w:rPr>
        <w:t>a</w:t>
      </w:r>
      <w:r w:rsidR="005A7AF9">
        <w:rPr>
          <w:rFonts w:ascii="Book Antiqua" w:hAnsi="Book Antiqua"/>
          <w:sz w:val="22"/>
          <w:szCs w:val="22"/>
        </w:rPr>
        <w:t> notársku prax</w:t>
      </w:r>
      <w:r w:rsidRPr="00E21548">
        <w:rPr>
          <w:rFonts w:ascii="Book Antiqua" w:hAnsi="Book Antiqua"/>
          <w:sz w:val="22"/>
          <w:szCs w:val="22"/>
        </w:rPr>
        <w:t>.</w:t>
      </w:r>
      <w:r w:rsidRPr="007B6517">
        <w:rPr>
          <w:rFonts w:ascii="Book Antiqua" w:hAnsi="Book Antiqua"/>
          <w:sz w:val="22"/>
          <w:szCs w:val="22"/>
        </w:rPr>
        <w:t xml:space="preserve"> </w:t>
      </w:r>
      <w:r w:rsidRPr="007B6517" w:rsidR="001C243C">
        <w:rPr>
          <w:rFonts w:ascii="Book Antiqua" w:hAnsi="Book Antiqua"/>
          <w:sz w:val="22"/>
          <w:szCs w:val="22"/>
        </w:rPr>
        <w:t>Komora môže do praxe</w:t>
      </w:r>
      <w:r w:rsidR="001C243C">
        <w:rPr>
          <w:rFonts w:ascii="Book Antiqua" w:hAnsi="Book Antiqua"/>
          <w:sz w:val="22"/>
          <w:szCs w:val="22"/>
        </w:rPr>
        <w:t xml:space="preserve"> advokátskeho koncipienta</w:t>
      </w:r>
      <w:r w:rsidRPr="007B6517" w:rsidR="001C243C">
        <w:rPr>
          <w:rFonts w:ascii="Book Antiqua" w:hAnsi="Book Antiqua"/>
          <w:sz w:val="22"/>
          <w:szCs w:val="22"/>
        </w:rPr>
        <w:t xml:space="preserve"> započítať </w:t>
      </w:r>
      <w:r w:rsidR="001C243C">
        <w:rPr>
          <w:rFonts w:ascii="Book Antiqua" w:hAnsi="Book Antiqua"/>
          <w:sz w:val="22"/>
          <w:szCs w:val="22"/>
        </w:rPr>
        <w:t xml:space="preserve">v rozsahu maximálne troch rokov </w:t>
      </w:r>
      <w:r w:rsidRPr="007B6517" w:rsidR="001C243C">
        <w:rPr>
          <w:rFonts w:ascii="Book Antiqua" w:hAnsi="Book Antiqua"/>
          <w:sz w:val="22"/>
          <w:szCs w:val="22"/>
        </w:rPr>
        <w:t xml:space="preserve">aj inú právnu prax, </w:t>
      </w:r>
      <w:r w:rsidR="001C243C">
        <w:rPr>
          <w:rFonts w:ascii="Book Antiqua" w:hAnsi="Book Antiqua"/>
          <w:sz w:val="22"/>
          <w:szCs w:val="22"/>
        </w:rPr>
        <w:t xml:space="preserve">ak ňou advokátsky koncipient </w:t>
      </w:r>
      <w:r w:rsidRPr="00E21548" w:rsidR="001C243C">
        <w:rPr>
          <w:rFonts w:ascii="Book Antiqua" w:hAnsi="Book Antiqua"/>
          <w:sz w:val="22"/>
          <w:szCs w:val="22"/>
        </w:rPr>
        <w:t xml:space="preserve">získal skúsenosti potrebné na výkon </w:t>
      </w:r>
      <w:r w:rsidR="001C243C">
        <w:rPr>
          <w:rFonts w:ascii="Book Antiqua" w:hAnsi="Book Antiqua"/>
          <w:sz w:val="22"/>
          <w:szCs w:val="22"/>
        </w:rPr>
        <w:t>činnosti advokáta</w:t>
      </w:r>
      <w:r w:rsidR="00BA3F70">
        <w:rPr>
          <w:rFonts w:ascii="Book Antiqua" w:hAnsi="Book Antiqua"/>
          <w:sz w:val="22"/>
          <w:szCs w:val="22"/>
        </w:rPr>
        <w:t>;</w:t>
      </w:r>
      <w:r w:rsidRPr="007B6517" w:rsidR="001C243C">
        <w:rPr>
          <w:rFonts w:ascii="Book Antiqua" w:hAnsi="Book Antiqua"/>
          <w:sz w:val="22"/>
          <w:szCs w:val="22"/>
        </w:rPr>
        <w:t xml:space="preserve"> </w:t>
      </w:r>
      <w:r w:rsidR="00BA3F70">
        <w:rPr>
          <w:rFonts w:ascii="Book Antiqua" w:hAnsi="Book Antiqua"/>
          <w:sz w:val="22"/>
          <w:szCs w:val="22"/>
        </w:rPr>
        <w:t>p</w:t>
      </w:r>
      <w:r w:rsidRPr="007B6517" w:rsidR="001C243C">
        <w:rPr>
          <w:rFonts w:ascii="Book Antiqua" w:hAnsi="Book Antiqua"/>
          <w:sz w:val="22"/>
          <w:szCs w:val="22"/>
        </w:rPr>
        <w:t>odmienky započítania inej právnej praxe</w:t>
      </w:r>
      <w:r w:rsidR="001C243C">
        <w:rPr>
          <w:rFonts w:ascii="Book Antiqua" w:hAnsi="Book Antiqua"/>
          <w:sz w:val="22"/>
          <w:szCs w:val="22"/>
        </w:rPr>
        <w:t xml:space="preserve"> </w:t>
      </w:r>
      <w:r w:rsidRPr="007B6517" w:rsidR="001C243C">
        <w:rPr>
          <w:rFonts w:ascii="Book Antiqua" w:hAnsi="Book Antiqua"/>
          <w:sz w:val="22"/>
          <w:szCs w:val="22"/>
        </w:rPr>
        <w:t>do praxe advokátskeho koncipienta určí predpis komory.</w:t>
      </w:r>
      <w:r w:rsidRPr="002E4C85" w:rsidR="001C243C">
        <w:rPr>
          <w:rFonts w:ascii="Book Antiqua" w:hAnsi="Book Antiqua"/>
          <w:sz w:val="22"/>
          <w:szCs w:val="22"/>
        </w:rPr>
        <w:t>“</w:t>
      </w:r>
      <w:r w:rsidRPr="002E4C85">
        <w:rPr>
          <w:rFonts w:ascii="Book Antiqua" w:hAnsi="Book Antiqua"/>
          <w:sz w:val="22"/>
          <w:szCs w:val="22"/>
        </w:rPr>
        <w:t>.</w:t>
      </w:r>
    </w:p>
    <w:p w:rsidR="00412A62" w:rsidRPr="001A0072" w:rsidP="00412A62">
      <w:pPr>
        <w:pStyle w:val="ListParagraph"/>
        <w:numPr>
          <w:numId w:val="1"/>
        </w:numPr>
        <w:bidi w:val="0"/>
        <w:spacing w:before="120" w:line="276" w:lineRule="auto"/>
        <w:jc w:val="both"/>
        <w:rPr>
          <w:rFonts w:ascii="Book Antiqua" w:hAnsi="Book Antiqua"/>
          <w:szCs w:val="22"/>
        </w:rPr>
      </w:pPr>
      <w:r w:rsidRPr="001A0072">
        <w:rPr>
          <w:rFonts w:ascii="Book Antiqua" w:hAnsi="Book Antiqua"/>
          <w:sz w:val="22"/>
          <w:szCs w:val="24"/>
        </w:rPr>
        <w:t>Za § 82</w:t>
      </w:r>
      <w:r>
        <w:rPr>
          <w:rFonts w:ascii="Book Antiqua" w:hAnsi="Book Antiqua"/>
          <w:sz w:val="22"/>
          <w:szCs w:val="24"/>
        </w:rPr>
        <w:t>b</w:t>
      </w:r>
      <w:r w:rsidRPr="001A0072">
        <w:rPr>
          <w:rFonts w:ascii="Book Antiqua" w:hAnsi="Book Antiqua"/>
          <w:sz w:val="22"/>
          <w:szCs w:val="24"/>
        </w:rPr>
        <w:t xml:space="preserve"> sa vkladá</w:t>
      </w:r>
      <w:r>
        <w:rPr>
          <w:rFonts w:ascii="Book Antiqua" w:hAnsi="Book Antiqua"/>
          <w:sz w:val="22"/>
          <w:szCs w:val="24"/>
        </w:rPr>
        <w:t xml:space="preserve"> nový</w:t>
      </w:r>
      <w:r w:rsidRPr="001A0072">
        <w:rPr>
          <w:rFonts w:ascii="Book Antiqua" w:hAnsi="Book Antiqua"/>
          <w:sz w:val="22"/>
          <w:szCs w:val="24"/>
        </w:rPr>
        <w:t xml:space="preserve"> § 82</w:t>
      </w:r>
      <w:r>
        <w:rPr>
          <w:rFonts w:ascii="Book Antiqua" w:hAnsi="Book Antiqua"/>
          <w:sz w:val="22"/>
          <w:szCs w:val="24"/>
        </w:rPr>
        <w:t>c</w:t>
      </w:r>
      <w:r w:rsidRPr="001A0072">
        <w:rPr>
          <w:rFonts w:ascii="Book Antiqua" w:hAnsi="Book Antiqua"/>
          <w:sz w:val="22"/>
          <w:szCs w:val="24"/>
        </w:rPr>
        <w:t>, ktorý vrátane nadpisu znie:</w:t>
      </w:r>
    </w:p>
    <w:p w:rsidR="00412A62" w:rsidP="00412A62">
      <w:pPr>
        <w:pStyle w:val="ListParagraph"/>
        <w:bidi w:val="0"/>
        <w:spacing w:before="120" w:line="276" w:lineRule="auto"/>
        <w:ind w:left="786"/>
        <w:jc w:val="center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  <w:t>„§ 82c</w:t>
      </w:r>
    </w:p>
    <w:p w:rsidR="00412A62" w:rsidP="00412A62">
      <w:pPr>
        <w:pStyle w:val="ListParagraph"/>
        <w:bidi w:val="0"/>
        <w:spacing w:line="276" w:lineRule="auto"/>
        <w:ind w:left="788"/>
        <w:jc w:val="center"/>
        <w:rPr>
          <w:rFonts w:ascii="Book Antiqua" w:hAnsi="Book Antiqua"/>
          <w:sz w:val="22"/>
          <w:szCs w:val="22"/>
        </w:rPr>
      </w:pPr>
      <w:r w:rsidRPr="006960EA">
        <w:rPr>
          <w:rFonts w:ascii="Book Antiqua" w:hAnsi="Book Antiqua"/>
          <w:sz w:val="22"/>
          <w:szCs w:val="22"/>
        </w:rPr>
        <w:t xml:space="preserve">Prechodné ustanovenie k úpravám účinným od 1. </w:t>
      </w:r>
      <w:r w:rsidR="000A6BE9">
        <w:rPr>
          <w:rFonts w:ascii="Book Antiqua" w:hAnsi="Book Antiqua"/>
          <w:sz w:val="22"/>
          <w:szCs w:val="22"/>
        </w:rPr>
        <w:t>apríl</w:t>
      </w:r>
      <w:r w:rsidR="0096105E">
        <w:rPr>
          <w:rFonts w:ascii="Book Antiqua" w:hAnsi="Book Antiqua"/>
          <w:sz w:val="22"/>
          <w:szCs w:val="22"/>
        </w:rPr>
        <w:t>a</w:t>
      </w:r>
      <w:r w:rsidRPr="006960EA">
        <w:rPr>
          <w:rFonts w:ascii="Book Antiqua" w:hAnsi="Book Antiqua"/>
          <w:sz w:val="22"/>
          <w:szCs w:val="22"/>
        </w:rPr>
        <w:t xml:space="preserve"> 201</w:t>
      </w:r>
      <w:r w:rsidR="0096105E">
        <w:rPr>
          <w:rFonts w:ascii="Book Antiqua" w:hAnsi="Book Antiqua"/>
          <w:sz w:val="22"/>
          <w:szCs w:val="22"/>
        </w:rPr>
        <w:t>5</w:t>
      </w:r>
    </w:p>
    <w:p w:rsidR="00412A62" w:rsidRPr="006A09E9" w:rsidP="00412A62">
      <w:pPr>
        <w:pStyle w:val="ListParagraph"/>
        <w:bidi w:val="0"/>
        <w:spacing w:line="276" w:lineRule="auto"/>
        <w:ind w:left="788"/>
        <w:jc w:val="both"/>
        <w:rPr>
          <w:rFonts w:ascii="Book Antiqua" w:hAnsi="Book Antiqua"/>
          <w:sz w:val="22"/>
          <w:szCs w:val="22"/>
        </w:rPr>
      </w:pPr>
      <w:r w:rsidR="00777CD5">
        <w:rPr>
          <w:rFonts w:ascii="Book Antiqua" w:hAnsi="Book Antiqua"/>
          <w:sz w:val="22"/>
          <w:szCs w:val="22"/>
        </w:rPr>
        <w:t>P</w:t>
      </w:r>
      <w:r w:rsidRPr="006A09E9" w:rsidR="00777CD5">
        <w:rPr>
          <w:rFonts w:ascii="Book Antiqua" w:hAnsi="Book Antiqua"/>
          <w:sz w:val="22"/>
          <w:szCs w:val="22"/>
        </w:rPr>
        <w:t>rax</w:t>
      </w:r>
      <w:r w:rsidR="00777CD5">
        <w:rPr>
          <w:rFonts w:ascii="Book Antiqua" w:hAnsi="Book Antiqua"/>
          <w:sz w:val="22"/>
          <w:szCs w:val="22"/>
        </w:rPr>
        <w:t xml:space="preserve"> podľa § 6 odsek 2 </w:t>
      </w:r>
      <w:r w:rsidR="00534D87">
        <w:rPr>
          <w:rFonts w:ascii="Book Antiqua" w:hAnsi="Book Antiqua"/>
          <w:sz w:val="22"/>
          <w:szCs w:val="22"/>
        </w:rPr>
        <w:t>k</w:t>
      </w:r>
      <w:r w:rsidR="00777CD5">
        <w:rPr>
          <w:rFonts w:ascii="Book Antiqua" w:hAnsi="Book Antiqua"/>
          <w:sz w:val="22"/>
          <w:szCs w:val="22"/>
        </w:rPr>
        <w:t>omora započíta</w:t>
      </w:r>
      <w:r w:rsidRPr="006A09E9" w:rsidR="00777CD5">
        <w:rPr>
          <w:rFonts w:ascii="Book Antiqua" w:hAnsi="Book Antiqua"/>
          <w:sz w:val="22"/>
          <w:szCs w:val="22"/>
        </w:rPr>
        <w:t xml:space="preserve"> </w:t>
      </w:r>
      <w:r w:rsidR="00777CD5">
        <w:rPr>
          <w:rFonts w:ascii="Book Antiqua" w:hAnsi="Book Antiqua"/>
          <w:sz w:val="22"/>
          <w:szCs w:val="22"/>
        </w:rPr>
        <w:t>aj do praxe a</w:t>
      </w:r>
      <w:r w:rsidRPr="006A09E9">
        <w:rPr>
          <w:rFonts w:ascii="Book Antiqua" w:hAnsi="Book Antiqua"/>
          <w:sz w:val="22"/>
          <w:szCs w:val="22"/>
        </w:rPr>
        <w:t>dvokátsk</w:t>
      </w:r>
      <w:r w:rsidR="00777CD5">
        <w:rPr>
          <w:rFonts w:ascii="Book Antiqua" w:hAnsi="Book Antiqua"/>
          <w:sz w:val="22"/>
          <w:szCs w:val="22"/>
        </w:rPr>
        <w:t>eho</w:t>
      </w:r>
      <w:r w:rsidRPr="006A09E9">
        <w:rPr>
          <w:rFonts w:ascii="Book Antiqua" w:hAnsi="Book Antiqua"/>
          <w:sz w:val="22"/>
          <w:szCs w:val="22"/>
        </w:rPr>
        <w:t xml:space="preserve"> koncipient</w:t>
      </w:r>
      <w:r w:rsidR="00777CD5">
        <w:rPr>
          <w:rFonts w:ascii="Book Antiqua" w:hAnsi="Book Antiqua"/>
          <w:sz w:val="22"/>
          <w:szCs w:val="22"/>
        </w:rPr>
        <w:t>a</w:t>
      </w:r>
      <w:r w:rsidRPr="006A09E9">
        <w:rPr>
          <w:rFonts w:ascii="Book Antiqua" w:hAnsi="Book Antiqua"/>
          <w:sz w:val="22"/>
          <w:szCs w:val="22"/>
        </w:rPr>
        <w:t xml:space="preserve"> zapísan</w:t>
      </w:r>
      <w:r w:rsidR="00777CD5">
        <w:rPr>
          <w:rFonts w:ascii="Book Antiqua" w:hAnsi="Book Antiqua"/>
          <w:sz w:val="22"/>
          <w:szCs w:val="22"/>
        </w:rPr>
        <w:t>ého</w:t>
      </w:r>
      <w:r w:rsidRPr="006A09E9">
        <w:rPr>
          <w:rFonts w:ascii="Book Antiqua" w:hAnsi="Book Antiqua"/>
          <w:sz w:val="22"/>
          <w:szCs w:val="22"/>
        </w:rPr>
        <w:t xml:space="preserve"> do zoznamu advokátskych koncipientov do 31. </w:t>
      </w:r>
      <w:r w:rsidR="000A6BE9">
        <w:rPr>
          <w:rFonts w:ascii="Book Antiqua" w:hAnsi="Book Antiqua"/>
          <w:sz w:val="22"/>
          <w:szCs w:val="22"/>
        </w:rPr>
        <w:t>marca</w:t>
      </w:r>
      <w:r w:rsidRPr="006A09E9">
        <w:rPr>
          <w:rFonts w:ascii="Book Antiqua" w:hAnsi="Book Antiqua"/>
          <w:sz w:val="22"/>
          <w:szCs w:val="22"/>
        </w:rPr>
        <w:t xml:space="preserve"> 201</w:t>
      </w:r>
      <w:r w:rsidR="000A6BE9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>.</w:t>
      </w:r>
      <w:r w:rsidRPr="006A09E9">
        <w:rPr>
          <w:rFonts w:ascii="Book Antiqua" w:hAnsi="Book Antiqua"/>
          <w:sz w:val="22"/>
          <w:szCs w:val="22"/>
        </w:rPr>
        <w:t>“</w:t>
      </w:r>
      <w:r>
        <w:rPr>
          <w:rFonts w:ascii="Book Antiqua" w:hAnsi="Book Antiqua"/>
          <w:sz w:val="22"/>
          <w:szCs w:val="22"/>
        </w:rPr>
        <w:t>.</w:t>
      </w:r>
    </w:p>
    <w:p w:rsidR="00412A62" w:rsidRPr="002E4C85" w:rsidP="00412A6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12A62" w:rsidRPr="002E4C85" w:rsidP="00412A6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>Čl. II</w:t>
      </w:r>
    </w:p>
    <w:p w:rsidR="00412A62" w:rsidRPr="00F60637" w:rsidP="00412A62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 w:cs="Times New Roman"/>
          <w:sz w:val="22"/>
          <w:szCs w:val="22"/>
        </w:rPr>
      </w:pPr>
      <w:r w:rsidRPr="002E4C85">
        <w:rPr>
          <w:rFonts w:ascii="Book Antiqua" w:hAnsi="Book Antiqua" w:cs="Times New Roman"/>
          <w:sz w:val="22"/>
          <w:szCs w:val="22"/>
        </w:rPr>
        <w:t xml:space="preserve">Tento zákon nadobúda účinnosť 1. </w:t>
      </w:r>
      <w:r w:rsidR="000A6BE9">
        <w:rPr>
          <w:rFonts w:ascii="Book Antiqua" w:hAnsi="Book Antiqua" w:cs="Times New Roman"/>
          <w:sz w:val="22"/>
          <w:szCs w:val="22"/>
        </w:rPr>
        <w:t>apríl</w:t>
      </w:r>
      <w:r w:rsidR="0096105E">
        <w:rPr>
          <w:rFonts w:ascii="Book Antiqua" w:hAnsi="Book Antiqua" w:cs="Times New Roman"/>
          <w:sz w:val="22"/>
          <w:szCs w:val="22"/>
        </w:rPr>
        <w:t>a</w:t>
      </w:r>
      <w:r w:rsidRPr="002E4C85">
        <w:rPr>
          <w:rFonts w:ascii="Book Antiqua" w:hAnsi="Book Antiqua" w:cs="Times New Roman"/>
          <w:sz w:val="22"/>
          <w:szCs w:val="22"/>
        </w:rPr>
        <w:t xml:space="preserve"> 201</w:t>
      </w:r>
      <w:r w:rsidR="0096105E">
        <w:rPr>
          <w:rFonts w:ascii="Book Antiqua" w:hAnsi="Book Antiqua" w:cs="Times New Roman"/>
          <w:sz w:val="22"/>
          <w:szCs w:val="22"/>
        </w:rPr>
        <w:t>5</w:t>
      </w:r>
      <w:r w:rsidRPr="002E4C85">
        <w:rPr>
          <w:rFonts w:ascii="Book Antiqua" w:hAnsi="Book Antiqua" w:cs="Times New Roman"/>
          <w:sz w:val="22"/>
          <w:szCs w:val="22"/>
        </w:rPr>
        <w:t>.</w:t>
      </w:r>
    </w:p>
    <w:p w:rsidR="00412A6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4576C"/>
    <w:multiLevelType w:val="hybridMultilevel"/>
    <w:tmpl w:val="D1FEBA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12A62"/>
    <w:rsid w:val="00043F74"/>
    <w:rsid w:val="000A6BE9"/>
    <w:rsid w:val="00105154"/>
    <w:rsid w:val="0016221C"/>
    <w:rsid w:val="001A0072"/>
    <w:rsid w:val="001C243C"/>
    <w:rsid w:val="002E4C85"/>
    <w:rsid w:val="002F4E9A"/>
    <w:rsid w:val="00372337"/>
    <w:rsid w:val="003929E0"/>
    <w:rsid w:val="0040455C"/>
    <w:rsid w:val="00412A62"/>
    <w:rsid w:val="004609A7"/>
    <w:rsid w:val="00487988"/>
    <w:rsid w:val="00534D87"/>
    <w:rsid w:val="005509CA"/>
    <w:rsid w:val="005A7AF9"/>
    <w:rsid w:val="005C7B9D"/>
    <w:rsid w:val="006960EA"/>
    <w:rsid w:val="006A09E9"/>
    <w:rsid w:val="006D7293"/>
    <w:rsid w:val="006D72AC"/>
    <w:rsid w:val="00777CD5"/>
    <w:rsid w:val="007B6517"/>
    <w:rsid w:val="00887E36"/>
    <w:rsid w:val="00955A19"/>
    <w:rsid w:val="0096105E"/>
    <w:rsid w:val="009A15F4"/>
    <w:rsid w:val="00A0077D"/>
    <w:rsid w:val="00BA3F70"/>
    <w:rsid w:val="00BC7461"/>
    <w:rsid w:val="00C4651F"/>
    <w:rsid w:val="00DA665D"/>
    <w:rsid w:val="00E21548"/>
    <w:rsid w:val="00F01AB2"/>
    <w:rsid w:val="00F134A5"/>
    <w:rsid w:val="00F606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6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Book Antiqua"/>
    <w:qFormat/>
    <w:rsid w:val="00372337"/>
    <w:rPr>
      <w:rFonts w:ascii="Book Antiqua" w:hAnsi="Book Antiqua" w:cs="Book Antiqua"/>
      <w:b/>
      <w:i w:val="0"/>
      <w:caps/>
      <w:smallCaps w:val="0"/>
      <w:outline w:val="0"/>
      <w:shadow w:val="0"/>
      <w:emboss w:val="0"/>
      <w:imprint w:val="0"/>
      <w:sz w:val="20"/>
      <w:vertAlign w:val="baseline"/>
    </w:rPr>
  </w:style>
  <w:style w:type="paragraph" w:styleId="BodyText">
    <w:name w:val="Body Text"/>
    <w:basedOn w:val="Normal"/>
    <w:link w:val="BodyTextChar"/>
    <w:uiPriority w:val="99"/>
    <w:rsid w:val="00412A62"/>
    <w:pPr>
      <w:jc w:val="both"/>
    </w:pPr>
    <w:rPr>
      <w:rFonts w:ascii="Verdana" w:hAnsi="Verdana" w:cs="Verdana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412A62"/>
    <w:rPr>
      <w:rFonts w:ascii="Verdana" w:hAnsi="Verdana" w:cs="Verdana"/>
      <w:kern w:val="0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412A62"/>
    <w:pPr>
      <w:ind w:left="708"/>
      <w:jc w:val="left"/>
    </w:pPr>
  </w:style>
  <w:style w:type="character" w:styleId="CommentReference">
    <w:name w:val="annotation reference"/>
    <w:uiPriority w:val="99"/>
    <w:semiHidden/>
    <w:unhideWhenUsed/>
    <w:rsid w:val="005A7AF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AF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sid w:val="005A7AF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AF9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A7AF9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AF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A7AF9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250</Words>
  <Characters>1431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Gašparíková, Jarmila</cp:lastModifiedBy>
  <cp:revision>2</cp:revision>
  <dcterms:created xsi:type="dcterms:W3CDTF">2014-12-08T10:49:00Z</dcterms:created>
  <dcterms:modified xsi:type="dcterms:W3CDTF">2014-12-08T10:49:00Z</dcterms:modified>
</cp:coreProperties>
</file>