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rPr>
      </w:pPr>
    </w:p>
    <w:p w:rsidR="00F91E33" w:rsidRPr="00CC658A" w:rsidP="00F91E33">
      <w:pPr>
        <w:bidi w:val="0"/>
        <w:rPr>
          <w:rFonts w:ascii="Times New Roman" w:hAnsi="Times New Roman"/>
          <w:b/>
          <w:bCs/>
        </w:rPr>
      </w:pPr>
    </w:p>
    <w:p w:rsidR="00F91E33" w:rsidRPr="00CC658A" w:rsidP="00F91E33">
      <w:pPr>
        <w:bidi w:val="0"/>
        <w:jc w:val="center"/>
        <w:rPr>
          <w:rFonts w:ascii="Times New Roman" w:hAnsi="Times New Roman"/>
          <w:b/>
          <w:bCs/>
        </w:rPr>
      </w:pPr>
      <w:r w:rsidRPr="00CC658A">
        <w:rPr>
          <w:rFonts w:ascii="Times New Roman" w:hAnsi="Times New Roman"/>
          <w:b/>
          <w:bCs/>
        </w:rPr>
        <w:t xml:space="preserve">     z 26. novembra 2014</w:t>
      </w:r>
    </w:p>
    <w:p w:rsidR="00F91E33" w:rsidRPr="00CC658A" w:rsidP="00F91E33">
      <w:pPr>
        <w:bidi w:val="0"/>
        <w:jc w:val="center"/>
        <w:rPr>
          <w:rFonts w:ascii="Times New Roman" w:hAnsi="Times New Roman"/>
          <w:b/>
          <w:bCs/>
        </w:rPr>
      </w:pPr>
    </w:p>
    <w:p w:rsidR="00F91E33" w:rsidRPr="00CC658A" w:rsidP="00F91E33">
      <w:pPr>
        <w:bidi w:val="0"/>
        <w:jc w:val="center"/>
        <w:rPr>
          <w:rFonts w:ascii="Times New Roman" w:hAnsi="Times New Roman"/>
          <w:b/>
          <w:lang w:val="cs-CZ"/>
        </w:rPr>
      </w:pPr>
      <w:r w:rsidRPr="00CC658A">
        <w:rPr>
          <w:rFonts w:ascii="Times New Roman" w:hAnsi="Times New Roman"/>
          <w:b/>
          <w:bCs/>
        </w:rPr>
        <w:t>o dani z motorových vozidiel a o zmene a doplnení niektorých zákonov</w:t>
      </w:r>
    </w:p>
    <w:p w:rsidR="00F91E33" w:rsidRPr="00CC658A" w:rsidP="00F91E33">
      <w:pPr>
        <w:bidi w:val="0"/>
        <w:rPr>
          <w:rFonts w:ascii="Times New Roman" w:hAnsi="Times New Roman"/>
          <w:lang w:val="cs-CZ"/>
        </w:rPr>
      </w:pPr>
    </w:p>
    <w:p w:rsidR="00F91E33" w:rsidRPr="00CC658A" w:rsidP="00F91E33">
      <w:pPr>
        <w:bidi w:val="0"/>
        <w:rPr>
          <w:rFonts w:ascii="Times New Roman" w:hAnsi="Times New Roman"/>
        </w:rPr>
      </w:pPr>
      <w:r w:rsidRPr="00CC658A">
        <w:rPr>
          <w:rFonts w:ascii="Times New Roman" w:hAnsi="Times New Roman"/>
        </w:rPr>
        <w:t>Národná rada Slovenskej republiky sa uzniesla na tomto zákone:</w:t>
      </w:r>
    </w:p>
    <w:p w:rsidR="00F91E33" w:rsidRPr="00CC658A" w:rsidP="00F91E33">
      <w:pPr>
        <w:bidi w:val="0"/>
        <w:rPr>
          <w:rFonts w:ascii="Times New Roman" w:hAnsi="Times New Roman"/>
          <w:b/>
        </w:rPr>
      </w:pPr>
    </w:p>
    <w:p w:rsidR="00F91E33" w:rsidRPr="00CC658A" w:rsidP="00F91E33">
      <w:pPr>
        <w:bidi w:val="0"/>
        <w:jc w:val="center"/>
        <w:rPr>
          <w:rFonts w:ascii="Times New Roman" w:hAnsi="Times New Roman"/>
          <w:b/>
        </w:rPr>
      </w:pPr>
      <w:r w:rsidRPr="00CC658A">
        <w:rPr>
          <w:rFonts w:ascii="Times New Roman" w:hAnsi="Times New Roman"/>
          <w:b/>
        </w:rPr>
        <w:t>Čl. I</w:t>
      </w:r>
    </w:p>
    <w:p w:rsidR="00F91E33" w:rsidRPr="00CC658A" w:rsidP="00F91E33">
      <w:pPr>
        <w:bidi w:val="0"/>
        <w:ind w:firstLine="708"/>
        <w:jc w:val="both"/>
        <w:rPr>
          <w:rFonts w:ascii="Times New Roman" w:hAnsi="Times New Roman"/>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1</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Predmet úpravy</w:t>
      </w:r>
    </w:p>
    <w:p w:rsidR="00F91E33" w:rsidRPr="00CC658A" w:rsidP="00F91E33">
      <w:pPr>
        <w:pStyle w:val="BodyText"/>
        <w:bidi w:val="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Tento zákon upravuje zdaňovanie motorových vozidiel a prípojných vozidiel kategórie L, M, N a O</w:t>
      </w:r>
      <w:r>
        <w:rPr>
          <w:rStyle w:val="FootnoteReference"/>
          <w:rFonts w:ascii="Times New Roman" w:hAnsi="Times New Roman"/>
          <w:sz w:val="24"/>
          <w:rtl w:val="0"/>
        </w:rPr>
        <w:footnoteReference w:id="2"/>
      </w:r>
      <w:r w:rsidRPr="00CC658A">
        <w:rPr>
          <w:rFonts w:ascii="Times New Roman" w:hAnsi="Times New Roman"/>
          <w:sz w:val="24"/>
        </w:rPr>
        <w:t>) (ďalej len „vozidlo“) daňou z motorových vozidiel (ďalej len „daň“).</w:t>
      </w:r>
    </w:p>
    <w:p w:rsidR="00F91E33" w:rsidRPr="00CC658A" w:rsidP="00F91E33">
      <w:pPr>
        <w:pStyle w:val="BodyText"/>
        <w:bidi w:val="0"/>
        <w:jc w:val="center"/>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2</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xml:space="preserve">Predmet dane </w:t>
      </w:r>
    </w:p>
    <w:p w:rsidR="00F91E33" w:rsidRPr="00CC658A" w:rsidP="00F91E33">
      <w:pPr>
        <w:pStyle w:val="BodyText"/>
        <w:bidi w:val="0"/>
        <w:jc w:val="center"/>
        <w:rPr>
          <w:rFonts w:ascii="Times New Roman" w:hAnsi="Times New Roman"/>
          <w:sz w:val="24"/>
        </w:rPr>
      </w:pPr>
    </w:p>
    <w:p w:rsidR="00F91E33" w:rsidRPr="00CC658A" w:rsidP="00214D38">
      <w:pPr>
        <w:pStyle w:val="BodyText"/>
        <w:numPr>
          <w:numId w:val="11"/>
        </w:numPr>
        <w:bidi w:val="0"/>
        <w:ind w:left="426" w:hanging="426"/>
        <w:jc w:val="left"/>
        <w:rPr>
          <w:rFonts w:ascii="Times New Roman" w:hAnsi="Times New Roman"/>
          <w:sz w:val="24"/>
        </w:rPr>
      </w:pPr>
      <w:r w:rsidRPr="00CC658A">
        <w:rPr>
          <w:rFonts w:ascii="Times New Roman" w:hAnsi="Times New Roman"/>
          <w:sz w:val="24"/>
        </w:rPr>
        <w:t>Predmetom dane je vozidlo, ktoré je evidované</w:t>
      </w:r>
      <w:r>
        <w:rPr>
          <w:rStyle w:val="FootnoteReference"/>
          <w:rFonts w:ascii="Times New Roman" w:hAnsi="Times New Roman"/>
          <w:sz w:val="24"/>
          <w:rtl w:val="0"/>
        </w:rPr>
        <w:footnoteReference w:id="3"/>
      </w:r>
      <w:r w:rsidRPr="00CC658A">
        <w:rPr>
          <w:rFonts w:ascii="Times New Roman" w:hAnsi="Times New Roman"/>
          <w:sz w:val="24"/>
        </w:rPr>
        <w:t xml:space="preserve">) v Slovenskej republike a používa sa na </w:t>
      </w:r>
    </w:p>
    <w:p w:rsidR="00F91E33" w:rsidRPr="00CC658A" w:rsidP="00F91E33">
      <w:pPr>
        <w:pStyle w:val="BodyText"/>
        <w:bidi w:val="0"/>
        <w:ind w:left="426"/>
        <w:rPr>
          <w:rFonts w:ascii="Times New Roman" w:hAnsi="Times New Roman"/>
          <w:sz w:val="24"/>
        </w:rPr>
      </w:pPr>
    </w:p>
    <w:p w:rsidR="00F91E33" w:rsidRPr="00CC658A" w:rsidP="00F91E33">
      <w:pPr>
        <w:pStyle w:val="BodyText"/>
        <w:bidi w:val="0"/>
        <w:ind w:left="426"/>
        <w:rPr>
          <w:rFonts w:ascii="Times New Roman" w:hAnsi="Times New Roman"/>
          <w:sz w:val="24"/>
        </w:rPr>
      </w:pPr>
    </w:p>
    <w:p w:rsidR="00F91E33" w:rsidRPr="00CC658A" w:rsidP="00F91E33">
      <w:pPr>
        <w:pStyle w:val="BodyText"/>
        <w:bidi w:val="0"/>
        <w:ind w:left="426"/>
        <w:rPr>
          <w:rFonts w:ascii="Times New Roman" w:hAnsi="Times New Roman"/>
          <w:sz w:val="24"/>
        </w:rPr>
      </w:pPr>
      <w:r w:rsidRPr="00CC658A">
        <w:rPr>
          <w:rFonts w:ascii="Times New Roman" w:hAnsi="Times New Roman"/>
          <w:sz w:val="24"/>
        </w:rPr>
        <w:t>podnikanie</w:t>
      </w:r>
      <w:r>
        <w:rPr>
          <w:rStyle w:val="FootnoteReference"/>
          <w:rFonts w:ascii="Times New Roman" w:hAnsi="Times New Roman"/>
          <w:sz w:val="24"/>
          <w:rtl w:val="0"/>
        </w:rPr>
        <w:footnoteReference w:id="4"/>
      </w:r>
      <w:r w:rsidRPr="00CC658A">
        <w:rPr>
          <w:rFonts w:ascii="Times New Roman" w:hAnsi="Times New Roman"/>
          <w:sz w:val="24"/>
        </w:rPr>
        <w:t>) alebo inú samostatnú zárobkovú činnosť</w:t>
      </w:r>
      <w:r>
        <w:rPr>
          <w:rStyle w:val="FootnoteReference"/>
          <w:rFonts w:ascii="Times New Roman" w:hAnsi="Times New Roman"/>
          <w:sz w:val="24"/>
          <w:rtl w:val="0"/>
        </w:rPr>
        <w:footnoteReference w:id="5"/>
      </w:r>
      <w:r w:rsidRPr="00CC658A">
        <w:rPr>
          <w:rFonts w:ascii="Times New Roman" w:hAnsi="Times New Roman"/>
          <w:sz w:val="24"/>
        </w:rPr>
        <w:t>) (ďalej len „podnikanie“) v zdaňovacom období.</w:t>
      </w:r>
    </w:p>
    <w:p w:rsidR="00F91E33" w:rsidRPr="00CC658A" w:rsidP="00F91E33">
      <w:pPr>
        <w:pStyle w:val="BodyText"/>
        <w:bidi w:val="0"/>
        <w:ind w:left="426" w:hanging="426"/>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(2) Predmetom dane nie je vozidlo </w:t>
      </w:r>
    </w:p>
    <w:p w:rsidR="00F91E33" w:rsidRPr="00CC658A" w:rsidP="00214D38">
      <w:pPr>
        <w:pStyle w:val="BodyText"/>
        <w:numPr>
          <w:numId w:val="4"/>
        </w:numPr>
        <w:bidi w:val="0"/>
        <w:rPr>
          <w:rFonts w:ascii="Times New Roman" w:hAnsi="Times New Roman"/>
          <w:sz w:val="24"/>
        </w:rPr>
      </w:pPr>
      <w:r w:rsidRPr="00CC658A">
        <w:rPr>
          <w:rFonts w:ascii="Times New Roman" w:hAnsi="Times New Roman"/>
          <w:sz w:val="24"/>
        </w:rPr>
        <w:t>používané na skúšobné jazdy, ktoré má pridelené zvláštne evidenčné číslo,</w:t>
      </w:r>
      <w:r>
        <w:rPr>
          <w:rStyle w:val="FootnoteReference"/>
          <w:rFonts w:ascii="Times New Roman" w:hAnsi="Times New Roman"/>
          <w:sz w:val="24"/>
          <w:rtl w:val="0"/>
        </w:rPr>
        <w:footnoteReference w:id="6"/>
      </w:r>
      <w:r w:rsidRPr="00CC658A">
        <w:rPr>
          <w:rFonts w:ascii="Times New Roman" w:hAnsi="Times New Roman"/>
          <w:sz w:val="24"/>
        </w:rPr>
        <w:t>)</w:t>
      </w:r>
    </w:p>
    <w:p w:rsidR="00F91E33" w:rsidRPr="00CC658A" w:rsidP="00214D38">
      <w:pPr>
        <w:pStyle w:val="BodyText"/>
        <w:numPr>
          <w:numId w:val="4"/>
        </w:numPr>
        <w:bidi w:val="0"/>
        <w:rPr>
          <w:rFonts w:ascii="Times New Roman" w:hAnsi="Times New Roman"/>
          <w:sz w:val="24"/>
        </w:rPr>
      </w:pPr>
      <w:r w:rsidRPr="00CC658A">
        <w:rPr>
          <w:rFonts w:ascii="Times New Roman" w:hAnsi="Times New Roman"/>
          <w:sz w:val="24"/>
        </w:rPr>
        <w:t>určené na vykonávanie špeciálnych činností, ktoré nie je určené na prepravu a v osvedčení o evidencii časť I a osvedčení o evidencii časť II</w:t>
      </w:r>
      <w:r>
        <w:rPr>
          <w:rStyle w:val="FootnoteReference"/>
          <w:rFonts w:ascii="Times New Roman" w:hAnsi="Times New Roman"/>
          <w:sz w:val="24"/>
          <w:rtl w:val="0"/>
        </w:rPr>
        <w:footnoteReference w:id="7"/>
      </w:r>
      <w:r w:rsidRPr="00CC658A">
        <w:rPr>
          <w:rFonts w:ascii="Times New Roman" w:hAnsi="Times New Roman"/>
          <w:sz w:val="24"/>
        </w:rPr>
        <w:t>) (ďalej len „doklad“) je označené ako špeciálne vozidlo.</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3</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Daňovník</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Daňovníkom je fyzická osoba alebo právnická osoba, ktorá</w:t>
      </w:r>
    </w:p>
    <w:p w:rsidR="00F91E33" w:rsidRPr="00CC658A" w:rsidP="00214D38">
      <w:pPr>
        <w:pStyle w:val="BodyText"/>
        <w:numPr>
          <w:numId w:val="5"/>
        </w:numPr>
        <w:bidi w:val="0"/>
        <w:rPr>
          <w:rFonts w:ascii="Times New Roman" w:hAnsi="Times New Roman"/>
          <w:sz w:val="24"/>
        </w:rPr>
      </w:pPr>
      <w:r w:rsidRPr="00CC658A">
        <w:rPr>
          <w:rFonts w:ascii="Times New Roman" w:hAnsi="Times New Roman"/>
          <w:sz w:val="24"/>
        </w:rPr>
        <w:t>je ako držiteľ vozidla zapísaná v doklade,</w:t>
      </w:r>
    </w:p>
    <w:p w:rsidR="00F91E33" w:rsidRPr="00CC658A" w:rsidP="00214D38">
      <w:pPr>
        <w:pStyle w:val="BodyText"/>
        <w:numPr>
          <w:numId w:val="5"/>
        </w:numPr>
        <w:bidi w:val="0"/>
        <w:rPr>
          <w:rFonts w:ascii="Times New Roman" w:hAnsi="Times New Roman"/>
          <w:sz w:val="24"/>
        </w:rPr>
      </w:pPr>
      <w:r w:rsidRPr="00CC658A">
        <w:rPr>
          <w:rFonts w:ascii="Times New Roman" w:hAnsi="Times New Roman"/>
          <w:sz w:val="24"/>
        </w:rPr>
        <w:t>má v doklade ako držiteľa vozidla zapísanú svoju organizačnú zložku,</w:t>
      </w:r>
    </w:p>
    <w:p w:rsidR="00F91E33" w:rsidRPr="00CC658A" w:rsidP="00214D38">
      <w:pPr>
        <w:pStyle w:val="BodyText"/>
        <w:numPr>
          <w:numId w:val="5"/>
        </w:numPr>
        <w:bidi w:val="0"/>
        <w:rPr>
          <w:rFonts w:ascii="Times New Roman" w:hAnsi="Times New Roman"/>
          <w:sz w:val="24"/>
        </w:rPr>
      </w:pPr>
      <w:r w:rsidRPr="00CC658A">
        <w:rPr>
          <w:rFonts w:ascii="Times New Roman" w:hAnsi="Times New Roman"/>
          <w:sz w:val="24"/>
        </w:rPr>
        <w:t>používa vozidlo, v ktorého doklade je ako držiteľ vozidla zapísaná osoba, ktorá zomrela, zanikla alebo bola zrušená,</w:t>
      </w:r>
    </w:p>
    <w:p w:rsidR="00F91E33" w:rsidRPr="00CC658A" w:rsidP="00214D38">
      <w:pPr>
        <w:pStyle w:val="BodyText"/>
        <w:numPr>
          <w:numId w:val="5"/>
        </w:numPr>
        <w:bidi w:val="0"/>
        <w:rPr>
          <w:rFonts w:ascii="Times New Roman" w:hAnsi="Times New Roman"/>
          <w:sz w:val="24"/>
        </w:rPr>
      </w:pPr>
      <w:r w:rsidRPr="00CC658A">
        <w:rPr>
          <w:rFonts w:ascii="Times New Roman" w:hAnsi="Times New Roman"/>
          <w:sz w:val="24"/>
        </w:rPr>
        <w:t>používa vozidlo, v ktorého doklade je ako držiteľ vozidla zapísaná osoba, ktorá nepoužíva vozidlo na podnikanie alebo</w:t>
      </w:r>
    </w:p>
    <w:p w:rsidR="00F91E33" w:rsidRPr="00CC658A" w:rsidP="00214D38">
      <w:pPr>
        <w:pStyle w:val="BodyText"/>
        <w:numPr>
          <w:numId w:val="5"/>
        </w:numPr>
        <w:bidi w:val="0"/>
        <w:rPr>
          <w:rFonts w:ascii="Times New Roman" w:hAnsi="Times New Roman"/>
          <w:sz w:val="24"/>
        </w:rPr>
      </w:pPr>
      <w:r w:rsidRPr="00CC658A">
        <w:rPr>
          <w:rFonts w:ascii="Times New Roman" w:hAnsi="Times New Roman"/>
          <w:sz w:val="24"/>
        </w:rPr>
        <w:t>je zamestnávateľom a vypláca zamestnancovi cestovné náhrady za použitie vozidla, ktoré sa nepoužíva na podnikanie.</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4</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Oslobodenie od dane</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ind w:left="426" w:hanging="426"/>
        <w:rPr>
          <w:rFonts w:ascii="Times New Roman" w:hAnsi="Times New Roman"/>
          <w:sz w:val="24"/>
        </w:rPr>
      </w:pPr>
      <w:r w:rsidRPr="00CC658A">
        <w:rPr>
          <w:rFonts w:ascii="Times New Roman" w:hAnsi="Times New Roman"/>
          <w:sz w:val="24"/>
        </w:rPr>
        <w:t>(1) Od dane je oslobodené vozidlo</w:t>
      </w:r>
    </w:p>
    <w:p w:rsidR="00F91E33" w:rsidRPr="00CC658A" w:rsidP="00214D38">
      <w:pPr>
        <w:pStyle w:val="BodyText"/>
        <w:numPr>
          <w:numId w:val="6"/>
        </w:numPr>
        <w:bidi w:val="0"/>
        <w:rPr>
          <w:rFonts w:ascii="Times New Roman" w:hAnsi="Times New Roman"/>
          <w:sz w:val="24"/>
        </w:rPr>
      </w:pPr>
      <w:r w:rsidRPr="00CC658A">
        <w:rPr>
          <w:rFonts w:ascii="Times New Roman" w:hAnsi="Times New Roman"/>
          <w:sz w:val="24"/>
        </w:rPr>
        <w:t>diplomatických misií a konzulárnych úradov, ak je zaručená vzájomnosť,</w:t>
      </w:r>
    </w:p>
    <w:p w:rsidR="00F91E33" w:rsidRPr="00CC658A" w:rsidP="00214D38">
      <w:pPr>
        <w:pStyle w:val="BodyText"/>
        <w:numPr>
          <w:numId w:val="6"/>
        </w:numPr>
        <w:bidi w:val="0"/>
        <w:rPr>
          <w:rFonts w:ascii="Times New Roman" w:hAnsi="Times New Roman"/>
          <w:sz w:val="24"/>
        </w:rPr>
      </w:pPr>
      <w:r w:rsidRPr="00CC658A">
        <w:rPr>
          <w:rFonts w:ascii="Times New Roman" w:hAnsi="Times New Roman"/>
          <w:sz w:val="24"/>
        </w:rPr>
        <w:t>záchrannej zdravotnej služby, vozidlo banskej záchrannej služby, vozidlo horskej záchrannej služby, vozidlo leteckej záchrannej služby a vozidlo požiarnej ochrany,</w:t>
      </w:r>
    </w:p>
    <w:p w:rsidR="00F91E33" w:rsidRPr="00CC658A" w:rsidP="00214D38">
      <w:pPr>
        <w:pStyle w:val="BodyText"/>
        <w:numPr>
          <w:numId w:val="6"/>
        </w:numPr>
        <w:bidi w:val="0"/>
        <w:rPr>
          <w:rFonts w:ascii="Times New Roman" w:hAnsi="Times New Roman"/>
          <w:sz w:val="24"/>
        </w:rPr>
      </w:pPr>
      <w:r w:rsidRPr="00CC658A">
        <w:rPr>
          <w:rFonts w:ascii="Times New Roman" w:hAnsi="Times New Roman"/>
          <w:sz w:val="24"/>
        </w:rPr>
        <w:t>osobnej pravidelnej dopravy vykonávajúce prepravu na základe zmluvy o službách</w:t>
      </w:r>
      <w:r>
        <w:rPr>
          <w:rStyle w:val="FootnoteReference"/>
          <w:rFonts w:ascii="Times New Roman" w:hAnsi="Times New Roman"/>
          <w:sz w:val="24"/>
          <w:rtl w:val="0"/>
        </w:rPr>
        <w:footnoteReference w:id="8"/>
      </w:r>
      <w:r w:rsidRPr="00CC658A">
        <w:rPr>
          <w:rFonts w:ascii="Times New Roman" w:hAnsi="Times New Roman"/>
          <w:sz w:val="24"/>
        </w:rPr>
        <w:t>) vo verejnom záujme,</w:t>
      </w:r>
    </w:p>
    <w:p w:rsidR="00F91E33" w:rsidRPr="00CC658A" w:rsidP="00214D38">
      <w:pPr>
        <w:pStyle w:val="BodyText"/>
        <w:numPr>
          <w:numId w:val="6"/>
        </w:numPr>
        <w:bidi w:val="0"/>
        <w:rPr>
          <w:rFonts w:ascii="Times New Roman" w:hAnsi="Times New Roman"/>
          <w:sz w:val="24"/>
        </w:rPr>
      </w:pPr>
      <w:r w:rsidRPr="00CC658A">
        <w:rPr>
          <w:rFonts w:ascii="Times New Roman" w:hAnsi="Times New Roman"/>
          <w:sz w:val="24"/>
        </w:rPr>
        <w:t>používané výhradne v poľnohospodárskej výrobe a v lesnej výrobe.</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(2) Oslobodenie od dane podľa odseku 1 písm. b) až d) uplatňuje daňovník v daňovom priznaní.</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5</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Základ dane</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 Základom dane pri vozidle kategórie L, M a N, ktorého jediným zdrojom energie je elektrina, je výkon motora v kW.</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bCs/>
          <w:sz w:val="24"/>
        </w:rPr>
      </w:pPr>
      <w:r w:rsidRPr="00CC658A">
        <w:rPr>
          <w:rFonts w:ascii="Times New Roman" w:hAnsi="Times New Roman"/>
          <w:sz w:val="24"/>
        </w:rPr>
        <w:t>(2) Základom dane pri osobnom vozidle je zdvihový objem valcov motora v cm</w:t>
      </w:r>
      <w:r w:rsidRPr="00CC658A">
        <w:rPr>
          <w:rFonts w:ascii="Times New Roman" w:hAnsi="Times New Roman"/>
          <w:sz w:val="24"/>
          <w:vertAlign w:val="superscript"/>
        </w:rPr>
        <w:t xml:space="preserve">3 </w:t>
      </w:r>
      <w:r w:rsidRPr="00CC658A">
        <w:rPr>
          <w:rFonts w:ascii="Times New Roman" w:hAnsi="Times New Roman"/>
          <w:sz w:val="24"/>
        </w:rPr>
        <w:t xml:space="preserve">uvedený v doklade; </w:t>
      </w:r>
      <w:r w:rsidRPr="00CC658A">
        <w:rPr>
          <w:rFonts w:ascii="Times New Roman" w:hAnsi="Times New Roman"/>
          <w:bCs/>
          <w:sz w:val="24"/>
        </w:rPr>
        <w:t>osobným vozidlom sa na účely tohto zákona rozumie vozidlo kategórie L a M</w:t>
      </w:r>
      <w:r w:rsidRPr="00CC658A">
        <w:rPr>
          <w:rFonts w:ascii="Times New Roman" w:hAnsi="Times New Roman"/>
          <w:bCs/>
          <w:sz w:val="24"/>
          <w:vertAlign w:val="subscript"/>
        </w:rPr>
        <w:t>1</w:t>
      </w:r>
      <w:r w:rsidRPr="00CC658A">
        <w:rPr>
          <w:rFonts w:ascii="Times New Roman" w:hAnsi="Times New Roman"/>
          <w:bCs/>
          <w:sz w:val="24"/>
        </w:rPr>
        <w:t>.</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(3) Základom dane pri úžitkovom vozidle a autobuse je ich najväčšia prípustná celková hmotnosť alebo celková hmotnosť v tonách a počet náprav podľa dokladu; úžitkovým vozidlom sa na účely tohto zákona rozumie vozidlo kategórie M</w:t>
      </w:r>
      <w:r w:rsidRPr="00CC658A">
        <w:rPr>
          <w:rFonts w:ascii="Times New Roman" w:hAnsi="Times New Roman"/>
          <w:sz w:val="24"/>
          <w:vertAlign w:val="subscript"/>
        </w:rPr>
        <w:t>2</w:t>
      </w:r>
      <w:r w:rsidRPr="00CC658A">
        <w:rPr>
          <w:rFonts w:ascii="Times New Roman" w:hAnsi="Times New Roman"/>
          <w:sz w:val="24"/>
        </w:rPr>
        <w:t>, M</w:t>
      </w:r>
      <w:r w:rsidRPr="00CC658A">
        <w:rPr>
          <w:rFonts w:ascii="Times New Roman" w:hAnsi="Times New Roman"/>
          <w:sz w:val="24"/>
          <w:vertAlign w:val="subscript"/>
        </w:rPr>
        <w:t>3</w:t>
      </w:r>
      <w:r w:rsidRPr="00CC658A">
        <w:rPr>
          <w:rFonts w:ascii="Times New Roman" w:hAnsi="Times New Roman"/>
          <w:sz w:val="24"/>
        </w:rPr>
        <w:t>, N</w:t>
      </w:r>
      <w:r w:rsidRPr="00CC658A">
        <w:rPr>
          <w:rFonts w:ascii="Times New Roman" w:hAnsi="Times New Roman"/>
          <w:sz w:val="24"/>
          <w:vertAlign w:val="subscript"/>
        </w:rPr>
        <w:t>1</w:t>
      </w:r>
      <w:r w:rsidRPr="00CC658A">
        <w:rPr>
          <w:rFonts w:ascii="Times New Roman" w:hAnsi="Times New Roman"/>
          <w:sz w:val="24"/>
        </w:rPr>
        <w:t xml:space="preserve"> až N</w:t>
      </w:r>
      <w:r w:rsidRPr="00CC658A">
        <w:rPr>
          <w:rFonts w:ascii="Times New Roman" w:hAnsi="Times New Roman"/>
          <w:sz w:val="24"/>
          <w:vertAlign w:val="subscript"/>
        </w:rPr>
        <w:t>3</w:t>
      </w:r>
      <w:r w:rsidRPr="00CC658A">
        <w:rPr>
          <w:rFonts w:ascii="Times New Roman" w:hAnsi="Times New Roman"/>
          <w:sz w:val="24"/>
        </w:rPr>
        <w:t xml:space="preserve"> a O</w:t>
      </w:r>
      <w:r w:rsidRPr="00CC658A">
        <w:rPr>
          <w:rFonts w:ascii="Times New Roman" w:hAnsi="Times New Roman"/>
          <w:sz w:val="24"/>
          <w:vertAlign w:val="subscript"/>
        </w:rPr>
        <w:t>1</w:t>
      </w:r>
      <w:r w:rsidRPr="00CC658A">
        <w:rPr>
          <w:rFonts w:ascii="Times New Roman" w:hAnsi="Times New Roman"/>
          <w:sz w:val="24"/>
        </w:rPr>
        <w:t xml:space="preserve"> až O</w:t>
      </w:r>
      <w:r w:rsidRPr="00CC658A">
        <w:rPr>
          <w:rFonts w:ascii="Times New Roman" w:hAnsi="Times New Roman"/>
          <w:sz w:val="24"/>
          <w:vertAlign w:val="subscript"/>
        </w:rPr>
        <w:t>4</w:t>
      </w:r>
      <w:r w:rsidRPr="00CC658A">
        <w:rPr>
          <w:rFonts w:ascii="Times New Roman" w:hAnsi="Times New Roman"/>
          <w:sz w:val="24"/>
        </w:rPr>
        <w:t>.</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(4) Najväčšia prípustná celková hmotnosť je uvedená v doklade. Najväčšia prípustná celková hmotnosť jednotlivého vozidla tvoriaceho návesovú jazdnú súpravu je súčet najväčších prípustných hmotností pripadajúcich na jednotlivé nápravy uvedených v doklade.</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(5) Celková hmotnosť je súčet pohotovostnej hmotnosti a užitočnej hmotnosti. Celková hmotnosť jednotlivého vozidla tvoriaceho návesovú jazdnú súpravu je súčet hmotností pripadajúcich na jednotlivé nápravy uvedených v doklade.</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6</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Ročná sadzba dane</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 Ročné sadzby dane sú uvedené v prílohe č. 1.</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(2) Daňovník zaradí v daňovom priznaní ťahač a osobitne náves do najbližšej nižšej ročnej sadzby dane než do akej by patrili podľa najväčšej prípustnej celkovej hmotnosti alebo celkovej hmotnosti uvedenej v doklade ako jednu návesovú jazdnú súpravu iba raz, ak sa aj použili počas zdaňovacieho obdobia v rôznych návesových jazdných súpravách; na zmeny počas zdaňovacieho obdobia sa neprihliada.</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7</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Zníženie a zvýšenie ročnej sadzby dane</w:t>
      </w:r>
    </w:p>
    <w:p w:rsidR="00F91E33" w:rsidRPr="00CC658A" w:rsidP="00F91E33">
      <w:pPr>
        <w:pStyle w:val="BodyText"/>
        <w:bidi w:val="0"/>
        <w:jc w:val="center"/>
        <w:rPr>
          <w:rFonts w:ascii="Times New Roman" w:hAnsi="Times New Roman"/>
          <w:sz w:val="24"/>
        </w:rPr>
      </w:pPr>
    </w:p>
    <w:p w:rsidR="00F91E33" w:rsidRPr="00CC658A" w:rsidP="00F91E33">
      <w:pPr>
        <w:bidi w:val="0"/>
        <w:jc w:val="both"/>
        <w:outlineLvl w:val="4"/>
        <w:rPr>
          <w:rFonts w:ascii="Times New Roman" w:hAnsi="Times New Roman"/>
        </w:rPr>
      </w:pPr>
      <w:r w:rsidRPr="00CC658A">
        <w:rPr>
          <w:rFonts w:ascii="Times New Roman" w:hAnsi="Times New Roman"/>
        </w:rPr>
        <w:t>(1) Ročná sadzba dane podľa § 6 sa zníži o</w:t>
      </w:r>
    </w:p>
    <w:p w:rsidR="00F91E33" w:rsidRPr="00CC658A" w:rsidP="00214D38">
      <w:pPr>
        <w:numPr>
          <w:numId w:val="7"/>
        </w:numPr>
        <w:bidi w:val="0"/>
        <w:jc w:val="both"/>
        <w:outlineLvl w:val="4"/>
        <w:rPr>
          <w:rFonts w:ascii="Times New Roman" w:hAnsi="Times New Roman"/>
        </w:rPr>
      </w:pPr>
      <w:r w:rsidRPr="00CC658A">
        <w:rPr>
          <w:rFonts w:ascii="Times New Roman" w:hAnsi="Times New Roman"/>
        </w:rPr>
        <w:t xml:space="preserve">25 % počas prvých 36 kalendárnych mesiacov počnúc mesiacom prvej evidencie vozidla, </w:t>
      </w:r>
    </w:p>
    <w:p w:rsidR="00F91E33" w:rsidRPr="00CC658A" w:rsidP="00214D38">
      <w:pPr>
        <w:numPr>
          <w:numId w:val="7"/>
        </w:numPr>
        <w:bidi w:val="0"/>
        <w:jc w:val="both"/>
        <w:outlineLvl w:val="4"/>
        <w:rPr>
          <w:rFonts w:ascii="Times New Roman" w:hAnsi="Times New Roman"/>
        </w:rPr>
      </w:pPr>
      <w:r w:rsidRPr="00CC658A">
        <w:rPr>
          <w:rFonts w:ascii="Times New Roman" w:hAnsi="Times New Roman"/>
        </w:rPr>
        <w:t xml:space="preserve">20 % počas nasledujúcich 36 kalendárnych mesiacov a </w:t>
      </w:r>
    </w:p>
    <w:p w:rsidR="00F91E33" w:rsidRPr="00CC658A" w:rsidP="00214D38">
      <w:pPr>
        <w:numPr>
          <w:numId w:val="7"/>
        </w:numPr>
        <w:bidi w:val="0"/>
        <w:jc w:val="both"/>
        <w:outlineLvl w:val="4"/>
        <w:rPr>
          <w:rFonts w:ascii="Times New Roman" w:hAnsi="Times New Roman"/>
        </w:rPr>
      </w:pPr>
      <w:r w:rsidRPr="00CC658A">
        <w:rPr>
          <w:rFonts w:ascii="Times New Roman" w:hAnsi="Times New Roman"/>
        </w:rPr>
        <w:t>15 % počas nasledujúcich ďalších 36 kalendárnych mesiacov.</w:t>
      </w:r>
    </w:p>
    <w:p w:rsidR="00F91E33" w:rsidRPr="00CC658A" w:rsidP="00F91E33">
      <w:pPr>
        <w:bidi w:val="0"/>
        <w:jc w:val="both"/>
        <w:outlineLvl w:val="4"/>
        <w:rPr>
          <w:rFonts w:ascii="Times New Roman" w:hAnsi="Times New Roman"/>
        </w:rPr>
      </w:pPr>
    </w:p>
    <w:p w:rsidR="00F91E33" w:rsidRPr="00CC658A" w:rsidP="00F91E33">
      <w:pPr>
        <w:bidi w:val="0"/>
        <w:jc w:val="both"/>
        <w:outlineLvl w:val="4"/>
        <w:rPr>
          <w:rFonts w:ascii="Times New Roman" w:hAnsi="Times New Roman"/>
        </w:rPr>
      </w:pPr>
      <w:r w:rsidRPr="00CC658A">
        <w:rPr>
          <w:rFonts w:ascii="Times New Roman" w:hAnsi="Times New Roman"/>
        </w:rPr>
        <w:t>(2) Po uplynutí času zníženia sadzby dane podľa odseku 1 písm. c) sa použije ročná sadzba dane podľa § 6 počas nasledujúcich 36 kalendárnych mesiacov.</w:t>
      </w:r>
    </w:p>
    <w:p w:rsidR="00F91E33" w:rsidRPr="00CC658A" w:rsidP="00F91E33">
      <w:pPr>
        <w:bidi w:val="0"/>
        <w:jc w:val="both"/>
        <w:outlineLvl w:val="4"/>
        <w:rPr>
          <w:rFonts w:ascii="Times New Roman" w:hAnsi="Times New Roman"/>
        </w:rPr>
      </w:pPr>
    </w:p>
    <w:p w:rsidR="00F91E33" w:rsidRPr="00CC658A" w:rsidP="00F91E33">
      <w:pPr>
        <w:bidi w:val="0"/>
        <w:jc w:val="both"/>
        <w:outlineLvl w:val="4"/>
        <w:rPr>
          <w:rFonts w:ascii="Times New Roman" w:hAnsi="Times New Roman"/>
        </w:rPr>
      </w:pPr>
      <w:r w:rsidRPr="00CC658A">
        <w:rPr>
          <w:rFonts w:ascii="Times New Roman" w:hAnsi="Times New Roman"/>
        </w:rPr>
        <w:t>(3) Po uplynutí času podľa odseku 2 sa ročná sadzba dane podľa § 6 zvýši o</w:t>
      </w:r>
    </w:p>
    <w:p w:rsidR="00F91E33" w:rsidRPr="00CC658A" w:rsidP="00214D38">
      <w:pPr>
        <w:numPr>
          <w:numId w:val="8"/>
        </w:numPr>
        <w:bidi w:val="0"/>
        <w:jc w:val="both"/>
        <w:outlineLvl w:val="4"/>
        <w:rPr>
          <w:rFonts w:ascii="Times New Roman" w:hAnsi="Times New Roman"/>
        </w:rPr>
      </w:pPr>
      <w:r w:rsidRPr="00CC658A">
        <w:rPr>
          <w:rFonts w:ascii="Times New Roman" w:hAnsi="Times New Roman"/>
        </w:rPr>
        <w:t xml:space="preserve">10 % počas nasledujúcich 12 kalendárnych mesiacov a </w:t>
      </w:r>
    </w:p>
    <w:p w:rsidR="00F91E33" w:rsidRPr="00CC658A" w:rsidP="00214D38">
      <w:pPr>
        <w:numPr>
          <w:numId w:val="8"/>
        </w:numPr>
        <w:bidi w:val="0"/>
        <w:jc w:val="both"/>
        <w:outlineLvl w:val="4"/>
        <w:rPr>
          <w:rFonts w:ascii="Times New Roman" w:hAnsi="Times New Roman"/>
        </w:rPr>
      </w:pPr>
      <w:r w:rsidRPr="00CC658A">
        <w:rPr>
          <w:rFonts w:ascii="Times New Roman" w:hAnsi="Times New Roman"/>
        </w:rPr>
        <w:t>20 % pre vozidlá, ktoré majú viac ako 156 kalendárnych mesiacov vrátane mesiaca prvej evidencie vozidla.</w:t>
      </w:r>
    </w:p>
    <w:p w:rsidR="00F91E33" w:rsidRPr="00CC658A" w:rsidP="00F91E33">
      <w:pPr>
        <w:bidi w:val="0"/>
        <w:jc w:val="both"/>
        <w:outlineLvl w:val="4"/>
        <w:rPr>
          <w:rFonts w:ascii="Times New Roman" w:hAnsi="Times New Roman"/>
        </w:rPr>
      </w:pPr>
    </w:p>
    <w:p w:rsidR="00F91E33" w:rsidRPr="00CC658A" w:rsidP="00F91E33">
      <w:pPr>
        <w:bidi w:val="0"/>
        <w:jc w:val="both"/>
        <w:outlineLvl w:val="4"/>
        <w:rPr>
          <w:rFonts w:ascii="Times New Roman" w:hAnsi="Times New Roman"/>
        </w:rPr>
      </w:pPr>
      <w:r w:rsidRPr="00CC658A">
        <w:rPr>
          <w:rFonts w:ascii="Times New Roman" w:hAnsi="Times New Roman"/>
        </w:rPr>
        <w:t>(4) Ročná sadzba dane podľa odsekov 1 až 3 sa zníži o 50 % pre</w:t>
      </w:r>
    </w:p>
    <w:p w:rsidR="00F91E33" w:rsidRPr="00CC658A" w:rsidP="00214D38">
      <w:pPr>
        <w:numPr>
          <w:numId w:val="9"/>
        </w:numPr>
        <w:bidi w:val="0"/>
        <w:jc w:val="both"/>
        <w:outlineLvl w:val="4"/>
        <w:rPr>
          <w:rFonts w:ascii="Times New Roman" w:hAnsi="Times New Roman"/>
        </w:rPr>
      </w:pPr>
      <w:r w:rsidRPr="00CC658A">
        <w:rPr>
          <w:rFonts w:ascii="Times New Roman" w:hAnsi="Times New Roman"/>
        </w:rPr>
        <w:t>hybridné motorové vozidlo alebo hybridné elektrické vozidlo,</w:t>
      </w:r>
      <w:r>
        <w:rPr>
          <w:rStyle w:val="FootnoteReference"/>
          <w:rFonts w:ascii="Times New Roman" w:hAnsi="Times New Roman"/>
          <w:rtl w:val="0"/>
        </w:rPr>
        <w:footnoteReference w:id="9"/>
      </w:r>
      <w:r w:rsidRPr="00CC658A">
        <w:rPr>
          <w:rFonts w:ascii="Times New Roman" w:hAnsi="Times New Roman"/>
        </w:rPr>
        <w:t xml:space="preserve">) </w:t>
      </w:r>
    </w:p>
    <w:p w:rsidR="00F91E33" w:rsidRPr="00CC658A" w:rsidP="00F91E33">
      <w:pPr>
        <w:bidi w:val="0"/>
        <w:ind w:left="720"/>
        <w:jc w:val="both"/>
        <w:outlineLvl w:val="4"/>
        <w:rPr>
          <w:rFonts w:ascii="Times New Roman" w:hAnsi="Times New Roman"/>
        </w:rPr>
      </w:pPr>
    </w:p>
    <w:p w:rsidR="00F91E33" w:rsidRPr="00CC658A" w:rsidP="00F91E33">
      <w:pPr>
        <w:bidi w:val="0"/>
        <w:ind w:left="720"/>
        <w:jc w:val="both"/>
        <w:outlineLvl w:val="4"/>
        <w:rPr>
          <w:rFonts w:ascii="Times New Roman" w:hAnsi="Times New Roman"/>
        </w:rPr>
      </w:pPr>
    </w:p>
    <w:p w:rsidR="00F91E33" w:rsidRPr="00CC658A" w:rsidP="00214D38">
      <w:pPr>
        <w:numPr>
          <w:numId w:val="9"/>
        </w:numPr>
        <w:bidi w:val="0"/>
        <w:jc w:val="both"/>
        <w:outlineLvl w:val="4"/>
        <w:rPr>
          <w:rFonts w:ascii="Times New Roman" w:hAnsi="Times New Roman"/>
        </w:rPr>
      </w:pPr>
      <w:r w:rsidRPr="00CC658A">
        <w:rPr>
          <w:rFonts w:ascii="Times New Roman" w:hAnsi="Times New Roman"/>
        </w:rPr>
        <w:t>vozidlo kategórie L, M a N s pohonom na stlačený zemný plyn (CNG) alebo skvapalnený zemný plyn (LNG),</w:t>
      </w:r>
      <w:r>
        <w:rPr>
          <w:rStyle w:val="FootnoteReference"/>
          <w:rFonts w:ascii="Times New Roman" w:hAnsi="Times New Roman"/>
          <w:rtl w:val="0"/>
        </w:rPr>
        <w:footnoteReference w:id="10"/>
      </w:r>
      <w:r w:rsidRPr="00CC658A">
        <w:rPr>
          <w:rFonts w:ascii="Times New Roman" w:hAnsi="Times New Roman"/>
        </w:rPr>
        <w:t>)</w:t>
      </w:r>
    </w:p>
    <w:p w:rsidR="00F91E33" w:rsidRPr="00CC658A" w:rsidP="00214D38">
      <w:pPr>
        <w:numPr>
          <w:numId w:val="9"/>
        </w:numPr>
        <w:bidi w:val="0"/>
        <w:rPr>
          <w:rFonts w:ascii="Times New Roman" w:hAnsi="Times New Roman"/>
        </w:rPr>
      </w:pPr>
      <w:r w:rsidRPr="00CC658A">
        <w:rPr>
          <w:rFonts w:ascii="Times New Roman" w:hAnsi="Times New Roman"/>
        </w:rPr>
        <w:t>vozidlo kategórie L, M a N na vodíkový pohon.</w:t>
      </w:r>
      <w:r>
        <w:rPr>
          <w:rStyle w:val="FootnoteReference"/>
          <w:rFonts w:ascii="Times New Roman" w:hAnsi="Times New Roman"/>
          <w:rtl w:val="0"/>
        </w:rPr>
        <w:footnoteReference w:id="11"/>
      </w:r>
      <w:r w:rsidRPr="00CC658A">
        <w:rPr>
          <w:rFonts w:ascii="Times New Roman" w:hAnsi="Times New Roman"/>
        </w:rPr>
        <w:t xml:space="preserve">) </w:t>
      </w:r>
    </w:p>
    <w:p w:rsidR="00F91E33" w:rsidRPr="00CC658A" w:rsidP="00F91E33">
      <w:pPr>
        <w:bidi w:val="0"/>
        <w:jc w:val="both"/>
        <w:outlineLvl w:val="4"/>
        <w:rPr>
          <w:rFonts w:ascii="Times New Roman" w:hAnsi="Times New Roman"/>
        </w:rPr>
      </w:pPr>
    </w:p>
    <w:p w:rsidR="00F91E33" w:rsidRPr="00CC658A" w:rsidP="00F91E33">
      <w:pPr>
        <w:bidi w:val="0"/>
        <w:jc w:val="both"/>
        <w:outlineLvl w:val="4"/>
        <w:rPr>
          <w:rFonts w:ascii="Times New Roman" w:hAnsi="Times New Roman"/>
        </w:rPr>
      </w:pPr>
      <w:r w:rsidRPr="00CC658A">
        <w:rPr>
          <w:rFonts w:ascii="Times New Roman" w:hAnsi="Times New Roman"/>
        </w:rPr>
        <w:t>(5) Za vozidlo, ktoré sa použilo v zdaňovacom období v rámci kombinovanej dopravy</w:t>
      </w:r>
      <w:r>
        <w:rPr>
          <w:rStyle w:val="FootnoteReference"/>
          <w:rFonts w:ascii="Times New Roman" w:hAnsi="Times New Roman"/>
          <w:rtl w:val="0"/>
        </w:rPr>
        <w:footnoteReference w:customMarkFollows="1" w:id="12"/>
        <w:t xml:space="preserve">1</w:t>
      </w:r>
      <w:r w:rsidRPr="00CC658A">
        <w:rPr>
          <w:rStyle w:val="FootnoteReference"/>
          <w:rFonts w:ascii="Times New Roman" w:hAnsi="Times New Roman"/>
        </w:rPr>
        <w:t>1</w:t>
      </w:r>
      <w:r w:rsidRPr="00CC658A">
        <w:rPr>
          <w:rFonts w:ascii="Times New Roman" w:hAnsi="Times New Roman"/>
        </w:rPr>
        <w:t>) najmenej 60-krát, daňovník ročnú sadzbu dane podľa odsekov 1 až 4 zníži o 50 %.</w:t>
      </w:r>
    </w:p>
    <w:p w:rsidR="00F91E33" w:rsidRPr="00CC658A" w:rsidP="00F91E33">
      <w:pPr>
        <w:bidi w:val="0"/>
        <w:jc w:val="both"/>
        <w:outlineLvl w:val="4"/>
        <w:rPr>
          <w:rFonts w:ascii="Times New Roman" w:hAnsi="Times New Roman"/>
        </w:rPr>
      </w:pPr>
    </w:p>
    <w:p w:rsidR="00F91E33" w:rsidRPr="00CC658A" w:rsidP="00F91E33">
      <w:pPr>
        <w:bidi w:val="0"/>
        <w:jc w:val="both"/>
        <w:outlineLvl w:val="4"/>
        <w:rPr>
          <w:rFonts w:ascii="Times New Roman" w:hAnsi="Times New Roman"/>
        </w:rPr>
      </w:pPr>
      <w:r w:rsidRPr="00CC658A">
        <w:rPr>
          <w:rFonts w:ascii="Times New Roman" w:hAnsi="Times New Roman"/>
        </w:rPr>
        <w:t>(6) Zníženie a zvýšenie ročnej sadzby dane uplatňuje daňovník v daňovom priznaní.</w:t>
      </w:r>
    </w:p>
    <w:p w:rsidR="00F91E33" w:rsidRPr="00CC658A" w:rsidP="00F91E33">
      <w:pPr>
        <w:pStyle w:val="BodyText"/>
        <w:bidi w:val="0"/>
        <w:jc w:val="center"/>
        <w:rPr>
          <w:rFonts w:ascii="Times New Roman" w:hAnsi="Times New Roman"/>
          <w:sz w:val="24"/>
        </w:rPr>
      </w:pPr>
    </w:p>
    <w:p w:rsidR="00F91E33" w:rsidRPr="00CC658A" w:rsidP="00F91E33">
      <w:pPr>
        <w:pStyle w:val="BodyTextIndent"/>
        <w:bidi w:val="0"/>
        <w:spacing w:after="0"/>
        <w:ind w:left="0"/>
        <w:jc w:val="both"/>
        <w:rPr>
          <w:rFonts w:ascii="Times New Roman" w:hAnsi="Times New Roman"/>
          <w:bCs/>
        </w:rPr>
      </w:pPr>
      <w:r w:rsidRPr="00CC658A">
        <w:rPr>
          <w:rFonts w:ascii="Times New Roman" w:hAnsi="Times New Roman"/>
          <w:bCs/>
        </w:rPr>
        <w:t>(7) Použitie vozidla kategórie N a O v rámci kombinovanej dopravy daňovník preukáže potvrdením intermodálneho terminálu na prepravnom doklade.</w:t>
      </w:r>
    </w:p>
    <w:p w:rsidR="00F91E33" w:rsidRPr="00CC658A" w:rsidP="00F91E33">
      <w:pPr>
        <w:pStyle w:val="BodyTextIndent"/>
        <w:bidi w:val="0"/>
        <w:spacing w:after="0"/>
        <w:ind w:left="0"/>
        <w:jc w:val="both"/>
        <w:rPr>
          <w:rFonts w:ascii="Times New Roman" w:hAnsi="Times New Roman"/>
          <w:bCs/>
        </w:rPr>
      </w:pPr>
    </w:p>
    <w:p w:rsidR="00F91E33" w:rsidRPr="00CC658A" w:rsidP="00F91E33">
      <w:pPr>
        <w:pStyle w:val="BodyText"/>
        <w:bidi w:val="0"/>
        <w:rPr>
          <w:rFonts w:ascii="Times New Roman" w:hAnsi="Times New Roman"/>
          <w:sz w:val="24"/>
        </w:rPr>
      </w:pPr>
      <w:r w:rsidRPr="00CC658A">
        <w:rPr>
          <w:rFonts w:ascii="Times New Roman" w:hAnsi="Times New Roman"/>
          <w:bCs/>
          <w:sz w:val="24"/>
        </w:rPr>
        <w:t>(8) Ak je prekonaná vzdialenosť po železnici na území Slovenskej republiky dlhšia ako 250 km, takáto kombinovaná preprava sa na účely zníženia sadzby dane započíta dvakrát.</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8</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Vznik daňovej povinnosti, zánik daňovej povinnosti a oznamovacia povinnosť</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 Daňová povinnosť vzniká prvým dňom mesiaca, v ktorom boli splnené rozhodujúce skutočnosti podľa § 2  ods. 1, ak odseky 4 a 5 neustanovujú inak.</w:t>
      </w:r>
    </w:p>
    <w:p w:rsidR="00F91E33" w:rsidRPr="00CC658A" w:rsidP="00F91E33">
      <w:pPr>
        <w:pStyle w:val="BodyText"/>
        <w:bidi w:val="0"/>
        <w:ind w:left="36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(2) Daňová povinnosť zaniká posledným dňom mesiaca, v ktorom došlo k</w:t>
      </w: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a) vyradeniu alebo dočasnému vyradeniu vozidla z evidencie, </w:t>
      </w:r>
    </w:p>
    <w:p w:rsidR="00F91E33" w:rsidRPr="00CC658A" w:rsidP="00F91E33">
      <w:pPr>
        <w:pStyle w:val="BodyText"/>
        <w:bidi w:val="0"/>
        <w:rPr>
          <w:rFonts w:ascii="Times New Roman" w:hAnsi="Times New Roman"/>
          <w:sz w:val="24"/>
        </w:rPr>
      </w:pPr>
      <w:r w:rsidRPr="00CC658A">
        <w:rPr>
          <w:rFonts w:ascii="Times New Roman" w:hAnsi="Times New Roman"/>
          <w:sz w:val="24"/>
        </w:rPr>
        <w:t>b) ukončeniu alebo prerušeniu podnikania,</w:t>
      </w:r>
    </w:p>
    <w:p w:rsidR="00F91E33" w:rsidRPr="00CC658A" w:rsidP="00F91E33">
      <w:pPr>
        <w:pStyle w:val="BodyText"/>
        <w:bidi w:val="0"/>
        <w:rPr>
          <w:rFonts w:ascii="Times New Roman" w:hAnsi="Times New Roman"/>
          <w:sz w:val="24"/>
        </w:rPr>
      </w:pPr>
      <w:r w:rsidRPr="00CC658A">
        <w:rPr>
          <w:rFonts w:ascii="Times New Roman" w:hAnsi="Times New Roman"/>
          <w:sz w:val="24"/>
        </w:rPr>
        <w:t>c) zániku daňovníka bez likvidácie,</w:t>
      </w:r>
    </w:p>
    <w:p w:rsidR="00F91E33" w:rsidRPr="00CC658A" w:rsidP="00F91E33">
      <w:pPr>
        <w:pStyle w:val="BodyText"/>
        <w:bidi w:val="0"/>
        <w:rPr>
          <w:rFonts w:ascii="Times New Roman" w:hAnsi="Times New Roman"/>
          <w:sz w:val="24"/>
        </w:rPr>
      </w:pPr>
      <w:r w:rsidRPr="00CC658A">
        <w:rPr>
          <w:rFonts w:ascii="Times New Roman" w:hAnsi="Times New Roman"/>
          <w:sz w:val="24"/>
        </w:rPr>
        <w:t>d) zmene držiteľa vozidla,</w:t>
      </w:r>
    </w:p>
    <w:p w:rsidR="00F91E33" w:rsidRPr="00CC658A" w:rsidP="00F91E33">
      <w:pPr>
        <w:pStyle w:val="BodyText"/>
        <w:bidi w:val="0"/>
        <w:rPr>
          <w:rFonts w:ascii="Times New Roman" w:hAnsi="Times New Roman"/>
          <w:sz w:val="24"/>
        </w:rPr>
      </w:pPr>
      <w:r w:rsidRPr="00CC658A">
        <w:rPr>
          <w:rFonts w:ascii="Times New Roman" w:hAnsi="Times New Roman"/>
          <w:sz w:val="24"/>
        </w:rPr>
        <w:t>e) ukončeniu použitia vozidla daňovníkom podľa § 3 písm. c) až e).</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(3) Vznik daňovej povinnosti a zánik daňovej povinnosti uvedie daňovník v daňovom priznaní, okrem daňovníka podľa § 3 písm. e).</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(4) Daňová povinnosť právneho nástupcu daňovníka, ktorý bol zrušený bez likvidácie, vzniká prvým dňom mesiaca nasledujúceho po zániku daňovníka, ktorý bol zrušený bez likvidácie.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(5) Ak dôjde počas toho istého kalendárneho mesiaca k zmene v osobe daňovníka pri tom istom predmete dane, vzniká daňová povinnosť novému daňovníkovi prvým dňom mesiaca nasledujúceho po mesiaci, v ktorom došlo k uvedenej zmene; daňová povinnosť pôvodnému daňovníkovi zaniká posledným dňom mesiaca, v ktorom k uvedenej zmene došlo.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(6) Daňová povinnosť zaniká 31. decembra predchádzajúceho zdaňovacieho obdobia, ak v zdaňovacom období neboli splnené rozhodujúce skutočnosti podľa § 2 ods. 1 a v tomto zdaňovacom období o vozidle nebolo účtované,</w:t>
      </w:r>
      <w:r>
        <w:rPr>
          <w:rStyle w:val="FootnoteReference"/>
          <w:rFonts w:ascii="Times New Roman" w:hAnsi="Times New Roman"/>
          <w:sz w:val="24"/>
          <w:rtl w:val="0"/>
        </w:rPr>
        <w:footnoteReference w:customMarkFollows="1" w:id="13"/>
        <w:t xml:space="preserve">1</w:t>
      </w:r>
      <w:r w:rsidRPr="00CC658A">
        <w:rPr>
          <w:rStyle w:val="FootnoteReference"/>
          <w:rFonts w:ascii="Times New Roman" w:hAnsi="Times New Roman"/>
          <w:sz w:val="24"/>
        </w:rPr>
        <w:t>2</w:t>
      </w:r>
      <w:r w:rsidRPr="00CC658A">
        <w:rPr>
          <w:rFonts w:ascii="Times New Roman" w:hAnsi="Times New Roman"/>
          <w:sz w:val="24"/>
        </w:rPr>
        <w:t>) vozidlo nebolo evidované v daňovej evidencii</w:t>
      </w:r>
      <w:r>
        <w:rPr>
          <w:rStyle w:val="FootnoteReference"/>
          <w:rFonts w:ascii="Times New Roman" w:hAnsi="Times New Roman"/>
          <w:sz w:val="24"/>
          <w:rtl w:val="0"/>
        </w:rPr>
        <w:footnoteReference w:customMarkFollows="1" w:id="14"/>
        <w:t xml:space="preserve">1</w:t>
      </w:r>
      <w:r w:rsidRPr="00CC658A">
        <w:rPr>
          <w:rStyle w:val="FootnoteReference"/>
          <w:rFonts w:ascii="Times New Roman" w:hAnsi="Times New Roman"/>
          <w:sz w:val="24"/>
        </w:rPr>
        <w:t>3</w:t>
      </w:r>
      <w:r w:rsidRPr="00CC658A">
        <w:rPr>
          <w:rFonts w:ascii="Times New Roman" w:hAnsi="Times New Roman"/>
          <w:sz w:val="24"/>
        </w:rPr>
        <w:t>) alebo neboli uplatňované výdavky spojené s používaním vozidla. Daňovník je povinný oznámiť správcovi dane túto skutočnosť v lehote do 31. januára po uplynutí zdaňovacieho obdobia.</w:t>
      </w:r>
    </w:p>
    <w:p w:rsidR="00F91E33" w:rsidRPr="00CC658A" w:rsidP="00F91E33">
      <w:pPr>
        <w:pStyle w:val="BodyText"/>
        <w:bidi w:val="0"/>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9</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Zdaňovacie obdobie a daňové priznanie</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 Zdaňovacím obdobím je kalendárny rok, ak odseky 3 až 7 neustanovujú inak.</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(2) Daňové priznanie za príslušné zdaňovacie obdobie sa podáva správcovi dane do 31. januára po uplynutí tohto zdaňovacieho obdobia, ak odseky 3 až 7 neustanovujú inak. Posledným dňom lehoty na podanie daňového priznania je daň splatná.</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(3) Ak sa daňovník zrušuje bez likvidácie, daňové priznanie za zdaňovacie obdobie, ktoré končí posledným dňom mesiaca, v ktorom daňovník zanikol bez likvidácie, podáva jeho právny nástupca do jedného mesiaca po uplynutí tohto zdaňovacieho obdobia. </w:t>
      </w:r>
    </w:p>
    <w:p w:rsidR="00F91E33" w:rsidRPr="00CC658A" w:rsidP="00F91E33">
      <w:pPr>
        <w:pStyle w:val="BodyText"/>
        <w:bidi w:val="0"/>
        <w:rPr>
          <w:rFonts w:ascii="Times New Roman" w:hAnsi="Times New Roman"/>
          <w:sz w:val="24"/>
        </w:rPr>
      </w:pPr>
    </w:p>
    <w:p w:rsidR="00F91E33" w:rsidRPr="00CC658A" w:rsidP="00F91E33">
      <w:pPr>
        <w:bidi w:val="0"/>
        <w:jc w:val="both"/>
        <w:rPr>
          <w:rFonts w:ascii="Times New Roman" w:hAnsi="Times New Roman"/>
        </w:rPr>
      </w:pPr>
      <w:r w:rsidRPr="00CC658A">
        <w:rPr>
          <w:rFonts w:ascii="Times New Roman" w:hAnsi="Times New Roman"/>
        </w:rPr>
        <w:t>(4) Ak je na majetok daňovníka vyhlásený konkurz, daňové priznanie za zdaňovacie obdobie, ktoré končí posledným dňom mesiaca, v ktorom bol vyhlásený konkurz, podáva správca v konkurznom konaní</w:t>
      </w:r>
      <w:r>
        <w:rPr>
          <w:rStyle w:val="FootnoteReference"/>
          <w:rFonts w:ascii="Times New Roman" w:hAnsi="Times New Roman"/>
          <w:rtl w:val="0"/>
        </w:rPr>
        <w:footnoteReference w:customMarkFollows="1" w:id="15"/>
        <w:t xml:space="preserve">1</w:t>
      </w:r>
      <w:r w:rsidRPr="00CC658A">
        <w:rPr>
          <w:rStyle w:val="FootnoteReference"/>
          <w:rFonts w:ascii="Times New Roman" w:hAnsi="Times New Roman"/>
        </w:rPr>
        <w:t>4</w:t>
      </w:r>
      <w:r w:rsidRPr="00CC658A">
        <w:rPr>
          <w:rFonts w:ascii="Times New Roman" w:hAnsi="Times New Roman"/>
        </w:rPr>
        <w:t>) do jedného mesiaca po uplynutí tohto zdaňovacieho obdobia. Zdaňovacie obdobie daňovníka, na ktorého majetok bol vyhlásený konkurz, sa začína prvým dňom mesiaca nasledujúceho po mesiaci, v ktorom bol vyhlásený konkurz a končí posledným dňom kalendárneho roka, v ktorom bol vyhlásený konkurz.</w:t>
      </w:r>
    </w:p>
    <w:p w:rsidR="00F91E33" w:rsidRPr="00CC658A" w:rsidP="00F91E33">
      <w:pPr>
        <w:pStyle w:val="BodyText"/>
        <w:bidi w:val="0"/>
        <w:rPr>
          <w:rFonts w:ascii="Times New Roman" w:hAnsi="Times New Roman"/>
          <w:sz w:val="24"/>
        </w:rPr>
      </w:pPr>
    </w:p>
    <w:p w:rsidR="00F91E33" w:rsidRPr="00CC658A" w:rsidP="00F91E33">
      <w:pPr>
        <w:bidi w:val="0"/>
        <w:jc w:val="both"/>
        <w:rPr>
          <w:rFonts w:ascii="Times New Roman" w:hAnsi="Times New Roman"/>
        </w:rPr>
      </w:pPr>
      <w:r w:rsidRPr="00CC658A">
        <w:rPr>
          <w:rFonts w:ascii="Times New Roman" w:hAnsi="Times New Roman"/>
        </w:rPr>
        <w:t>(5) Ak sa daňovník zrušuje s likvidáciou, daňové priznanie za zdaňovacie obdobie, ktoré končí posledným dňom mesiaca jeho vstupu do likvidácie, podáva likvidátor do jedného mesiaca po uplynutí tohto zdaňovacieho obdobia. Zdaňovacie obdobie daňovníka, ktorý sa zrušuje s likvidáciou, sa začína prvým dňom mesiaca nasledujúceho po mesiaci, v ktorom sa daňovník zrušuje s likvidáciou a končí posledným dňom kalendárneho roka, v ktorom sa zrušuje s likvidáciou.</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(6) Ak daňovník ukončil podnikanie, daňové priznanie za zdaňovacie obdobie, ktoré končí posledným dňom mesiaca, v ktorom ukončil podnikanie, podáva do jedného mesiaca po uplynutí tohto zdaňovacieho obdobia.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(7) Ak daňovník zomrie, daňové priznanie za zdaňovacie obdobie, ktoré končí smrťou daňovníka, je povinný podať dedič, ak je viac dedičov ten, komu to vyplýva z dohody dedičov. Ak sa nedohodnú, dediča, ktorý podá daňové priznanie, určí správca dane. Daňové priznanie sa podáva do troch mesiacov po mesiaci, v ktorom daňovník zomrel, pričom správca dane môže túto lehotu na žiadosť dediča predĺžiť, ak žiadosť dedič podá najneskôr 15 dní pred uplynutím lehoty na podanie daňového priznania podľa tohto odseku. Ak dedičstvo pripadlo Slovenskej republike, daňové priznanie sa nepodáva.</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(8) V daňovom priznaní daňovník okrem výpočtu dane uvádza aj, ak ide o fyzickú osobu, meno, priezvisko, titul, dodatok obchodného mena, ak takýto má, adresu trvalého pobytu, daňové identifikačné číslo</w:t>
      </w:r>
      <w:r>
        <w:rPr>
          <w:rStyle w:val="FootnoteReference"/>
          <w:rFonts w:ascii="Times New Roman" w:hAnsi="Times New Roman"/>
          <w:sz w:val="24"/>
          <w:rtl w:val="0"/>
        </w:rPr>
        <w:footnoteReference w:customMarkFollows="1" w:id="16"/>
        <w:t xml:space="preserve">1</w:t>
      </w:r>
      <w:r w:rsidRPr="00CC658A">
        <w:rPr>
          <w:rStyle w:val="FootnoteReference"/>
          <w:rFonts w:ascii="Times New Roman" w:hAnsi="Times New Roman"/>
          <w:sz w:val="24"/>
        </w:rPr>
        <w:t>5</w:t>
      </w:r>
      <w:r w:rsidRPr="00CC658A">
        <w:rPr>
          <w:rFonts w:ascii="Times New Roman" w:hAnsi="Times New Roman"/>
          <w:sz w:val="24"/>
        </w:rPr>
        <w:t>) alebo rodné číslo alebo dátum narodenia, ak nemá daňové identifikačné číslo pridelené, a ak ide o právnickú osobu, obchodné meno alebo názov, daňové identifikačné číslo a sídlo. Daňovník v daňovom priznaní môže uviesť aj telefónne číslo, elektronickú adresu</w:t>
      </w:r>
      <w:r w:rsidRPr="00CC658A">
        <w:rPr>
          <w:rFonts w:ascii="Times New Roman" w:hAnsi="Times New Roman"/>
          <w:sz w:val="24"/>
        </w:rPr>
        <w:t xml:space="preserve"> </w:t>
      </w:r>
      <w:r w:rsidRPr="00CC658A">
        <w:rPr>
          <w:rFonts w:ascii="Times New Roman" w:hAnsi="Times New Roman"/>
          <w:sz w:val="24"/>
        </w:rPr>
        <w:t>a faxové číslo; správca dane je oprávnený údaje podľa tohto odseku spracovať podľa osobitného predpisu.</w:t>
      </w:r>
      <w:r>
        <w:rPr>
          <w:rStyle w:val="FootnoteReference"/>
          <w:rFonts w:ascii="Times New Roman" w:hAnsi="Times New Roman"/>
          <w:sz w:val="24"/>
          <w:rtl w:val="0"/>
        </w:rPr>
        <w:footnoteReference w:customMarkFollows="1" w:id="17"/>
        <w:t xml:space="preserve">1</w:t>
      </w:r>
      <w:r w:rsidRPr="00CC658A">
        <w:rPr>
          <w:rStyle w:val="FootnoteReference"/>
          <w:rFonts w:ascii="Times New Roman" w:hAnsi="Times New Roman"/>
          <w:sz w:val="24"/>
        </w:rPr>
        <w:t>6</w:t>
      </w:r>
      <w:r w:rsidRPr="00CC658A">
        <w:rPr>
          <w:rFonts w:ascii="Times New Roman" w:hAnsi="Times New Roman"/>
          <w:sz w:val="24"/>
        </w:rPr>
        <w:t>)</w:t>
      </w:r>
    </w:p>
    <w:p w:rsidR="00F91E33" w:rsidRPr="00CC658A" w:rsidP="00F91E33">
      <w:pPr>
        <w:pStyle w:val="BodyText"/>
        <w:bidi w:val="0"/>
        <w:jc w:val="center"/>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10</w:t>
      </w: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Preddavky na daň a platenie dane</w:t>
      </w:r>
    </w:p>
    <w:p w:rsidR="00F91E33" w:rsidRPr="00CC658A" w:rsidP="00F91E33">
      <w:pPr>
        <w:pStyle w:val="BodyText"/>
        <w:bidi w:val="0"/>
        <w:ind w:left="36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 Preddavok na daň je platba, ktorú je daňovník povinný platiť počas zdaňovacieho obdobia.</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(2) Predpokladaná daň je súčet ročnej sadzby dane upravenej podľa § 7 za každé vozidlo, ktoré je predmetom dane k 1. januáru zdaňovacieho obdobia.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(3) Daňovník, ktorého predpokladaná daň u jedného správcu dane presiahne 700 eur a nepresiahne 8 300 eur, je povinný platiť štvrťročné preddavky na daň na zdaňovacie obdobie, a to vo výške jednej štvrtiny predpokladanej dane. Štvrťročné preddavky na daň sú splatné do konca príslušného kalendárneho štvrťroka.</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(4) Daňovník, ktorého predpokladaná daň u jedného správcu dane presiahne 8 300 eur, je povinný platiť mesačné preddavky na daň na zdaňovacie obdobie, a to vo výške jednej dvanástiny predpokladanej dane. Mesačné preddavky na daň sú splatné do konca príslušného kalendárneho mesiaca.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(5) Daňovník, ktorého predpokladaná daň u jedného správcu dane nepresiahne 700 eur, a daňovník, ktorému vznikne daňová povinnosť počas zdaňovacieho obdobia, preddavky na daň na zdaňovacie obdobie neplatí.</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(6) Daňovník podľa odsekov 3 a 4 vyrovná celoročnú daň v lehote na podanie daňového priznania.</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(7) Pri vzniku a zániku daňovej povinnosti počas zdaňovacieho obdobia, je daňovník povinný zaplatiť pomernú časť dane v lehote na podanie daňového priznania. Pomerná časť dane sa vypočíta ako súčin jednej dvanástiny ročnej sadzby dane podľa § 6 alebo upravenej ročnej sadzby dane podľa § 7 ods. 1, 3 až 5 a počtu kalendárnych mesiacov, v ktorých sa používalo vozidlo na podnikanie.</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(8) Pomernú časť dane vypočítanú ako súčin jednej tristošesťdesiatpätiny a v priestupnom roku jednej tristošesťdesiatšestiny ročnej sadzby dane podľa § 6 alebo upravenej ročnej sadzby dane podľa § 7 ods. 1, 3 a 4 a počtu kalendárnych dní, v ktorých sa vozidlo používalo na prepravu uskutočnenú mimo výkonu prepravy na základe zmluvy o službách vo verejnom záujme, je daňovník povinný zaplatiť v lehote na podanie daňového priznania podľa § 9.</w:t>
      </w: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 </w:t>
      </w: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(9) Na platenie preddavkov na daň nemá vplyv zmena predmetu dane, vznik a zánik oslobodenia od dane, zníženie a zvýšenie ročnej sadzby dane počas zdaňovacieho obdobia a podanie dodatočného daňového priznania. </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(10) Ak sa zmení skutočnosť, na základe ktorej bola predpokladaná daň vypočítaná, správca dane môže určiť platenie preddavkov na daň inak ako je ustanovené v odsekoch 3 a 4. Správca dane môže určiť platenie preddavkov na daň inak aj na základe žiadosti daňovníka. Proti rozhodnutiu správcu dane o určení platenia preddavkov na daň inak na základe žiadosti daňovníka sa nemožno odvolať.</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(11) Ak nastane skutočnosť podľa § 9 ods. 3 až 7, daňovník nie je povinný platiť preddavky na daň, ktorých splatnosť nastala po dni, v ktorom došlo k tejto rozhodujúcej skutočnosti.</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(12) Preddavok na daň platí daňovník tomu správcovi dane, ktorý je miestne príslušný k 1. januáru zdaňovacieho obdobia, spôsobom podľa osobitného predpisu.</w:t>
      </w:r>
      <w:r>
        <w:rPr>
          <w:rStyle w:val="FootnoteReference"/>
          <w:rFonts w:ascii="Times New Roman" w:hAnsi="Times New Roman"/>
          <w:sz w:val="24"/>
          <w:rtl w:val="0"/>
        </w:rPr>
        <w:footnoteReference w:customMarkFollows="1" w:id="18"/>
        <w:t xml:space="preserve">1</w:t>
      </w:r>
      <w:r w:rsidRPr="00CC658A">
        <w:rPr>
          <w:rStyle w:val="FootnoteReference"/>
          <w:rFonts w:ascii="Times New Roman" w:hAnsi="Times New Roman"/>
          <w:sz w:val="24"/>
        </w:rPr>
        <w:t>7</w:t>
      </w:r>
      <w:r w:rsidRPr="00CC658A">
        <w:rPr>
          <w:rFonts w:ascii="Times New Roman" w:hAnsi="Times New Roman"/>
          <w:sz w:val="24"/>
        </w:rPr>
        <w:t>)</w:t>
      </w:r>
    </w:p>
    <w:p w:rsidR="00F91E33" w:rsidRPr="00CC658A" w:rsidP="00F91E33">
      <w:pPr>
        <w:pStyle w:val="BodyText"/>
        <w:bidi w:val="0"/>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(13) Ak daň vypočítaná v daňovom priznaní je vyššia ako zaplatené preddavky na daň, daňovník je povinný zaplatiť rozdiel v lehote na podanie daňového priznania. Ak sú zaplatené preddavky na daň vyššie ako daň vypočítaná v daňovom priznaní, vzniknutý daňový preplatok sa použije podľa osobitného predpisu.</w:t>
      </w:r>
      <w:r>
        <w:rPr>
          <w:rStyle w:val="FootnoteReference"/>
          <w:rFonts w:ascii="Times New Roman" w:hAnsi="Times New Roman"/>
          <w:sz w:val="24"/>
          <w:rtl w:val="0"/>
        </w:rPr>
        <w:footnoteReference w:customMarkFollows="1" w:id="19"/>
        <w:t xml:space="preserve">1</w:t>
      </w:r>
      <w:r w:rsidRPr="00CC658A">
        <w:rPr>
          <w:rStyle w:val="FootnoteReference"/>
          <w:rFonts w:ascii="Times New Roman" w:hAnsi="Times New Roman"/>
          <w:sz w:val="24"/>
        </w:rPr>
        <w:t>8</w:t>
      </w:r>
      <w:r w:rsidRPr="00CC658A">
        <w:rPr>
          <w:rFonts w:ascii="Times New Roman" w:hAnsi="Times New Roman"/>
          <w:sz w:val="24"/>
        </w:rPr>
        <w:t>)</w:t>
      </w:r>
    </w:p>
    <w:p w:rsidR="00F91E33" w:rsidRPr="00CC658A" w:rsidP="00F91E33">
      <w:pPr>
        <w:pStyle w:val="BodyText"/>
        <w:bidi w:val="0"/>
        <w:ind w:left="284" w:hanging="284"/>
        <w:rPr>
          <w:rFonts w:ascii="Times New Roman" w:hAnsi="Times New Roman"/>
          <w:sz w:val="24"/>
        </w:rPr>
      </w:pPr>
    </w:p>
    <w:p w:rsidR="00F91E33" w:rsidRPr="00CC658A" w:rsidP="00F91E33">
      <w:pPr>
        <w:pStyle w:val="BodyText"/>
        <w:bidi w:val="0"/>
        <w:ind w:left="426" w:hanging="426"/>
        <w:jc w:val="center"/>
        <w:rPr>
          <w:rFonts w:ascii="Times New Roman" w:hAnsi="Times New Roman"/>
          <w:sz w:val="24"/>
        </w:rPr>
      </w:pPr>
      <w:r w:rsidRPr="00CC658A">
        <w:rPr>
          <w:rFonts w:ascii="Times New Roman" w:hAnsi="Times New Roman"/>
          <w:sz w:val="24"/>
        </w:rPr>
        <w:t>§ 11</w:t>
      </w:r>
    </w:p>
    <w:p w:rsidR="00F91E33" w:rsidRPr="00CC658A" w:rsidP="00F91E33">
      <w:pPr>
        <w:pStyle w:val="BodyText"/>
        <w:bidi w:val="0"/>
        <w:ind w:left="426" w:hanging="426"/>
        <w:jc w:val="center"/>
        <w:rPr>
          <w:rFonts w:ascii="Times New Roman" w:hAnsi="Times New Roman"/>
          <w:sz w:val="24"/>
        </w:rPr>
      </w:pPr>
      <w:r w:rsidRPr="00CC658A">
        <w:rPr>
          <w:rFonts w:ascii="Times New Roman" w:hAnsi="Times New Roman"/>
          <w:sz w:val="24"/>
        </w:rPr>
        <w:t>Vzťah k medzinárodným zmluvám</w:t>
      </w:r>
    </w:p>
    <w:p w:rsidR="00F91E33" w:rsidRPr="00CC658A" w:rsidP="00F91E33">
      <w:pPr>
        <w:pStyle w:val="BodyText"/>
        <w:bidi w:val="0"/>
        <w:jc w:val="center"/>
        <w:rPr>
          <w:rFonts w:ascii="Times New Roman" w:hAnsi="Times New Roman"/>
          <w:sz w:val="24"/>
        </w:rPr>
      </w:pPr>
    </w:p>
    <w:p w:rsidR="00F91E33" w:rsidRPr="00CC658A" w:rsidP="00F91E33">
      <w:pPr>
        <w:pStyle w:val="BodyText"/>
        <w:bidi w:val="0"/>
        <w:rPr>
          <w:rFonts w:ascii="Times New Roman" w:hAnsi="Times New Roman"/>
          <w:sz w:val="24"/>
        </w:rPr>
      </w:pPr>
      <w:r w:rsidRPr="00CC658A">
        <w:rPr>
          <w:rFonts w:ascii="Times New Roman" w:hAnsi="Times New Roman"/>
          <w:sz w:val="24"/>
        </w:rPr>
        <w:t xml:space="preserve">Ustanovenia tohto zákona sa nepoužijú, ak medzinárodná zmluva, ktorá bola ratifikovaná a vyhlásená spôsobom ustanoveným zákonom, ustanovuje inak. </w:t>
      </w:r>
    </w:p>
    <w:p w:rsidR="00F91E33" w:rsidRPr="00CC658A" w:rsidP="00F91E33">
      <w:pPr>
        <w:pStyle w:val="BodyText"/>
        <w:bidi w:val="0"/>
        <w:jc w:val="left"/>
        <w:rPr>
          <w:rFonts w:ascii="Times New Roman" w:hAnsi="Times New Roman"/>
          <w:sz w:val="24"/>
        </w:rPr>
      </w:pPr>
    </w:p>
    <w:p w:rsidR="00F91E33" w:rsidRPr="00CC658A" w:rsidP="00F91E33">
      <w:pPr>
        <w:pStyle w:val="BodyText"/>
        <w:bidi w:val="0"/>
        <w:jc w:val="center"/>
        <w:rPr>
          <w:rFonts w:ascii="Times New Roman" w:hAnsi="Times New Roman"/>
          <w:sz w:val="24"/>
        </w:rPr>
      </w:pPr>
      <w:r w:rsidRPr="00CC658A">
        <w:rPr>
          <w:rFonts w:ascii="Times New Roman" w:hAnsi="Times New Roman"/>
          <w:sz w:val="24"/>
        </w:rPr>
        <w:t>§ 12</w:t>
      </w:r>
    </w:p>
    <w:p w:rsidR="00F91E33" w:rsidRPr="00CC658A" w:rsidP="00F91E33">
      <w:pPr>
        <w:pStyle w:val="BodyTextIndent"/>
        <w:bidi w:val="0"/>
        <w:spacing w:after="0"/>
        <w:ind w:left="0"/>
        <w:jc w:val="center"/>
        <w:rPr>
          <w:rFonts w:ascii="Times New Roman" w:hAnsi="Times New Roman"/>
          <w:bCs/>
        </w:rPr>
      </w:pPr>
      <w:r w:rsidRPr="00CC658A">
        <w:rPr>
          <w:rFonts w:ascii="Times New Roman" w:hAnsi="Times New Roman"/>
          <w:bCs/>
        </w:rPr>
        <w:t>Zaokrúhľovanie</w:t>
      </w:r>
    </w:p>
    <w:p w:rsidR="00F91E33" w:rsidRPr="00CC658A" w:rsidP="00F91E33">
      <w:pPr>
        <w:pStyle w:val="BodyTextIndent"/>
        <w:bidi w:val="0"/>
        <w:spacing w:after="0"/>
        <w:ind w:left="0"/>
        <w:jc w:val="center"/>
        <w:rPr>
          <w:rFonts w:ascii="Times New Roman" w:hAnsi="Times New Roman"/>
          <w:bCs/>
        </w:rPr>
      </w:pPr>
    </w:p>
    <w:p w:rsidR="00F91E33" w:rsidRPr="00CC658A" w:rsidP="00F91E33">
      <w:pPr>
        <w:pStyle w:val="BodyText"/>
        <w:bidi w:val="0"/>
        <w:rPr>
          <w:rFonts w:ascii="Times New Roman" w:hAnsi="Times New Roman"/>
          <w:bCs/>
          <w:sz w:val="24"/>
        </w:rPr>
      </w:pPr>
      <w:r w:rsidRPr="00CC658A">
        <w:rPr>
          <w:rFonts w:ascii="Times New Roman" w:hAnsi="Times New Roman"/>
          <w:bCs/>
          <w:sz w:val="24"/>
        </w:rPr>
        <w:t>Daň, pomerná časť dane, preddavky na daň a ročná sadzba dane znížená alebo zvýšená podľa § 7 sa zaokrúhľuje na eurocenty nadol.</w:t>
      </w:r>
    </w:p>
    <w:p w:rsidR="00F91E33" w:rsidRPr="00CC658A" w:rsidP="00F91E33">
      <w:pPr>
        <w:pStyle w:val="BodyText"/>
        <w:bidi w:val="0"/>
        <w:jc w:val="center"/>
        <w:rPr>
          <w:rFonts w:ascii="Times New Roman" w:hAnsi="Times New Roman"/>
          <w:sz w:val="24"/>
        </w:rPr>
      </w:pPr>
    </w:p>
    <w:p w:rsidR="00F91E33" w:rsidRPr="00CC658A" w:rsidP="00F91E33">
      <w:pPr>
        <w:bidi w:val="0"/>
        <w:jc w:val="center"/>
        <w:rPr>
          <w:rFonts w:ascii="Times New Roman" w:hAnsi="Times New Roman"/>
        </w:rPr>
      </w:pPr>
      <w:r w:rsidRPr="00CC658A">
        <w:rPr>
          <w:rFonts w:ascii="Times New Roman" w:hAnsi="Times New Roman"/>
        </w:rPr>
        <w:t>§ 13</w:t>
      </w:r>
    </w:p>
    <w:p w:rsidR="00F91E33" w:rsidRPr="00CC658A" w:rsidP="00F91E33">
      <w:pPr>
        <w:pStyle w:val="ListParagraph"/>
        <w:bidi w:val="0"/>
        <w:ind w:left="0"/>
        <w:jc w:val="center"/>
        <w:rPr>
          <w:rFonts w:ascii="Times New Roman" w:hAnsi="Times New Roman"/>
        </w:rPr>
      </w:pPr>
      <w:r w:rsidRPr="00CC658A">
        <w:rPr>
          <w:rFonts w:ascii="Times New Roman" w:hAnsi="Times New Roman"/>
        </w:rPr>
        <w:t>Správa dane</w:t>
      </w:r>
    </w:p>
    <w:p w:rsidR="00F91E33" w:rsidRPr="00CC658A" w:rsidP="00F91E33">
      <w:pPr>
        <w:bidi w:val="0"/>
        <w:jc w:val="both"/>
        <w:rPr>
          <w:rFonts w:ascii="Times New Roman" w:hAnsi="Times New Roman"/>
        </w:rPr>
      </w:pPr>
    </w:p>
    <w:p w:rsidR="00F91E33" w:rsidRPr="00CC658A" w:rsidP="00F91E33">
      <w:pPr>
        <w:pStyle w:val="ListParagraph"/>
        <w:bidi w:val="0"/>
        <w:ind w:left="0"/>
        <w:jc w:val="both"/>
        <w:rPr>
          <w:rFonts w:ascii="Times New Roman" w:hAnsi="Times New Roman"/>
        </w:rPr>
      </w:pPr>
      <w:r w:rsidRPr="00CC658A">
        <w:rPr>
          <w:rFonts w:ascii="Times New Roman" w:hAnsi="Times New Roman"/>
        </w:rPr>
        <w:t>(1) Správu dane vykonáva správca dane, ktorým je daňový úrad miestne príslušný podľa miesta evidencie vozidla k 31. decembru predchádzajúceho roka. Ak ide o daňovníka podľa § 3 písm. e), správu dane vykonáva daňový úrad miestne príslušný podľa sídla zamestnávateľa. Ak vznikne daňová povinnosť počas zdaňovacieho obdobia, správu dane vykonáva daňový úrad miestne príslušný ku dňu vzniku daňovej povinnosti. Na zmenu miestnej príslušnosti počas zdaňovacieho obdobia sa neprihliada.</w:t>
      </w:r>
    </w:p>
    <w:p w:rsidR="00F91E33" w:rsidRPr="00CC658A" w:rsidP="00F91E33">
      <w:pPr>
        <w:pStyle w:val="ListParagraph"/>
        <w:bidi w:val="0"/>
        <w:ind w:left="0"/>
        <w:jc w:val="both"/>
        <w:rPr>
          <w:rFonts w:ascii="Times New Roman" w:hAnsi="Times New Roman"/>
        </w:rPr>
      </w:pPr>
    </w:p>
    <w:p w:rsidR="00F91E33" w:rsidRPr="00CC658A" w:rsidP="00F91E33">
      <w:pPr>
        <w:pStyle w:val="ListParagraph"/>
        <w:bidi w:val="0"/>
        <w:ind w:left="0"/>
        <w:jc w:val="both"/>
        <w:rPr>
          <w:rFonts w:ascii="Times New Roman" w:hAnsi="Times New Roman"/>
        </w:rPr>
      </w:pPr>
      <w:r w:rsidRPr="00CC658A">
        <w:rPr>
          <w:rFonts w:ascii="Times New Roman" w:hAnsi="Times New Roman"/>
        </w:rPr>
        <w:t>(2) Ak nemožno určiť miestnu príslušnosť správcu dane podľa odseku 1, postupuje sa podľa osobitného predpisu.</w:t>
      </w:r>
      <w:r>
        <w:rPr>
          <w:rStyle w:val="FootnoteReference"/>
          <w:rFonts w:ascii="Times New Roman" w:hAnsi="Times New Roman"/>
          <w:rtl w:val="0"/>
        </w:rPr>
        <w:footnoteReference w:customMarkFollows="1" w:id="20"/>
        <w:t xml:space="preserve">1</w:t>
      </w:r>
      <w:r w:rsidRPr="00CC658A">
        <w:rPr>
          <w:rStyle w:val="FootnoteReference"/>
          <w:rFonts w:ascii="Times New Roman" w:hAnsi="Times New Roman"/>
        </w:rPr>
        <w:t>9</w:t>
      </w:r>
      <w:r w:rsidRPr="00CC658A">
        <w:rPr>
          <w:rFonts w:ascii="Times New Roman" w:hAnsi="Times New Roman"/>
        </w:rPr>
        <w:t>)</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(3) Pri zmene miestnej príslušnosti sa na účely vrátenia daňového preplatku na dani, vymáhania daňového nedoplatku na dani a vyrubenia úroku z omeškania na dani považuje za správcu dane ten daňový úrad, u ktorého preplatok na dani alebo nedoplatok na dani vznikol. Pri zmene miestnej príslušnosti je na uloženie pokuty príslušný ten správca dane, ktorému malo byť daňové priznanie podané.</w:t>
      </w:r>
    </w:p>
    <w:p w:rsidR="00F91E33" w:rsidRPr="00CC658A" w:rsidP="00F91E33">
      <w:pPr>
        <w:bidi w:val="0"/>
        <w:jc w:val="both"/>
        <w:rPr>
          <w:rFonts w:ascii="Times New Roman" w:hAnsi="Times New Roman"/>
        </w:rPr>
      </w:pPr>
    </w:p>
    <w:p w:rsidR="00F91E33" w:rsidRPr="00CC658A" w:rsidP="00F91E33">
      <w:pPr>
        <w:bidi w:val="0"/>
        <w:rPr>
          <w:rFonts w:ascii="Times New Roman" w:hAnsi="Times New Roman"/>
        </w:rPr>
      </w:pPr>
      <w:r w:rsidRPr="00CC658A">
        <w:rPr>
          <w:rFonts w:ascii="Times New Roman" w:hAnsi="Times New Roman"/>
        </w:rPr>
        <w:t>(4) Na správu dane sa vzťahuje osobitný predpis.</w:t>
      </w:r>
      <w:r>
        <w:rPr>
          <w:rStyle w:val="FootnoteReference"/>
          <w:rFonts w:ascii="Times New Roman" w:hAnsi="Times New Roman"/>
          <w:rtl w:val="0"/>
        </w:rPr>
        <w:footnoteReference w:customMarkFollows="1" w:id="21"/>
        <w:t xml:space="preserve">2</w:t>
      </w:r>
      <w:r w:rsidRPr="00CC658A">
        <w:rPr>
          <w:rStyle w:val="FootnoteReference"/>
          <w:rFonts w:ascii="Times New Roman" w:hAnsi="Times New Roman"/>
        </w:rPr>
        <w:t>0</w:t>
      </w:r>
      <w:r w:rsidRPr="00CC658A">
        <w:rPr>
          <w:rFonts w:ascii="Times New Roman" w:hAnsi="Times New Roman"/>
        </w:rPr>
        <w:t>)</w:t>
      </w:r>
    </w:p>
    <w:p w:rsidR="00F91E33" w:rsidRPr="00CC658A" w:rsidP="00F91E33">
      <w:pPr>
        <w:bidi w:val="0"/>
        <w:rPr>
          <w:rFonts w:ascii="Times New Roman" w:hAnsi="Times New Roman"/>
        </w:rPr>
      </w:pPr>
    </w:p>
    <w:p w:rsidR="00F91E33" w:rsidRPr="00CC658A" w:rsidP="00F91E33">
      <w:pPr>
        <w:bidi w:val="0"/>
        <w:jc w:val="center"/>
        <w:rPr>
          <w:rFonts w:ascii="Times New Roman" w:hAnsi="Times New Roman"/>
        </w:rPr>
      </w:pPr>
      <w:r w:rsidRPr="00CC658A">
        <w:rPr>
          <w:rFonts w:ascii="Times New Roman" w:hAnsi="Times New Roman"/>
        </w:rPr>
        <w:t>§ 14</w:t>
      </w:r>
    </w:p>
    <w:p w:rsidR="00F91E33" w:rsidRPr="00CC658A" w:rsidP="00F91E33">
      <w:pPr>
        <w:bidi w:val="0"/>
        <w:jc w:val="center"/>
        <w:rPr>
          <w:rFonts w:ascii="Times New Roman" w:hAnsi="Times New Roman"/>
        </w:rPr>
      </w:pPr>
    </w:p>
    <w:p w:rsidR="00F91E33" w:rsidRPr="00CC658A" w:rsidP="00F91E33">
      <w:pPr>
        <w:bidi w:val="0"/>
        <w:rPr>
          <w:rFonts w:ascii="Times New Roman" w:hAnsi="Times New Roman"/>
        </w:rPr>
      </w:pPr>
      <w:r w:rsidRPr="00CC658A">
        <w:rPr>
          <w:rFonts w:ascii="Times New Roman" w:hAnsi="Times New Roman"/>
        </w:rPr>
        <w:t>Týmto zákonom sa preberajú právne záväzné akty Európskej únie uvedené v prílohe č. 2.</w:t>
      </w:r>
    </w:p>
    <w:p w:rsidR="00F91E33" w:rsidRPr="00CC658A" w:rsidP="00F91E33">
      <w:pPr>
        <w:bidi w:val="0"/>
        <w:rPr>
          <w:rFonts w:ascii="Times New Roman" w:hAnsi="Times New Roman"/>
        </w:rPr>
      </w:pPr>
    </w:p>
    <w:p w:rsidR="00F91E33" w:rsidRPr="00CC658A" w:rsidP="00F91E33">
      <w:pPr>
        <w:bidi w:val="0"/>
        <w:jc w:val="center"/>
        <w:rPr>
          <w:rFonts w:ascii="Times New Roman" w:hAnsi="Times New Roman"/>
        </w:rPr>
      </w:pPr>
      <w:r w:rsidRPr="00CC658A">
        <w:rPr>
          <w:rFonts w:ascii="Times New Roman" w:hAnsi="Times New Roman"/>
        </w:rPr>
        <w:t>§ 15</w:t>
      </w:r>
    </w:p>
    <w:p w:rsidR="00F91E33" w:rsidRPr="00CC658A" w:rsidP="00F91E33">
      <w:pPr>
        <w:bidi w:val="0"/>
        <w:jc w:val="center"/>
        <w:rPr>
          <w:rFonts w:ascii="Times New Roman" w:hAnsi="Times New Roman"/>
        </w:rPr>
      </w:pPr>
      <w:r w:rsidRPr="00CC658A">
        <w:rPr>
          <w:rFonts w:ascii="Times New Roman" w:hAnsi="Times New Roman"/>
        </w:rPr>
        <w:t xml:space="preserve">Prechodné ustanovenia </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(1) Ak daňová povinnosť k dani a oznamovacia povinnosť vznikne podľa zákona č. 582/2004 Z. z. o miestnych daniach a miestnom poplatku za komunálne odpady a drobné stavebné odpady v znení neskorších predpisov do 31. decembra 2014, postupuje sa podľa zákona účinného do 31. decembra 2014, ak odseky 2 a 3 neustanovujú inak.</w:t>
      </w:r>
    </w:p>
    <w:p w:rsidR="00F91E33" w:rsidRPr="00CC658A" w:rsidP="00F91E33">
      <w:pPr>
        <w:bidi w:val="0"/>
        <w:jc w:val="both"/>
        <w:rPr>
          <w:rFonts w:ascii="Times New Roman" w:hAnsi="Times New Roman"/>
          <w:highlight w:val="yellow"/>
        </w:rPr>
      </w:pPr>
    </w:p>
    <w:p w:rsidR="00F91E33" w:rsidRPr="00CC658A" w:rsidP="00F91E33">
      <w:pPr>
        <w:bidi w:val="0"/>
        <w:jc w:val="both"/>
        <w:rPr>
          <w:rFonts w:ascii="Times New Roman" w:hAnsi="Times New Roman"/>
        </w:rPr>
      </w:pPr>
      <w:r w:rsidRPr="00CC658A">
        <w:rPr>
          <w:rFonts w:ascii="Times New Roman" w:hAnsi="Times New Roman"/>
        </w:rPr>
        <w:t>(2) Na správu dane za zdaňovacie obdobia, ktoré skončili najneskôr do 31. decembra 2014, je od 1. januára 2015 príslušný správca dane podľa § 13.</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 xml:space="preserve">(3) Ak daňová povinnosť k dani a oznamovacia povinnosť vznikne podľa zákona č. 582/2004 Z. z. o miestnych daniach a miestnom poplatku za komunálne odpady a drobné stavebné odpady v znení neskorších predpisov do 31. decembra 2014 a preddavok alebo daň vrátane pokuty a úroku z omeškania vzťahujúcich sa k tejto dani sú zaplatené po </w:t>
      </w:r>
      <w:r w:rsidRPr="00CC658A">
        <w:rPr>
          <w:rFonts w:ascii="Times New Roman" w:hAnsi="Times New Roman"/>
          <w:bCs/>
        </w:rPr>
        <w:t>31. decembri 2014</w:t>
      </w:r>
      <w:r w:rsidRPr="00CC658A">
        <w:rPr>
          <w:rFonts w:ascii="Times New Roman" w:hAnsi="Times New Roman"/>
        </w:rPr>
        <w:t>, sú príjmom štátneho rozpočtu.</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center"/>
        <w:rPr>
          <w:rFonts w:ascii="Times New Roman" w:hAnsi="Times New Roman"/>
          <w:b/>
        </w:rPr>
      </w:pPr>
      <w:r w:rsidRPr="00CC658A">
        <w:rPr>
          <w:rFonts w:ascii="Times New Roman" w:hAnsi="Times New Roman"/>
          <w:b/>
        </w:rPr>
        <w:t>Čl. II</w:t>
      </w:r>
    </w:p>
    <w:p w:rsidR="00F91E33" w:rsidRPr="00CC658A" w:rsidP="00F91E33">
      <w:pPr>
        <w:bidi w:val="0"/>
        <w:jc w:val="both"/>
        <w:rPr>
          <w:rFonts w:ascii="Times New Roman" w:hAnsi="Times New Roman"/>
          <w:color w:val="000000"/>
        </w:rPr>
      </w:pPr>
    </w:p>
    <w:p w:rsidR="00F91E33" w:rsidRPr="00CC658A" w:rsidP="00F91E33">
      <w:pPr>
        <w:bidi w:val="0"/>
        <w:jc w:val="both"/>
        <w:rPr>
          <w:rFonts w:ascii="Times New Roman" w:hAnsi="Times New Roman"/>
          <w:color w:val="000000"/>
        </w:rPr>
      </w:pPr>
      <w:r w:rsidRPr="00CC658A">
        <w:rPr>
          <w:rFonts w:ascii="Times New Roman" w:hAnsi="Times New Roman"/>
          <w:color w:val="000000"/>
        </w:rPr>
        <w:t>Zákon č. 564/2004 Z. z. o rozpočtovom určení výnosu dane z príjmov územnej samospráve a o zmene a doplnení niektorých zákonov v znení zákona č. 171/2005 Z. z.,</w:t>
      </w:r>
      <w:r w:rsidRPr="00CC658A">
        <w:rPr>
          <w:rFonts w:ascii="Times New Roman" w:hAnsi="Times New Roman"/>
          <w:color w:val="4B4B4B"/>
        </w:rPr>
        <w:t xml:space="preserve"> </w:t>
      </w:r>
      <w:r w:rsidRPr="00CC658A">
        <w:rPr>
          <w:rFonts w:ascii="Times New Roman" w:hAnsi="Times New Roman"/>
          <w:color w:val="000000"/>
        </w:rPr>
        <w:t>zákona č. 479/2009 Z. z., zákona č. 38/2011 Z. z., zákona č. 548/2011 Z. z.,</w:t>
      </w:r>
      <w:r w:rsidRPr="00CC658A">
        <w:rPr>
          <w:rFonts w:ascii="Times New Roman" w:hAnsi="Times New Roman"/>
          <w:color w:val="4B4B4B"/>
        </w:rPr>
        <w:t xml:space="preserve"> </w:t>
      </w:r>
      <w:r w:rsidRPr="00CC658A">
        <w:rPr>
          <w:rFonts w:ascii="Times New Roman" w:hAnsi="Times New Roman"/>
          <w:color w:val="000000"/>
        </w:rPr>
        <w:t>zákona č. 463/2013 Z. z. a</w:t>
      </w:r>
      <w:r w:rsidRPr="00CC658A">
        <w:rPr>
          <w:rFonts w:ascii="Times New Roman" w:hAnsi="Times New Roman"/>
          <w:color w:val="4B4B4B"/>
        </w:rPr>
        <w:t xml:space="preserve"> </w:t>
      </w:r>
      <w:r w:rsidRPr="00CC658A">
        <w:rPr>
          <w:rFonts w:ascii="Times New Roman" w:hAnsi="Times New Roman"/>
          <w:color w:val="000000"/>
        </w:rPr>
        <w:t>zákona č. .../2014 Z. z. sa mení a dopĺňa takto:</w:t>
      </w:r>
    </w:p>
    <w:p w:rsidR="00F91E33" w:rsidRPr="00CC658A" w:rsidP="00F91E33">
      <w:pPr>
        <w:pStyle w:val="Title"/>
        <w:bidi w:val="0"/>
        <w:jc w:val="left"/>
        <w:rPr>
          <w:rFonts w:ascii="Times New Roman" w:hAnsi="Times New Roman"/>
          <w:color w:val="303030"/>
          <w:sz w:val="24"/>
        </w:rPr>
      </w:pPr>
    </w:p>
    <w:p w:rsidR="00F91E33" w:rsidRPr="00CC658A" w:rsidP="00214D38">
      <w:pPr>
        <w:pStyle w:val="Title"/>
        <w:numPr>
          <w:numId w:val="3"/>
        </w:numPr>
        <w:tabs>
          <w:tab w:val="left" w:pos="284"/>
        </w:tabs>
        <w:bidi w:val="0"/>
        <w:ind w:left="0" w:firstLine="0"/>
        <w:jc w:val="both"/>
        <w:rPr>
          <w:rFonts w:ascii="Times New Roman" w:hAnsi="Times New Roman"/>
          <w:b w:val="0"/>
          <w:sz w:val="24"/>
        </w:rPr>
      </w:pPr>
      <w:r w:rsidRPr="00CC658A">
        <w:rPr>
          <w:rFonts w:ascii="Times New Roman" w:hAnsi="Times New Roman"/>
          <w:b w:val="0"/>
          <w:sz w:val="24"/>
        </w:rPr>
        <w:t>V § 3 sa číslo „21,9“ nahrádza číslom „29,2“</w:t>
      </w:r>
      <w:r w:rsidRPr="00CC658A">
        <w:rPr>
          <w:rFonts w:ascii="Times New Roman" w:hAnsi="Times New Roman"/>
          <w:b w:val="0"/>
          <w:bCs w:val="0"/>
          <w:color w:val="000000"/>
          <w:sz w:val="24"/>
        </w:rPr>
        <w:t>.</w:t>
      </w:r>
    </w:p>
    <w:p w:rsidR="00F91E33" w:rsidRPr="00CC658A" w:rsidP="00F91E33">
      <w:pPr>
        <w:pStyle w:val="Title"/>
        <w:bidi w:val="0"/>
        <w:ind w:left="284"/>
        <w:jc w:val="left"/>
        <w:rPr>
          <w:rFonts w:ascii="Times New Roman" w:hAnsi="Times New Roman"/>
          <w:b w:val="0"/>
          <w:sz w:val="24"/>
        </w:rPr>
      </w:pPr>
    </w:p>
    <w:p w:rsidR="00F91E33" w:rsidRPr="00CC658A" w:rsidP="00214D38">
      <w:pPr>
        <w:pStyle w:val="Title"/>
        <w:numPr>
          <w:numId w:val="3"/>
        </w:numPr>
        <w:tabs>
          <w:tab w:val="left" w:pos="284"/>
        </w:tabs>
        <w:bidi w:val="0"/>
        <w:ind w:left="0" w:firstLine="0"/>
        <w:jc w:val="left"/>
        <w:rPr>
          <w:rFonts w:ascii="Times New Roman" w:hAnsi="Times New Roman"/>
          <w:b w:val="0"/>
          <w:color w:val="000000"/>
          <w:sz w:val="24"/>
        </w:rPr>
      </w:pPr>
      <w:r w:rsidRPr="00CC658A">
        <w:rPr>
          <w:rFonts w:ascii="Times New Roman" w:hAnsi="Times New Roman"/>
          <w:b w:val="0"/>
          <w:color w:val="000000"/>
          <w:sz w:val="24"/>
        </w:rPr>
        <w:t>Za § 7d sa vkladá § 7e, ktorý znie:</w:t>
      </w:r>
    </w:p>
    <w:p w:rsidR="00F91E33" w:rsidRPr="00CC658A" w:rsidP="00F91E33">
      <w:pPr>
        <w:pStyle w:val="Title"/>
        <w:tabs>
          <w:tab w:val="left" w:pos="284"/>
        </w:tabs>
        <w:bidi w:val="0"/>
        <w:jc w:val="left"/>
        <w:rPr>
          <w:rFonts w:ascii="Times New Roman" w:hAnsi="Times New Roman"/>
          <w:b w:val="0"/>
          <w:color w:val="000000"/>
          <w:sz w:val="24"/>
        </w:rPr>
      </w:pPr>
    </w:p>
    <w:p w:rsidR="00F91E33" w:rsidRPr="00CC658A" w:rsidP="00F91E33">
      <w:pPr>
        <w:bidi w:val="0"/>
        <w:jc w:val="center"/>
        <w:rPr>
          <w:rFonts w:ascii="Times New Roman" w:hAnsi="Times New Roman"/>
        </w:rPr>
      </w:pPr>
      <w:r w:rsidRPr="00CC658A">
        <w:rPr>
          <w:rFonts w:ascii="Times New Roman" w:hAnsi="Times New Roman"/>
        </w:rPr>
        <w:t>„§ 7e</w:t>
      </w:r>
    </w:p>
    <w:p w:rsidR="00F91E33" w:rsidRPr="00CC658A" w:rsidP="00F91E33">
      <w:pPr>
        <w:pStyle w:val="Title"/>
        <w:bidi w:val="0"/>
        <w:rPr>
          <w:rFonts w:ascii="Times New Roman" w:hAnsi="Times New Roman"/>
          <w:sz w:val="24"/>
        </w:rPr>
      </w:pPr>
    </w:p>
    <w:p w:rsidR="00F91E33" w:rsidRPr="00CC658A" w:rsidP="00F91E33">
      <w:pPr>
        <w:bidi w:val="0"/>
        <w:jc w:val="both"/>
        <w:rPr>
          <w:rFonts w:ascii="Times New Roman" w:hAnsi="Times New Roman"/>
          <w:b/>
        </w:rPr>
      </w:pPr>
      <w:r w:rsidRPr="00CC658A">
        <w:rPr>
          <w:rFonts w:ascii="Times New Roman" w:hAnsi="Times New Roman"/>
          <w:color w:val="000000"/>
        </w:rPr>
        <w:t xml:space="preserve">Daňové úrady rozdelia a poukážu výnos dane vyšším územným celkom podľa § 3 v znení účinnom od 1. januára 2015 prvýkrát v januári 2015.“. </w:t>
      </w:r>
    </w:p>
    <w:p w:rsidR="00F91E33" w:rsidRPr="00CC658A" w:rsidP="00F91E33">
      <w:pPr>
        <w:bidi w:val="0"/>
        <w:jc w:val="both"/>
        <w:rPr>
          <w:rFonts w:ascii="Times New Roman" w:hAnsi="Times New Roman"/>
          <w:b/>
        </w:rPr>
      </w:pPr>
    </w:p>
    <w:p w:rsidR="00F91E33" w:rsidRPr="00CC658A" w:rsidP="00F91E33">
      <w:pPr>
        <w:bidi w:val="0"/>
        <w:jc w:val="both"/>
        <w:rPr>
          <w:rFonts w:ascii="Times New Roman" w:hAnsi="Times New Roman"/>
          <w:b/>
        </w:rPr>
      </w:pPr>
    </w:p>
    <w:p w:rsidR="00F91E33" w:rsidRPr="00CC658A" w:rsidP="00F91E33">
      <w:pPr>
        <w:bidi w:val="0"/>
        <w:jc w:val="center"/>
        <w:rPr>
          <w:rFonts w:ascii="Times New Roman" w:hAnsi="Times New Roman"/>
          <w:b/>
        </w:rPr>
      </w:pPr>
      <w:r w:rsidRPr="00CC658A">
        <w:rPr>
          <w:rFonts w:ascii="Times New Roman" w:hAnsi="Times New Roman"/>
          <w:b/>
        </w:rPr>
        <w:t>Čl. III</w:t>
      </w:r>
    </w:p>
    <w:p w:rsidR="00F91E33" w:rsidRPr="00CC658A" w:rsidP="00F91E33">
      <w:pPr>
        <w:bidi w:val="0"/>
        <w:jc w:val="both"/>
        <w:rPr>
          <w:rFonts w:ascii="Times New Roman" w:hAnsi="Times New Roman"/>
          <w:b/>
        </w:rPr>
      </w:pPr>
    </w:p>
    <w:p w:rsidR="00F91E33" w:rsidRPr="00CC658A" w:rsidP="00F91E33">
      <w:pPr>
        <w:bidi w:val="0"/>
        <w:jc w:val="both"/>
        <w:rPr>
          <w:rFonts w:ascii="Times New Roman" w:hAnsi="Times New Roman"/>
        </w:rPr>
      </w:pPr>
      <w:r w:rsidRPr="00CC658A">
        <w:rPr>
          <w:rFonts w:ascii="Times New Roman" w:hAnsi="Times New Roman"/>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a zákona č. .../2014 Z. z. sa mení a dopĺňa takto:</w:t>
      </w:r>
    </w:p>
    <w:p w:rsidR="00F91E33" w:rsidRPr="00CC658A" w:rsidP="00F91E33">
      <w:pPr>
        <w:bidi w:val="0"/>
        <w:jc w:val="both"/>
        <w:rPr>
          <w:rFonts w:ascii="Times New Roman" w:hAnsi="Times New Roman"/>
        </w:rPr>
      </w:pPr>
    </w:p>
    <w:p w:rsidR="00F91E33" w:rsidRPr="00CC658A" w:rsidP="00214D38">
      <w:pPr>
        <w:pStyle w:val="ListParagraph"/>
        <w:numPr>
          <w:numId w:val="1"/>
        </w:numPr>
        <w:bidi w:val="0"/>
        <w:ind w:left="284" w:hanging="284"/>
        <w:jc w:val="both"/>
        <w:rPr>
          <w:rFonts w:ascii="Times New Roman" w:hAnsi="Times New Roman"/>
        </w:rPr>
      </w:pPr>
      <w:r w:rsidRPr="00CC658A">
        <w:rPr>
          <w:rFonts w:ascii="Times New Roman" w:hAnsi="Times New Roman"/>
        </w:rPr>
        <w:t>V § 2 sa vypúšťa odsek 3.</w:t>
      </w:r>
    </w:p>
    <w:p w:rsidR="00F91E33" w:rsidRPr="00CC658A" w:rsidP="00F91E33">
      <w:pPr>
        <w:bidi w:val="0"/>
        <w:jc w:val="both"/>
        <w:rPr>
          <w:rFonts w:ascii="Times New Roman" w:hAnsi="Times New Roman"/>
        </w:rPr>
      </w:pPr>
    </w:p>
    <w:p w:rsidR="00F91E33" w:rsidRPr="00CC658A" w:rsidP="00214D38">
      <w:pPr>
        <w:pStyle w:val="ListParagraph"/>
        <w:numPr>
          <w:numId w:val="1"/>
        </w:numPr>
        <w:bidi w:val="0"/>
        <w:ind w:left="284" w:hanging="284"/>
        <w:jc w:val="both"/>
        <w:rPr>
          <w:rFonts w:ascii="Times New Roman" w:hAnsi="Times New Roman"/>
        </w:rPr>
      </w:pPr>
      <w:r w:rsidRPr="00CC658A">
        <w:rPr>
          <w:rFonts w:ascii="Times New Roman" w:hAnsi="Times New Roman"/>
        </w:rPr>
        <w:t>§ 3 vrátane nadpisu znie:</w:t>
      </w:r>
    </w:p>
    <w:p w:rsidR="00F91E33" w:rsidRPr="00CC658A" w:rsidP="00F91E33">
      <w:pPr>
        <w:pStyle w:val="ListParagraph"/>
        <w:bidi w:val="0"/>
        <w:rPr>
          <w:rFonts w:ascii="Times New Roman" w:hAnsi="Times New Roman"/>
        </w:rPr>
      </w:pPr>
    </w:p>
    <w:p w:rsidR="00F91E33" w:rsidRPr="00CC658A" w:rsidP="00F91E33">
      <w:pPr>
        <w:bidi w:val="0"/>
        <w:ind w:left="360"/>
        <w:jc w:val="center"/>
        <w:rPr>
          <w:rFonts w:ascii="Times New Roman" w:hAnsi="Times New Roman"/>
        </w:rPr>
      </w:pPr>
      <w:r w:rsidRPr="00CC658A">
        <w:rPr>
          <w:rFonts w:ascii="Times New Roman" w:hAnsi="Times New Roman"/>
        </w:rPr>
        <w:t>„§ 3</w:t>
      </w:r>
    </w:p>
    <w:p w:rsidR="00F91E33" w:rsidRPr="00CC658A" w:rsidP="00F91E33">
      <w:pPr>
        <w:bidi w:val="0"/>
        <w:ind w:left="360"/>
        <w:jc w:val="center"/>
        <w:rPr>
          <w:rFonts w:ascii="Times New Roman" w:hAnsi="Times New Roman"/>
        </w:rPr>
      </w:pPr>
      <w:r w:rsidRPr="00CC658A">
        <w:rPr>
          <w:rFonts w:ascii="Times New Roman" w:hAnsi="Times New Roman"/>
        </w:rPr>
        <w:t>Zdaňovacie obdobie</w:t>
      </w:r>
    </w:p>
    <w:p w:rsidR="00F91E33" w:rsidRPr="00CC658A" w:rsidP="00F91E33">
      <w:pPr>
        <w:bidi w:val="0"/>
        <w:ind w:left="360"/>
        <w:jc w:val="center"/>
        <w:rPr>
          <w:rFonts w:ascii="Times New Roman" w:hAnsi="Times New Roman"/>
        </w:rPr>
      </w:pPr>
    </w:p>
    <w:p w:rsidR="00F91E33" w:rsidRPr="00CC658A" w:rsidP="00F91E33">
      <w:pPr>
        <w:bidi w:val="0"/>
        <w:ind w:left="284"/>
        <w:jc w:val="both"/>
        <w:rPr>
          <w:rFonts w:ascii="Times New Roman" w:hAnsi="Times New Roman"/>
        </w:rPr>
      </w:pPr>
      <w:r w:rsidRPr="00CC658A">
        <w:rPr>
          <w:rFonts w:ascii="Times New Roman" w:hAnsi="Times New Roman"/>
        </w:rPr>
        <w:t xml:space="preserve">Zdaňovacím obdobím miestnych daní uvedených v § 2 ods. 1 písm. a), b), e), f) a h) a poplatku uvedeného v § 2 ods. 2 je kalendárny rok.“. </w:t>
      </w:r>
    </w:p>
    <w:p w:rsidR="00F91E33" w:rsidRPr="00CC658A" w:rsidP="00F91E33">
      <w:pPr>
        <w:pStyle w:val="ListParagraph"/>
        <w:bidi w:val="0"/>
        <w:ind w:left="0"/>
        <w:rPr>
          <w:rFonts w:ascii="Times New Roman" w:hAnsi="Times New Roman"/>
        </w:rPr>
      </w:pPr>
    </w:p>
    <w:p w:rsidR="00F91E33" w:rsidRPr="00CC658A" w:rsidP="00214D38">
      <w:pPr>
        <w:pStyle w:val="ListParagraph"/>
        <w:numPr>
          <w:numId w:val="1"/>
        </w:numPr>
        <w:bidi w:val="0"/>
        <w:ind w:left="284" w:hanging="284"/>
        <w:rPr>
          <w:rFonts w:ascii="Times New Roman" w:hAnsi="Times New Roman"/>
        </w:rPr>
      </w:pPr>
      <w:r w:rsidRPr="00CC658A">
        <w:rPr>
          <w:rFonts w:ascii="Times New Roman" w:hAnsi="Times New Roman"/>
        </w:rPr>
        <w:t>Jedenásta časť sa vypúšťa.</w:t>
      </w:r>
    </w:p>
    <w:p w:rsidR="00F91E33" w:rsidRPr="00CC658A" w:rsidP="00F91E33">
      <w:pPr>
        <w:bidi w:val="0"/>
        <w:ind w:left="284"/>
        <w:jc w:val="both"/>
        <w:rPr>
          <w:rFonts w:ascii="Times New Roman" w:hAnsi="Times New Roman"/>
        </w:rPr>
      </w:pPr>
    </w:p>
    <w:p w:rsidR="00F91E33" w:rsidRPr="00CC658A" w:rsidP="00F91E33">
      <w:pPr>
        <w:bidi w:val="0"/>
        <w:ind w:left="284"/>
        <w:jc w:val="both"/>
        <w:rPr>
          <w:rFonts w:ascii="Times New Roman" w:hAnsi="Times New Roman"/>
        </w:rPr>
      </w:pPr>
      <w:r w:rsidRPr="00CC658A">
        <w:rPr>
          <w:rFonts w:ascii="Times New Roman" w:hAnsi="Times New Roman"/>
        </w:rPr>
        <w:t>Poznámky pod čiarou k odkazom 38, 38a, 39, 40, 41, 42a, 43, 44, 45, 45a, 45aa, 45ab, 45ac, 45b a 46 sa vypúšťajú.</w:t>
      </w:r>
    </w:p>
    <w:p w:rsidR="00F91E33" w:rsidRPr="00CC658A" w:rsidP="00F91E33">
      <w:pPr>
        <w:bidi w:val="0"/>
        <w:rPr>
          <w:rFonts w:ascii="Times New Roman" w:hAnsi="Times New Roman"/>
        </w:rPr>
      </w:pPr>
    </w:p>
    <w:p w:rsidR="00F91E33" w:rsidRPr="00CC658A" w:rsidP="00214D38">
      <w:pPr>
        <w:pStyle w:val="ListParagraph"/>
        <w:numPr>
          <w:numId w:val="1"/>
        </w:numPr>
        <w:bidi w:val="0"/>
        <w:ind w:left="284" w:hanging="284"/>
        <w:rPr>
          <w:rFonts w:ascii="Times New Roman" w:hAnsi="Times New Roman"/>
        </w:rPr>
      </w:pPr>
      <w:r w:rsidRPr="00CC658A">
        <w:rPr>
          <w:rFonts w:ascii="Times New Roman" w:hAnsi="Times New Roman"/>
        </w:rPr>
        <w:t>V § 98 sa vypúšťajú slová „a ods. 3“.</w:t>
      </w:r>
    </w:p>
    <w:p w:rsidR="00F91E33" w:rsidRPr="00CC658A" w:rsidP="00F91E33">
      <w:pPr>
        <w:pStyle w:val="ListParagraph"/>
        <w:bidi w:val="0"/>
        <w:ind w:left="284" w:hanging="284"/>
        <w:rPr>
          <w:rFonts w:ascii="Times New Roman" w:hAnsi="Times New Roman"/>
        </w:rPr>
      </w:pPr>
    </w:p>
    <w:p w:rsidR="00F91E33" w:rsidRPr="00CC658A" w:rsidP="00214D38">
      <w:pPr>
        <w:pStyle w:val="ListParagraph"/>
        <w:numPr>
          <w:numId w:val="1"/>
        </w:numPr>
        <w:bidi w:val="0"/>
        <w:ind w:left="284" w:hanging="284"/>
        <w:rPr>
          <w:rFonts w:ascii="Times New Roman" w:hAnsi="Times New Roman"/>
        </w:rPr>
      </w:pPr>
      <w:r w:rsidRPr="00CC658A">
        <w:rPr>
          <w:rFonts w:ascii="Times New Roman" w:hAnsi="Times New Roman"/>
        </w:rPr>
        <w:t>V § 99 sa vypúšťajú odseky 5 až 7.</w:t>
      </w:r>
    </w:p>
    <w:p w:rsidR="00F91E33" w:rsidRPr="00CC658A" w:rsidP="00F91E33">
      <w:pPr>
        <w:pStyle w:val="ListParagraph"/>
        <w:bidi w:val="0"/>
        <w:ind w:left="284"/>
        <w:rPr>
          <w:rFonts w:ascii="Times New Roman" w:hAnsi="Times New Roman"/>
        </w:rPr>
      </w:pPr>
    </w:p>
    <w:p w:rsidR="00F91E33" w:rsidRPr="00CC658A" w:rsidP="00F91E33">
      <w:pPr>
        <w:bidi w:val="0"/>
        <w:ind w:left="284"/>
        <w:rPr>
          <w:rFonts w:ascii="Times New Roman" w:hAnsi="Times New Roman"/>
        </w:rPr>
      </w:pPr>
      <w:r w:rsidRPr="00CC658A">
        <w:rPr>
          <w:rFonts w:ascii="Times New Roman" w:hAnsi="Times New Roman"/>
        </w:rPr>
        <w:t>Poznámka pod čiarou k odkazu 46b sa vypúšťa.</w:t>
      </w:r>
    </w:p>
    <w:p w:rsidR="00F91E33" w:rsidRPr="00CC658A" w:rsidP="00F91E33">
      <w:pPr>
        <w:pStyle w:val="ListParagraph"/>
        <w:bidi w:val="0"/>
        <w:rPr>
          <w:rFonts w:ascii="Times New Roman" w:hAnsi="Times New Roman"/>
        </w:rPr>
      </w:pPr>
    </w:p>
    <w:p w:rsidR="00F91E33" w:rsidRPr="00CC658A" w:rsidP="00214D38">
      <w:pPr>
        <w:pStyle w:val="ListParagraph"/>
        <w:numPr>
          <w:numId w:val="1"/>
        </w:numPr>
        <w:bidi w:val="0"/>
        <w:ind w:left="284" w:hanging="284"/>
        <w:rPr>
          <w:rFonts w:ascii="Times New Roman" w:hAnsi="Times New Roman"/>
        </w:rPr>
      </w:pPr>
      <w:r w:rsidRPr="00CC658A">
        <w:rPr>
          <w:rFonts w:ascii="Times New Roman" w:hAnsi="Times New Roman"/>
        </w:rPr>
        <w:t xml:space="preserve">V § 100 sa vypúšťa odsek 2. Súčasne sa zrušuje označenie odseku 1. </w:t>
      </w:r>
    </w:p>
    <w:p w:rsidR="00F91E33" w:rsidRPr="00CC658A" w:rsidP="00F91E33">
      <w:pPr>
        <w:pStyle w:val="ListParagraph"/>
        <w:bidi w:val="0"/>
        <w:ind w:left="284" w:hanging="284"/>
        <w:rPr>
          <w:rFonts w:ascii="Times New Roman" w:hAnsi="Times New Roman"/>
        </w:rPr>
      </w:pPr>
    </w:p>
    <w:p w:rsidR="00F91E33" w:rsidRPr="00CC658A" w:rsidP="00214D38">
      <w:pPr>
        <w:pStyle w:val="ListParagraph"/>
        <w:numPr>
          <w:numId w:val="1"/>
        </w:numPr>
        <w:bidi w:val="0"/>
        <w:ind w:left="284" w:hanging="284"/>
        <w:jc w:val="both"/>
        <w:rPr>
          <w:rFonts w:ascii="Times New Roman" w:hAnsi="Times New Roman"/>
        </w:rPr>
      </w:pPr>
      <w:r w:rsidRPr="00CC658A">
        <w:rPr>
          <w:rFonts w:ascii="Times New Roman" w:hAnsi="Times New Roman"/>
        </w:rPr>
        <w:t>V § 101 ods. 2 sa za slovom „Daň“ vypúšťa čiarka a slová „preddavky na daň z motorových vozidiel“.</w:t>
      </w:r>
    </w:p>
    <w:p w:rsidR="00F91E33" w:rsidRPr="00CC658A" w:rsidP="00F91E33">
      <w:pPr>
        <w:pStyle w:val="ListParagraph"/>
        <w:bidi w:val="0"/>
        <w:ind w:left="284" w:hanging="284"/>
        <w:rPr>
          <w:rFonts w:ascii="Times New Roman" w:hAnsi="Times New Roman"/>
        </w:rPr>
      </w:pPr>
    </w:p>
    <w:p w:rsidR="00F91E33" w:rsidRPr="00CC658A" w:rsidP="00214D38">
      <w:pPr>
        <w:pStyle w:val="ListParagraph"/>
        <w:numPr>
          <w:numId w:val="1"/>
        </w:numPr>
        <w:bidi w:val="0"/>
        <w:ind w:left="426" w:hanging="426"/>
        <w:rPr>
          <w:rFonts w:ascii="Times New Roman" w:hAnsi="Times New Roman"/>
        </w:rPr>
      </w:pPr>
      <w:r w:rsidRPr="00CC658A">
        <w:rPr>
          <w:rFonts w:ascii="Times New Roman" w:hAnsi="Times New Roman"/>
        </w:rPr>
        <w:t>V § 102 sa vypúšťajú slová „90, 91, 93,“.</w:t>
      </w:r>
    </w:p>
    <w:p w:rsidR="00F91E33" w:rsidRPr="00CC658A" w:rsidP="00F91E33">
      <w:pPr>
        <w:pStyle w:val="ListParagraph"/>
        <w:bidi w:val="0"/>
        <w:ind w:left="426" w:hanging="426"/>
        <w:rPr>
          <w:rFonts w:ascii="Times New Roman" w:hAnsi="Times New Roman"/>
        </w:rPr>
      </w:pPr>
    </w:p>
    <w:p w:rsidR="00F91E33" w:rsidRPr="00CC658A" w:rsidP="00214D38">
      <w:pPr>
        <w:numPr>
          <w:numId w:val="1"/>
        </w:numPr>
        <w:tabs>
          <w:tab w:val="left" w:pos="426"/>
        </w:tabs>
        <w:bidi w:val="0"/>
        <w:ind w:left="0" w:firstLine="0"/>
        <w:rPr>
          <w:rFonts w:ascii="Times New Roman" w:hAnsi="Times New Roman"/>
          <w:bCs/>
        </w:rPr>
      </w:pPr>
      <w:r w:rsidRPr="00CC658A">
        <w:rPr>
          <w:rFonts w:ascii="Times New Roman" w:hAnsi="Times New Roman"/>
          <w:bCs/>
        </w:rPr>
        <w:t>Za § 104h sa vkladá § 104i, ktorý vrátane nadpisu znie:</w:t>
      </w:r>
    </w:p>
    <w:p w:rsidR="00F91E33" w:rsidRPr="00CC658A" w:rsidP="00F91E33">
      <w:pPr>
        <w:bidi w:val="0"/>
        <w:rPr>
          <w:rFonts w:ascii="Times New Roman" w:hAnsi="Times New Roman"/>
          <w:bCs/>
        </w:rPr>
      </w:pPr>
    </w:p>
    <w:p w:rsidR="00F91E33" w:rsidRPr="00CC658A" w:rsidP="00F91E33">
      <w:pPr>
        <w:pStyle w:val="ListParagraph"/>
        <w:bidi w:val="0"/>
        <w:ind w:left="0"/>
        <w:jc w:val="center"/>
        <w:rPr>
          <w:rFonts w:ascii="Times New Roman" w:hAnsi="Times New Roman"/>
          <w:bCs/>
        </w:rPr>
      </w:pPr>
      <w:r w:rsidRPr="00CC658A">
        <w:rPr>
          <w:rFonts w:ascii="Times New Roman" w:hAnsi="Times New Roman"/>
          <w:bCs/>
        </w:rPr>
        <w:t>„§ 104i</w:t>
      </w:r>
    </w:p>
    <w:p w:rsidR="00F91E33" w:rsidRPr="00CC658A" w:rsidP="00F91E33">
      <w:pPr>
        <w:bidi w:val="0"/>
        <w:jc w:val="center"/>
        <w:rPr>
          <w:rFonts w:ascii="Times New Roman" w:hAnsi="Times New Roman"/>
        </w:rPr>
      </w:pPr>
      <w:r w:rsidRPr="00CC658A">
        <w:rPr>
          <w:rFonts w:ascii="Times New Roman" w:hAnsi="Times New Roman"/>
        </w:rPr>
        <w:t>Prechodné ustanovenia k úpravám účinným od 1. januára 2015</w:t>
      </w:r>
    </w:p>
    <w:p w:rsidR="00F91E33" w:rsidRPr="00CC658A" w:rsidP="00F91E33">
      <w:pPr>
        <w:bidi w:val="0"/>
        <w:jc w:val="center"/>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(1) Správca dane poslednýkrát poukáže výnos dane z motorových vozidiel podľa doterajšieho predpisu vyššiemu územnému celku za mesiac december 2014 do 15. januára 2015.</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(2) Daň z motorových vozidiel podľa doterajšieho predpisu vrátane pokuty a úroku z omeškania vzťahujúcich sa k tejto dani a preddavok na túto daň z motorových vozidiel zaplatené po 31. decembri 2014 sú príjmom štátneho rozpočtu.</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bCs/>
        </w:rPr>
      </w:pPr>
      <w:r w:rsidRPr="00CC658A">
        <w:rPr>
          <w:rFonts w:ascii="Times New Roman" w:hAnsi="Times New Roman"/>
          <w:bCs/>
        </w:rPr>
        <w:t>(3) Výnos z cestnej dane vyberanej daňovými úradmi vrátane výnosu z pokuty a sankčného úroku vzťahujúcich sa k tejto dani je po 31. decembri 2014 príjmom štátneho rozpočtu, pričom ustanovenie § 103 ods. 4 sa od 1. januára 2015 neuplatňuje.“.</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b/>
        </w:rPr>
        <w:t>10.</w:t>
      </w:r>
      <w:r w:rsidRPr="00CC658A">
        <w:rPr>
          <w:rFonts w:ascii="Times New Roman" w:hAnsi="Times New Roman"/>
        </w:rPr>
        <w:t xml:space="preserve"> § 105 sa vypúšťa.</w:t>
      </w:r>
    </w:p>
    <w:p w:rsidR="00F91E33" w:rsidRPr="00CC658A" w:rsidP="00F91E33">
      <w:pPr>
        <w:bidi w:val="0"/>
        <w:jc w:val="both"/>
        <w:rPr>
          <w:rFonts w:ascii="Times New Roman" w:hAnsi="Times New Roman"/>
        </w:rPr>
      </w:pPr>
    </w:p>
    <w:p w:rsidR="00F91E33" w:rsidRPr="00CC658A" w:rsidP="00F91E33">
      <w:pPr>
        <w:pStyle w:val="ListParagraph"/>
        <w:bidi w:val="0"/>
        <w:ind w:left="284" w:hanging="284"/>
        <w:rPr>
          <w:rFonts w:ascii="Times New Roman" w:hAnsi="Times New Roman"/>
        </w:rPr>
      </w:pPr>
      <w:r w:rsidRPr="00CC658A">
        <w:rPr>
          <w:rFonts w:ascii="Times New Roman" w:hAnsi="Times New Roman"/>
          <w:b/>
        </w:rPr>
        <w:t>11.</w:t>
      </w:r>
      <w:r w:rsidRPr="00CC658A">
        <w:rPr>
          <w:rFonts w:ascii="Times New Roman" w:hAnsi="Times New Roman"/>
        </w:rPr>
        <w:t xml:space="preserve"> Prílohy č. 3 a 4 sa vypúšťajú.</w:t>
      </w:r>
    </w:p>
    <w:p w:rsidR="00F91E33" w:rsidRPr="00CC658A" w:rsidP="00F91E33">
      <w:pPr>
        <w:bidi w:val="0"/>
        <w:jc w:val="center"/>
        <w:rPr>
          <w:rFonts w:ascii="Times New Roman" w:hAnsi="Times New Roman"/>
        </w:rPr>
      </w:pPr>
    </w:p>
    <w:p w:rsidR="00F91E33" w:rsidRPr="00CC658A" w:rsidP="00F91E33">
      <w:pPr>
        <w:bidi w:val="0"/>
        <w:jc w:val="center"/>
        <w:rPr>
          <w:rFonts w:ascii="Times New Roman" w:hAnsi="Times New Roman"/>
        </w:rPr>
      </w:pPr>
    </w:p>
    <w:p w:rsidR="00F91E33" w:rsidRPr="00CC658A" w:rsidP="00F91E33">
      <w:pPr>
        <w:bidi w:val="0"/>
        <w:jc w:val="center"/>
        <w:rPr>
          <w:rFonts w:ascii="Times New Roman" w:hAnsi="Times New Roman"/>
          <w:b/>
        </w:rPr>
      </w:pPr>
      <w:r w:rsidRPr="00CC658A">
        <w:rPr>
          <w:rFonts w:ascii="Times New Roman" w:hAnsi="Times New Roman"/>
          <w:b/>
        </w:rPr>
        <w:t>Čl. IV</w:t>
      </w:r>
    </w:p>
    <w:p w:rsidR="00F91E33" w:rsidRPr="00CC658A" w:rsidP="00F91E33">
      <w:pPr>
        <w:bidi w:val="0"/>
        <w:jc w:val="center"/>
        <w:rPr>
          <w:rFonts w:ascii="Times New Roman" w:hAnsi="Times New Roman"/>
          <w:b/>
        </w:rPr>
      </w:pPr>
    </w:p>
    <w:p w:rsidR="00F91E33" w:rsidRPr="00CC658A" w:rsidP="00F91E33">
      <w:pPr>
        <w:bidi w:val="0"/>
        <w:jc w:val="both"/>
        <w:rPr>
          <w:rFonts w:ascii="Times New Roman" w:hAnsi="Times New Roman"/>
        </w:rPr>
      </w:pPr>
      <w:r w:rsidRPr="00CC658A">
        <w:rPr>
          <w:rFonts w:ascii="Times New Roman" w:hAnsi="Times New Roman"/>
        </w:rPr>
        <w:t xml:space="preserve">Zákon č. 583/2004 Z. z. o rozpočtových pravidlách územnej samosprávy a o zmene a doplnení niektorých zákonov v znení zákona č. 611/2005 Z. z., zákona č. 324/2007 Z. z., zákona č. 54/2009 Z. z. a zákona č. 426/2013 Z. z. sa mení takto: </w:t>
      </w:r>
    </w:p>
    <w:p w:rsidR="00F91E33" w:rsidRPr="00CC658A" w:rsidP="00F91E33">
      <w:pPr>
        <w:bidi w:val="0"/>
        <w:jc w:val="both"/>
        <w:rPr>
          <w:rFonts w:ascii="Times New Roman" w:hAnsi="Times New Roman"/>
        </w:rPr>
      </w:pPr>
    </w:p>
    <w:p w:rsidR="00F91E33" w:rsidRPr="00CC658A" w:rsidP="00214D38">
      <w:pPr>
        <w:pStyle w:val="ListParagraph"/>
        <w:numPr>
          <w:numId w:val="2"/>
        </w:numPr>
        <w:bidi w:val="0"/>
        <w:ind w:left="284" w:hanging="284"/>
        <w:jc w:val="both"/>
        <w:rPr>
          <w:rFonts w:ascii="Times New Roman" w:hAnsi="Times New Roman"/>
        </w:rPr>
      </w:pPr>
      <w:r w:rsidRPr="00CC658A">
        <w:rPr>
          <w:rFonts w:ascii="Times New Roman" w:hAnsi="Times New Roman"/>
        </w:rPr>
        <w:t>V § 6 ods. 1 sa vypúšťa písmeno a).</w:t>
      </w:r>
    </w:p>
    <w:p w:rsidR="00F91E33" w:rsidRPr="00CC658A" w:rsidP="00F91E33">
      <w:pPr>
        <w:bidi w:val="0"/>
        <w:ind w:left="284"/>
        <w:jc w:val="both"/>
        <w:rPr>
          <w:rFonts w:ascii="Times New Roman" w:hAnsi="Times New Roman"/>
        </w:rPr>
      </w:pPr>
      <w:r w:rsidRPr="00CC658A">
        <w:rPr>
          <w:rFonts w:ascii="Times New Roman" w:hAnsi="Times New Roman"/>
        </w:rPr>
        <w:t>Doterajšie písmená b) až k) sa označujú ako písmená a) až j).</w:t>
      </w:r>
    </w:p>
    <w:p w:rsidR="00F91E33" w:rsidRPr="00CC658A" w:rsidP="00F91E33">
      <w:pPr>
        <w:bidi w:val="0"/>
        <w:jc w:val="both"/>
        <w:rPr>
          <w:rFonts w:ascii="Times New Roman" w:hAnsi="Times New Roman"/>
        </w:rPr>
      </w:pPr>
    </w:p>
    <w:p w:rsidR="00F91E33" w:rsidRPr="00CC658A" w:rsidP="00214D38">
      <w:pPr>
        <w:pStyle w:val="ListParagraph"/>
        <w:numPr>
          <w:numId w:val="2"/>
        </w:numPr>
        <w:bidi w:val="0"/>
        <w:ind w:left="284" w:hanging="284"/>
        <w:jc w:val="both"/>
        <w:rPr>
          <w:rFonts w:ascii="Times New Roman" w:hAnsi="Times New Roman"/>
        </w:rPr>
      </w:pPr>
      <w:r w:rsidRPr="00CC658A">
        <w:rPr>
          <w:rFonts w:ascii="Times New Roman" w:hAnsi="Times New Roman"/>
        </w:rPr>
        <w:t>V § 6 ods. 3 sa slovo „f)“ nahrádza slovom „e)“, slovo „k)“ sa nahrádza slovom „j)“ a slová „g) až j)“ sa nahrádzajú slovami „f) až i)“.</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center"/>
        <w:rPr>
          <w:rFonts w:ascii="Times New Roman" w:hAnsi="Times New Roman"/>
          <w:b/>
        </w:rPr>
      </w:pPr>
      <w:r w:rsidRPr="00CC658A">
        <w:rPr>
          <w:rFonts w:ascii="Times New Roman" w:hAnsi="Times New Roman"/>
          <w:b/>
        </w:rPr>
        <w:t>Čl. V</w:t>
      </w:r>
    </w:p>
    <w:p w:rsidR="00F91E33" w:rsidRPr="00CC658A" w:rsidP="00F91E33">
      <w:pPr>
        <w:bidi w:val="0"/>
        <w:jc w:val="center"/>
        <w:rPr>
          <w:rFonts w:ascii="Times New Roman" w:hAnsi="Times New Roman"/>
          <w:b/>
        </w:rPr>
      </w:pPr>
    </w:p>
    <w:p w:rsidR="00F91E33" w:rsidRPr="00CC658A" w:rsidP="00F91E33">
      <w:pPr>
        <w:bidi w:val="0"/>
        <w:jc w:val="both"/>
        <w:rPr>
          <w:rFonts w:ascii="Times New Roman" w:hAnsi="Times New Roman"/>
        </w:rPr>
      </w:pPr>
      <w:r w:rsidRPr="00CC658A">
        <w:rPr>
          <w:rFonts w:ascii="Times New Roman" w:hAnsi="Times New Roman"/>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a zákona č. .../2014 Z. z. sa mení a dopĺňa takto:</w:t>
      </w:r>
    </w:p>
    <w:p w:rsidR="00F91E33" w:rsidRPr="00CC658A" w:rsidP="00F91E33">
      <w:pPr>
        <w:bidi w:val="0"/>
        <w:rPr>
          <w:rFonts w:ascii="Times New Roman" w:hAnsi="Times New Roman"/>
        </w:rPr>
      </w:pPr>
    </w:p>
    <w:p w:rsidR="00F91E33" w:rsidRPr="00CC658A" w:rsidP="00F91E33">
      <w:pPr>
        <w:bidi w:val="0"/>
        <w:ind w:left="284" w:hanging="284"/>
        <w:jc w:val="both"/>
        <w:rPr>
          <w:rFonts w:ascii="Times New Roman" w:hAnsi="Times New Roman"/>
        </w:rPr>
      </w:pPr>
      <w:r w:rsidRPr="00CC658A">
        <w:rPr>
          <w:rFonts w:ascii="Times New Roman" w:hAnsi="Times New Roman"/>
          <w:b/>
        </w:rPr>
        <w:t>1.</w:t>
      </w:r>
      <w:r w:rsidRPr="00CC658A">
        <w:rPr>
          <w:rFonts w:ascii="Times New Roman" w:hAnsi="Times New Roman"/>
        </w:rPr>
        <w:t xml:space="preserve"> V poznámke pod čiarou k odkazu 1 sa na konci pripája táto citácia: „Zákon č. .../2014 Z. z. o dani z motorových vozidiel a o zmene a doplnení niektorých zákonov.“.</w:t>
      </w:r>
    </w:p>
    <w:p w:rsidR="00F91E33" w:rsidRPr="00CC658A" w:rsidP="00F91E33">
      <w:pPr>
        <w:bidi w:val="0"/>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b/>
        </w:rPr>
        <w:t>2.</w:t>
      </w:r>
      <w:r w:rsidRPr="00CC658A">
        <w:rPr>
          <w:rFonts w:ascii="Times New Roman" w:hAnsi="Times New Roman"/>
        </w:rPr>
        <w:t xml:space="preserve"> V § 11 sa odsek 7 dopĺňa písmenom g), ktoré znie:</w:t>
      </w:r>
    </w:p>
    <w:p w:rsidR="00F91E33" w:rsidRPr="00CC658A" w:rsidP="00F91E33">
      <w:pPr>
        <w:pStyle w:val="ListParagraph"/>
        <w:bidi w:val="0"/>
        <w:ind w:left="284"/>
        <w:jc w:val="both"/>
        <w:rPr>
          <w:rFonts w:ascii="Times New Roman" w:hAnsi="Times New Roman"/>
        </w:rPr>
      </w:pPr>
      <w:r w:rsidRPr="00CC658A">
        <w:rPr>
          <w:rFonts w:ascii="Times New Roman" w:hAnsi="Times New Roman"/>
        </w:rPr>
        <w:t>„g) oznámenie alebo sprístupnenie výšky splatnej dane právnickej osoby na základe údajov z verejnej časti registra účtovných závierok.</w:t>
      </w:r>
      <w:r w:rsidRPr="00CC658A">
        <w:rPr>
          <w:rFonts w:ascii="Times New Roman" w:hAnsi="Times New Roman"/>
          <w:vertAlign w:val="superscript"/>
        </w:rPr>
        <w:t>37aa</w:t>
      </w:r>
      <w:r w:rsidRPr="00CC658A">
        <w:rPr>
          <w:rFonts w:ascii="Times New Roman" w:hAnsi="Times New Roman"/>
        </w:rPr>
        <w:t>)“.</w:t>
      </w:r>
    </w:p>
    <w:p w:rsidR="00F91E33" w:rsidRPr="00CC658A" w:rsidP="00F91E33">
      <w:pPr>
        <w:bidi w:val="0"/>
        <w:jc w:val="both"/>
        <w:rPr>
          <w:rFonts w:ascii="Times New Roman" w:hAnsi="Times New Roman"/>
        </w:rPr>
      </w:pPr>
      <w:r w:rsidRPr="00CC658A">
        <w:rPr>
          <w:rFonts w:ascii="Times New Roman" w:hAnsi="Times New Roman"/>
        </w:rPr>
        <w:t xml:space="preserve"> </w:t>
      </w:r>
    </w:p>
    <w:p w:rsidR="00F91E33" w:rsidRPr="00CC658A" w:rsidP="00214D38">
      <w:pPr>
        <w:numPr>
          <w:numId w:val="2"/>
        </w:numPr>
        <w:bidi w:val="0"/>
        <w:ind w:left="284" w:hanging="284"/>
        <w:jc w:val="both"/>
        <w:rPr>
          <w:rFonts w:ascii="Times New Roman" w:hAnsi="Times New Roman"/>
        </w:rPr>
      </w:pPr>
      <w:r w:rsidRPr="00CC658A">
        <w:rPr>
          <w:rFonts w:ascii="Times New Roman" w:hAnsi="Times New Roman"/>
        </w:rPr>
        <w:t xml:space="preserve">V § 44 ods. 3 sa slová „ktorý patrí do miestnej príslušnosti iného správcu dane“ nahrádzajú slovami „ktorému je príslušný iný správca dane“. </w:t>
      </w:r>
    </w:p>
    <w:p w:rsidR="00F91E33" w:rsidRPr="00CC658A" w:rsidP="00F91E33">
      <w:pPr>
        <w:bidi w:val="0"/>
        <w:rPr>
          <w:rFonts w:ascii="Times New Roman" w:hAnsi="Times New Roman"/>
        </w:rPr>
      </w:pPr>
    </w:p>
    <w:p w:rsidR="00F91E33" w:rsidRPr="00CC658A" w:rsidP="00F91E33">
      <w:pPr>
        <w:bidi w:val="0"/>
        <w:ind w:left="284" w:hanging="284"/>
        <w:jc w:val="both"/>
        <w:rPr>
          <w:rFonts w:ascii="Times New Roman" w:hAnsi="Times New Roman"/>
        </w:rPr>
      </w:pPr>
      <w:r w:rsidRPr="00CC658A">
        <w:rPr>
          <w:rFonts w:ascii="Times New Roman" w:hAnsi="Times New Roman"/>
          <w:b/>
        </w:rPr>
        <w:t>4.</w:t>
      </w:r>
      <w:r w:rsidRPr="00CC658A">
        <w:rPr>
          <w:rFonts w:ascii="Times New Roman" w:hAnsi="Times New Roman"/>
        </w:rPr>
        <w:t xml:space="preserve"> V poznámke pod čiarou k odkazu 44 sa citácia „Zákon č. 582/2004 Z. z. v znení neskorších predpisov.“ nahrádza citáciou „Zákon č. .../2014 Z. z. (zákon o dani z motorových vozidiel).“.</w:t>
      </w:r>
    </w:p>
    <w:p w:rsidR="00F91E33" w:rsidRPr="00CC658A" w:rsidP="00F91E33">
      <w:pPr>
        <w:bidi w:val="0"/>
        <w:jc w:val="both"/>
        <w:rPr>
          <w:rFonts w:ascii="Times New Roman" w:hAnsi="Times New Roman"/>
        </w:rPr>
      </w:pPr>
    </w:p>
    <w:p w:rsidR="00F91E33" w:rsidRPr="00CC658A" w:rsidP="00F91E33">
      <w:pPr>
        <w:bidi w:val="0"/>
        <w:rPr>
          <w:rFonts w:ascii="Times New Roman" w:hAnsi="Times New Roman"/>
        </w:rPr>
      </w:pPr>
    </w:p>
    <w:p w:rsidR="00F91E33" w:rsidRPr="00CC658A" w:rsidP="00F91E33">
      <w:pPr>
        <w:bidi w:val="0"/>
        <w:jc w:val="center"/>
        <w:rPr>
          <w:rFonts w:ascii="Times New Roman" w:hAnsi="Times New Roman"/>
          <w:b/>
        </w:rPr>
      </w:pPr>
      <w:r w:rsidRPr="00CC658A">
        <w:rPr>
          <w:rFonts w:ascii="Times New Roman" w:hAnsi="Times New Roman"/>
          <w:b/>
        </w:rPr>
        <w:t>Čl. VI</w:t>
      </w:r>
    </w:p>
    <w:p w:rsidR="00F91E33" w:rsidRPr="00CC658A" w:rsidP="00F91E33">
      <w:pPr>
        <w:bidi w:val="0"/>
        <w:jc w:val="center"/>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 xml:space="preserve">Tento zákon nadobúda účinnosť 1. januára 2015. </w:t>
      </w:r>
    </w:p>
    <w:p w:rsidR="00F91E33" w:rsidRPr="00CC658A" w:rsidP="00F91E33">
      <w:pPr>
        <w:bidi w:val="0"/>
        <w:jc w:val="both"/>
        <w:rPr>
          <w:rFonts w:ascii="Times New Roman" w:hAnsi="Times New Roman"/>
        </w:rPr>
      </w:pPr>
    </w:p>
    <w:p w:rsidR="00F91E33" w:rsidRPr="00CC658A" w:rsidP="00F91E33">
      <w:pPr>
        <w:bidi w:val="0"/>
        <w:rPr>
          <w:rFonts w:ascii="Times New Roman" w:hAnsi="Times New Roman"/>
        </w:rPr>
      </w:pPr>
    </w:p>
    <w:p w:rsidR="00F91E33" w:rsidRPr="00CC658A" w:rsidP="00F91E33">
      <w:pPr>
        <w:bidi w:val="0"/>
        <w:jc w:val="both"/>
        <w:rPr>
          <w:rFonts w:ascii="Times New Roman" w:hAnsi="Times New Roman"/>
        </w:rPr>
      </w:pPr>
    </w:p>
    <w:p w:rsidR="00F91E33" w:rsidRPr="006B52AE" w:rsidP="00F91E33">
      <w:pPr>
        <w:bidi w:val="0"/>
        <w:rPr>
          <w:rFonts w:ascii="Times New Roman" w:hAnsi="Times New Roman"/>
          <w:b/>
          <w:sz w:val="28"/>
          <w:szCs w:val="28"/>
        </w:rPr>
      </w:pPr>
    </w:p>
    <w:p w:rsidR="00F91E33" w:rsidRPr="006B52AE" w:rsidP="00F91E33">
      <w:pPr>
        <w:bidi w:val="0"/>
        <w:ind w:firstLine="708"/>
        <w:jc w:val="both"/>
        <w:rPr>
          <w:rFonts w:ascii="Times New Roman" w:hAnsi="Times New Roman"/>
          <w:bC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jc w:val="center"/>
        <w:rPr>
          <w:rFonts w:ascii="Times New Roman" w:hAnsi="Times New Roman"/>
          <w:lang w:eastAsia="en-US"/>
        </w:rPr>
      </w:pPr>
      <w:r w:rsidRPr="006B52AE">
        <w:rPr>
          <w:rFonts w:ascii="Times New Roman" w:hAnsi="Times New Roman"/>
          <w:lang w:eastAsia="en-US"/>
        </w:rPr>
        <w:t>prezident Slovenskej republiky</w:t>
      </w: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jc w:val="center"/>
        <w:rPr>
          <w:rFonts w:ascii="Times New Roman" w:hAnsi="Times New Roman"/>
          <w:lang w:eastAsia="en-US"/>
        </w:rPr>
      </w:pPr>
    </w:p>
    <w:p w:rsidR="00F91E33" w:rsidRPr="006B52AE" w:rsidP="00F91E33">
      <w:pPr>
        <w:bidi w:val="0"/>
        <w:spacing w:after="200" w:line="276" w:lineRule="auto"/>
        <w:jc w:val="center"/>
        <w:rPr>
          <w:rFonts w:ascii="Times New Roman" w:hAnsi="Times New Roman"/>
          <w:lang w:eastAsia="en-US"/>
        </w:rPr>
      </w:pPr>
      <w:r w:rsidRPr="006B52AE">
        <w:rPr>
          <w:rFonts w:ascii="Times New Roman" w:hAnsi="Times New Roman"/>
          <w:lang w:eastAsia="en-US"/>
        </w:rPr>
        <w:t>predseda Národnej rady Slovenskej republiky</w:t>
      </w: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rPr>
          <w:rFonts w:ascii="Times New Roman" w:hAnsi="Times New Roman"/>
          <w:lang w:eastAsia="en-US"/>
        </w:rPr>
      </w:pPr>
    </w:p>
    <w:p w:rsidR="00F91E33" w:rsidRPr="006B52AE" w:rsidP="00F91E33">
      <w:pPr>
        <w:bidi w:val="0"/>
        <w:spacing w:after="200" w:line="276" w:lineRule="auto"/>
        <w:jc w:val="center"/>
        <w:rPr>
          <w:rFonts w:ascii="Times New Roman" w:hAnsi="Times New Roman"/>
          <w:lang w:eastAsia="en-US"/>
        </w:rPr>
      </w:pPr>
      <w:r w:rsidRPr="006B52AE">
        <w:rPr>
          <w:rFonts w:ascii="Times New Roman" w:hAnsi="Times New Roman"/>
          <w:lang w:eastAsia="en-US"/>
        </w:rPr>
        <w:t>predseda vlády Slovenskej republiky</w:t>
      </w:r>
    </w:p>
    <w:p w:rsidR="00F91E33" w:rsidRPr="00CC658A" w:rsidP="00F91E33">
      <w:pPr>
        <w:bidi w:val="0"/>
        <w:jc w:val="center"/>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br w:type="page"/>
      </w:r>
    </w:p>
    <w:p w:rsidR="00F91E33" w:rsidRPr="00CC658A" w:rsidP="00F91E33">
      <w:pPr>
        <w:bidi w:val="0"/>
        <w:jc w:val="right"/>
        <w:rPr>
          <w:rFonts w:ascii="Times New Roman" w:hAnsi="Times New Roman"/>
        </w:rPr>
      </w:pPr>
      <w:r w:rsidRPr="00CC658A">
        <w:rPr>
          <w:rFonts w:ascii="Times New Roman" w:hAnsi="Times New Roman"/>
          <w:b/>
        </w:rPr>
        <w:t>Príloha č. 1 k zákonu č. .../2014 Z. z.</w:t>
      </w:r>
    </w:p>
    <w:p w:rsidR="00F91E33" w:rsidRPr="00CC658A" w:rsidP="00F91E33">
      <w:pPr>
        <w:bidi w:val="0"/>
        <w:jc w:val="center"/>
        <w:rPr>
          <w:rFonts w:ascii="Times New Roman" w:hAnsi="Times New Roman"/>
        </w:rPr>
      </w:pPr>
    </w:p>
    <w:p w:rsidR="00F91E33" w:rsidRPr="00CC658A" w:rsidP="00F91E33">
      <w:pPr>
        <w:bidi w:val="0"/>
        <w:jc w:val="center"/>
        <w:rPr>
          <w:rFonts w:ascii="Times New Roman" w:hAnsi="Times New Roman"/>
          <w:b/>
        </w:rPr>
      </w:pPr>
      <w:r w:rsidRPr="00CC658A">
        <w:rPr>
          <w:rFonts w:ascii="Times New Roman" w:hAnsi="Times New Roman"/>
          <w:b/>
        </w:rPr>
        <w:t xml:space="preserve">Ročné sadzby dane </w:t>
      </w:r>
    </w:p>
    <w:p w:rsidR="00F91E33" w:rsidRPr="00CC658A" w:rsidP="00F91E33">
      <w:pPr>
        <w:bidi w:val="0"/>
        <w:jc w:val="center"/>
        <w:rPr>
          <w:rFonts w:ascii="Times New Roman" w:hAnsi="Times New Roman"/>
        </w:rPr>
      </w:pPr>
    </w:p>
    <w:p w:rsidR="00F91E33" w:rsidRPr="00CC658A" w:rsidP="00F91E33">
      <w:pPr>
        <w:bidi w:val="0"/>
        <w:jc w:val="center"/>
        <w:rPr>
          <w:rFonts w:ascii="Times New Roman" w:hAnsi="Times New Roman"/>
        </w:rPr>
      </w:pPr>
    </w:p>
    <w:p w:rsidR="00F91E33" w:rsidRPr="00CC658A" w:rsidP="00F91E33">
      <w:pPr>
        <w:bidi w:val="0"/>
        <w:jc w:val="both"/>
        <w:rPr>
          <w:rFonts w:ascii="Times New Roman" w:hAnsi="Times New Roman"/>
        </w:rPr>
      </w:pPr>
      <w:r w:rsidRPr="00CC658A">
        <w:rPr>
          <w:rFonts w:ascii="Times New Roman" w:hAnsi="Times New Roman"/>
        </w:rPr>
        <w:t>vozidlo kategórie L, M a N, ktorého jediným zdrojom energie je elektrina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340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19" w:type="dxa"/>
            <w:tcBorders>
              <w:top w:val="single" w:sz="4" w:space="0" w:color="auto"/>
              <w:left w:val="single" w:sz="4" w:space="0" w:color="auto"/>
              <w:bottom w:val="single" w:sz="4" w:space="0" w:color="auto"/>
              <w:right w:val="single" w:sz="4" w:space="0" w:color="auto"/>
            </w:tcBorders>
            <w:textDirection w:val="lrTb"/>
            <w:vAlign w:val="top"/>
          </w:tcPr>
          <w:p w:rsidR="00F91E33" w:rsidRPr="00CC658A" w:rsidP="00F33AD2">
            <w:pPr>
              <w:bidi w:val="0"/>
              <w:spacing w:after="0" w:line="240" w:lineRule="auto"/>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Ročná sadzba dane v eurách</w:t>
            </w:r>
          </w:p>
        </w:tc>
      </w:tr>
      <w:tr>
        <w:tblPrEx>
          <w:tblW w:w="0" w:type="auto"/>
          <w:tblLook w:val="04A0"/>
        </w:tblPrEx>
        <w:tc>
          <w:tcPr>
            <w:tcW w:w="4219" w:type="dxa"/>
            <w:tcBorders>
              <w:top w:val="single" w:sz="4" w:space="0" w:color="auto"/>
              <w:left w:val="single" w:sz="4" w:space="0" w:color="auto"/>
              <w:bottom w:val="single" w:sz="4" w:space="0" w:color="auto"/>
              <w:right w:val="single" w:sz="4" w:space="0" w:color="auto"/>
            </w:tcBorders>
            <w:textDirection w:val="lrTb"/>
            <w:vAlign w:val="top"/>
          </w:tcPr>
          <w:p w:rsidR="00F91E33" w:rsidRPr="00CC658A" w:rsidP="00F33AD2">
            <w:pPr>
              <w:bidi w:val="0"/>
              <w:spacing w:after="0" w:line="240" w:lineRule="auto"/>
              <w:jc w:val="center"/>
              <w:rPr>
                <w:rFonts w:ascii="Times New Roman" w:hAnsi="Times New Roman"/>
              </w:rPr>
            </w:pPr>
            <w:r w:rsidRPr="00CC658A">
              <w:rPr>
                <w:rFonts w:ascii="Times New Roman" w:hAnsi="Times New Roman"/>
              </w:rPr>
              <w:t>výkon motora v kW</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F91E33" w:rsidRPr="00CC658A" w:rsidP="00F33AD2">
            <w:pPr>
              <w:bidi w:val="0"/>
              <w:spacing w:after="0" w:line="240" w:lineRule="auto"/>
              <w:jc w:val="center"/>
              <w:rPr>
                <w:rFonts w:ascii="Times New Roman" w:hAnsi="Times New Roman"/>
              </w:rPr>
            </w:pPr>
            <w:r w:rsidRPr="00CC658A">
              <w:rPr>
                <w:rFonts w:ascii="Times New Roman" w:hAnsi="Times New Roman"/>
              </w:rPr>
              <w:t>0</w:t>
            </w:r>
          </w:p>
        </w:tc>
      </w:tr>
    </w:tbl>
    <w:p w:rsidR="00F91E33" w:rsidRPr="00CC658A" w:rsidP="00F91E33">
      <w:pPr>
        <w:bidi w:val="0"/>
        <w:jc w:val="both"/>
        <w:rPr>
          <w:rFonts w:ascii="Times New Roman" w:hAnsi="Times New Roman"/>
        </w:rPr>
      </w:pPr>
    </w:p>
    <w:tbl>
      <w:tblPr>
        <w:tblStyle w:val="TableNormal"/>
        <w:tblW w:w="7523" w:type="dxa"/>
        <w:tblInd w:w="60" w:type="dxa"/>
        <w:tblCellMar>
          <w:left w:w="70" w:type="dxa"/>
          <w:right w:w="70" w:type="dxa"/>
        </w:tblCellMar>
        <w:tblLook w:val="04A0"/>
      </w:tblPr>
      <w:tblGrid>
        <w:gridCol w:w="1267"/>
        <w:gridCol w:w="653"/>
        <w:gridCol w:w="217"/>
        <w:gridCol w:w="1842"/>
        <w:gridCol w:w="3544"/>
      </w:tblGrid>
      <w:tr>
        <w:tblPrEx>
          <w:tblW w:w="7523" w:type="dxa"/>
          <w:tblInd w:w="60" w:type="dxa"/>
          <w:tblCellMar>
            <w:left w:w="70" w:type="dxa"/>
            <w:right w:w="70" w:type="dxa"/>
          </w:tblCellMar>
          <w:tblLook w:val="04A0"/>
        </w:tblPrEx>
        <w:trPr>
          <w:trHeight w:val="285"/>
        </w:trPr>
        <w:tc>
          <w:tcPr>
            <w:tcW w:w="1920" w:type="dxa"/>
            <w:gridSpan w:val="2"/>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bCs/>
              </w:rPr>
            </w:pPr>
            <w:r w:rsidRPr="00CC658A">
              <w:rPr>
                <w:rFonts w:ascii="Times New Roman" w:hAnsi="Times New Roman"/>
                <w:bCs/>
              </w:rPr>
              <w:t>osobné vozidlá</w:t>
            </w:r>
          </w:p>
        </w:tc>
        <w:tc>
          <w:tcPr>
            <w:tcW w:w="2059" w:type="dxa"/>
            <w:gridSpan w:val="2"/>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p>
        </w:tc>
        <w:tc>
          <w:tcPr>
            <w:tcW w:w="3544" w:type="dxa"/>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p>
        </w:tc>
      </w:tr>
      <w:tr>
        <w:tblPrEx>
          <w:tblW w:w="7523" w:type="dxa"/>
          <w:tblInd w:w="60" w:type="dxa"/>
          <w:tblCellMar>
            <w:left w:w="70" w:type="dxa"/>
            <w:right w:w="70" w:type="dxa"/>
          </w:tblCellMar>
          <w:tblLook w:val="04A0"/>
        </w:tblPrEx>
        <w:trPr>
          <w:trHeight w:val="560"/>
        </w:trPr>
        <w:tc>
          <w:tcPr>
            <w:tcW w:w="3979" w:type="dxa"/>
            <w:gridSpan w:val="4"/>
            <w:tcBorders>
              <w:top w:val="single" w:sz="8" w:space="0" w:color="auto"/>
              <w:left w:val="single" w:sz="8" w:space="0" w:color="auto"/>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Zdvihový objem valcov motora v cm</w:t>
            </w:r>
            <w:r w:rsidRPr="00CC658A">
              <w:rPr>
                <w:rFonts w:ascii="Times New Roman" w:hAnsi="Times New Roman"/>
                <w:bCs/>
                <w:vertAlign w:val="superscript"/>
              </w:rPr>
              <w:t>3</w:t>
            </w:r>
          </w:p>
        </w:tc>
        <w:tc>
          <w:tcPr>
            <w:tcW w:w="3544" w:type="dxa"/>
            <w:vMerge w:val="restart"/>
            <w:tcBorders>
              <w:top w:val="single" w:sz="8" w:space="0" w:color="auto"/>
              <w:left w:val="single" w:sz="8" w:space="0" w:color="auto"/>
              <w:bottom w:val="nil"/>
              <w:right w:val="single" w:sz="8" w:space="0" w:color="000000"/>
            </w:tcBorders>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Ročná sadzba dane v eurách</w:t>
            </w:r>
          </w:p>
          <w:p w:rsidR="00F91E33" w:rsidRPr="00CC658A" w:rsidP="00F33AD2">
            <w:pPr>
              <w:bidi w:val="0"/>
              <w:spacing w:after="0" w:line="240" w:lineRule="auto"/>
              <w:jc w:val="center"/>
              <w:rPr>
                <w:rFonts w:ascii="Times New Roman" w:hAnsi="Times New Roman"/>
                <w:bCs/>
              </w:rPr>
            </w:pPr>
          </w:p>
        </w:tc>
      </w:tr>
      <w:tr>
        <w:tblPrEx>
          <w:tblW w:w="7523" w:type="dxa"/>
          <w:tblInd w:w="60" w:type="dxa"/>
          <w:tblCellMar>
            <w:left w:w="70" w:type="dxa"/>
            <w:right w:w="70" w:type="dxa"/>
          </w:tblCellMar>
          <w:tblLook w:val="04A0"/>
        </w:tblPrEx>
        <w:trPr>
          <w:trHeight w:val="825"/>
        </w:trPr>
        <w:tc>
          <w:tcPr>
            <w:tcW w:w="1267" w:type="dxa"/>
            <w:tcBorders>
              <w:top w:val="nil"/>
              <w:left w:val="single" w:sz="8" w:space="0" w:color="auto"/>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w:t>
            </w:r>
          </w:p>
        </w:tc>
        <w:tc>
          <w:tcPr>
            <w:tcW w:w="2712" w:type="dxa"/>
            <w:gridSpan w:val="3"/>
            <w:tcBorders>
              <w:top w:val="single" w:sz="8" w:space="0" w:color="auto"/>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(vrátane)</w:t>
            </w:r>
          </w:p>
        </w:tc>
        <w:tc>
          <w:tcPr>
            <w:tcW w:w="3544" w:type="dxa"/>
            <w:vMerge/>
            <w:tcBorders>
              <w:top w:val="none" w:sz="0" w:space="0" w:color="auto"/>
              <w:left w:val="single" w:sz="8" w:space="0" w:color="auto"/>
              <w:bottom w:val="single" w:sz="8" w:space="0" w:color="auto"/>
              <w:right w:val="single" w:sz="8" w:space="0" w:color="000000"/>
            </w:tcBorders>
            <w:textDirection w:val="lrTb"/>
            <w:vAlign w:val="bottom"/>
            <w:hideMark/>
          </w:tcPr>
          <w:p w:rsidR="00F91E33" w:rsidRPr="00CC658A" w:rsidP="00F33AD2">
            <w:pPr>
              <w:bidi w:val="0"/>
              <w:spacing w:after="0" w:line="240" w:lineRule="auto"/>
              <w:jc w:val="center"/>
              <w:rPr>
                <w:rFonts w:ascii="Times New Roman" w:hAnsi="Times New Roman"/>
                <w:bCs/>
              </w:rPr>
            </w:pP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tcPr>
          <w:p w:rsidR="00F91E33" w:rsidRPr="00CC658A" w:rsidP="00F33AD2">
            <w:pPr>
              <w:bidi w:val="0"/>
              <w:spacing w:after="0" w:line="240" w:lineRule="auto"/>
              <w:jc w:val="center"/>
              <w:rPr>
                <w:rFonts w:ascii="Times New Roman" w:hAnsi="Times New Roman"/>
                <w:bCs/>
              </w:rPr>
            </w:pPr>
          </w:p>
        </w:tc>
        <w:tc>
          <w:tcPr>
            <w:tcW w:w="2712" w:type="dxa"/>
            <w:gridSpan w:val="3"/>
            <w:tcBorders>
              <w:top w:val="single" w:sz="8" w:space="0" w:color="auto"/>
              <w:left w:val="nil"/>
              <w:bottom w:val="single" w:sz="4" w:space="0" w:color="auto"/>
              <w:right w:val="single" w:sz="8" w:space="0" w:color="auto"/>
            </w:tcBorders>
            <w:noWrap/>
            <w:textDirection w:val="lrTb"/>
            <w:vAlign w:val="center"/>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150</w:t>
            </w:r>
          </w:p>
        </w:tc>
        <w:tc>
          <w:tcPr>
            <w:tcW w:w="3544" w:type="dxa"/>
            <w:tcBorders>
              <w:top w:val="nil"/>
              <w:left w:val="nil"/>
              <w:bottom w:val="single" w:sz="4" w:space="0" w:color="auto"/>
              <w:right w:val="single" w:sz="8" w:space="0" w:color="auto"/>
            </w:tcBorders>
            <w:noWrap/>
            <w:textDirection w:val="lrTb"/>
            <w:vAlign w:val="center"/>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50</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150</w:t>
            </w:r>
          </w:p>
        </w:tc>
        <w:tc>
          <w:tcPr>
            <w:tcW w:w="2712" w:type="dxa"/>
            <w:gridSpan w:val="3"/>
            <w:tcBorders>
              <w:top w:val="single" w:sz="8" w:space="0" w:color="auto"/>
              <w:left w:val="nil"/>
              <w:bottom w:val="single" w:sz="4" w:space="0" w:color="auto"/>
              <w:right w:val="single" w:sz="8" w:space="0" w:color="auto"/>
            </w:tcBorders>
            <w:noWrap/>
            <w:textDirection w:val="lrTb"/>
            <w:vAlign w:val="center"/>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900</w:t>
            </w:r>
          </w:p>
        </w:tc>
        <w:tc>
          <w:tcPr>
            <w:tcW w:w="3544" w:type="dxa"/>
            <w:tcBorders>
              <w:top w:val="nil"/>
              <w:left w:val="nil"/>
              <w:bottom w:val="single" w:sz="4" w:space="0" w:color="auto"/>
              <w:right w:val="single" w:sz="8" w:space="0" w:color="auto"/>
            </w:tcBorders>
            <w:noWrap/>
            <w:textDirection w:val="lrTb"/>
            <w:vAlign w:val="center"/>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62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900</w:t>
            </w:r>
          </w:p>
        </w:tc>
        <w:tc>
          <w:tcPr>
            <w:tcW w:w="2712" w:type="dxa"/>
            <w:gridSpan w:val="3"/>
            <w:tcBorders>
              <w:top w:val="single" w:sz="4" w:space="0" w:color="auto"/>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1200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80</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1 200</w:t>
            </w:r>
          </w:p>
        </w:tc>
        <w:tc>
          <w:tcPr>
            <w:tcW w:w="2712" w:type="dxa"/>
            <w:gridSpan w:val="3"/>
            <w:tcBorders>
              <w:top w:val="single" w:sz="4" w:space="0" w:color="auto"/>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1 500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115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1 500</w:t>
            </w:r>
          </w:p>
        </w:tc>
        <w:tc>
          <w:tcPr>
            <w:tcW w:w="2712" w:type="dxa"/>
            <w:gridSpan w:val="3"/>
            <w:tcBorders>
              <w:top w:val="single" w:sz="4" w:space="0" w:color="auto"/>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2 000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148</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2 000</w:t>
            </w:r>
          </w:p>
        </w:tc>
        <w:tc>
          <w:tcPr>
            <w:tcW w:w="2712" w:type="dxa"/>
            <w:gridSpan w:val="3"/>
            <w:tcBorders>
              <w:top w:val="single" w:sz="4" w:space="0" w:color="auto"/>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3 000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180</w:t>
            </w:r>
          </w:p>
        </w:tc>
      </w:tr>
      <w:tr>
        <w:tblPrEx>
          <w:tblW w:w="7523" w:type="dxa"/>
          <w:tblInd w:w="60" w:type="dxa"/>
          <w:tblCellMar>
            <w:left w:w="70" w:type="dxa"/>
            <w:right w:w="70" w:type="dxa"/>
          </w:tblCellMar>
          <w:tblLook w:val="04A0"/>
        </w:tblPrEx>
        <w:trPr>
          <w:trHeight w:val="285"/>
        </w:trPr>
        <w:tc>
          <w:tcPr>
            <w:tcW w:w="1267" w:type="dxa"/>
            <w:tcBorders>
              <w:top w:val="nil"/>
              <w:left w:val="single" w:sz="8" w:space="0" w:color="auto"/>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3 000</w:t>
            </w:r>
          </w:p>
        </w:tc>
        <w:tc>
          <w:tcPr>
            <w:tcW w:w="2712" w:type="dxa"/>
            <w:gridSpan w:val="3"/>
            <w:tcBorders>
              <w:top w:val="single" w:sz="4" w:space="0" w:color="auto"/>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p>
        </w:tc>
        <w:tc>
          <w:tcPr>
            <w:tcW w:w="3544" w:type="dxa"/>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218</w:t>
            </w:r>
          </w:p>
        </w:tc>
      </w:tr>
      <w:tr>
        <w:tblPrEx>
          <w:tblW w:w="7523" w:type="dxa"/>
          <w:tblInd w:w="60" w:type="dxa"/>
          <w:tblCellMar>
            <w:left w:w="70" w:type="dxa"/>
            <w:right w:w="70" w:type="dxa"/>
          </w:tblCellMar>
          <w:tblLook w:val="04A0"/>
        </w:tblPrEx>
        <w:trPr>
          <w:trHeight w:val="270"/>
        </w:trPr>
        <w:tc>
          <w:tcPr>
            <w:tcW w:w="1267" w:type="dxa"/>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bCs/>
              </w:rPr>
            </w:pPr>
          </w:p>
        </w:tc>
        <w:tc>
          <w:tcPr>
            <w:tcW w:w="653" w:type="dxa"/>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bCs/>
              </w:rPr>
            </w:pPr>
          </w:p>
        </w:tc>
        <w:tc>
          <w:tcPr>
            <w:tcW w:w="2059" w:type="dxa"/>
            <w:gridSpan w:val="2"/>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p>
        </w:tc>
        <w:tc>
          <w:tcPr>
            <w:tcW w:w="3544" w:type="dxa"/>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p>
        </w:tc>
      </w:tr>
      <w:tr>
        <w:tblPrEx>
          <w:tblW w:w="7523" w:type="dxa"/>
          <w:tblInd w:w="60" w:type="dxa"/>
          <w:tblCellMar>
            <w:left w:w="70" w:type="dxa"/>
            <w:right w:w="70" w:type="dxa"/>
          </w:tblCellMar>
          <w:tblLook w:val="04A0"/>
        </w:tblPrEx>
        <w:trPr>
          <w:trHeight w:val="285"/>
        </w:trPr>
        <w:tc>
          <w:tcPr>
            <w:tcW w:w="3979" w:type="dxa"/>
            <w:gridSpan w:val="4"/>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bCs/>
              </w:rPr>
            </w:pPr>
            <w:r w:rsidRPr="00CC658A">
              <w:rPr>
                <w:rFonts w:ascii="Times New Roman" w:hAnsi="Times New Roman"/>
                <w:bCs/>
              </w:rPr>
              <w:t>úžitkové vozidlá a autobusy</w:t>
            </w:r>
          </w:p>
        </w:tc>
        <w:tc>
          <w:tcPr>
            <w:tcW w:w="3544" w:type="dxa"/>
            <w:tcBorders>
              <w:top w:val="nil"/>
              <w:left w:val="nil"/>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p>
        </w:tc>
      </w:tr>
      <w:tr>
        <w:tblPrEx>
          <w:tblW w:w="7523" w:type="dxa"/>
          <w:tblInd w:w="60" w:type="dxa"/>
          <w:tblCellMar>
            <w:left w:w="70" w:type="dxa"/>
            <w:right w:w="70" w:type="dxa"/>
          </w:tblCellMar>
          <w:tblLook w:val="04A0"/>
        </w:tblPrEx>
        <w:trPr>
          <w:trHeight w:val="525"/>
        </w:trPr>
        <w:tc>
          <w:tcPr>
            <w:tcW w:w="1267" w:type="dxa"/>
            <w:vMerge w:val="restart"/>
            <w:tcBorders>
              <w:top w:val="single" w:sz="8" w:space="0" w:color="auto"/>
              <w:left w:val="single" w:sz="8" w:space="0" w:color="auto"/>
              <w:bottom w:val="single" w:sz="8"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Počet náprav</w:t>
            </w:r>
          </w:p>
        </w:tc>
        <w:tc>
          <w:tcPr>
            <w:tcW w:w="2712" w:type="dxa"/>
            <w:gridSpan w:val="3"/>
            <w:tcBorders>
              <w:top w:val="single" w:sz="8" w:space="0" w:color="auto"/>
              <w:left w:val="nil"/>
              <w:bottom w:val="single" w:sz="8" w:space="0" w:color="auto"/>
              <w:right w:val="single" w:sz="8" w:space="0" w:color="auto"/>
            </w:tcBorders>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Celková hmotnosť alebo najvyššia prípustná celková hmotnosť v tonách</w:t>
            </w:r>
          </w:p>
        </w:tc>
        <w:tc>
          <w:tcPr>
            <w:tcW w:w="3544" w:type="dxa"/>
            <w:vMerge w:val="restart"/>
            <w:tcBorders>
              <w:top w:val="single" w:sz="8" w:space="0" w:color="auto"/>
              <w:left w:val="nil"/>
              <w:bottom w:val="none" w:sz="0" w:space="0" w:color="auto"/>
              <w:right w:val="single" w:sz="8" w:space="0" w:color="000000"/>
            </w:tcBorders>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xml:space="preserve">Ročná sadzba dane v eurách </w:t>
            </w:r>
          </w:p>
        </w:tc>
      </w:tr>
      <w:tr>
        <w:tblPrEx>
          <w:tblW w:w="7523" w:type="dxa"/>
          <w:tblInd w:w="60" w:type="dxa"/>
          <w:tblCellMar>
            <w:left w:w="70" w:type="dxa"/>
            <w:right w:w="70" w:type="dxa"/>
          </w:tblCellMar>
          <w:tblLook w:val="04A0"/>
        </w:tblPrEx>
        <w:trPr>
          <w:trHeight w:val="600"/>
        </w:trPr>
        <w:tc>
          <w:tcPr>
            <w:tcW w:w="1267" w:type="dxa"/>
            <w:vMerge/>
            <w:tcBorders>
              <w:top w:val="single" w:sz="8" w:space="0" w:color="auto"/>
              <w:left w:val="single" w:sz="8" w:space="0" w:color="auto"/>
              <w:bottom w:val="single" w:sz="8" w:space="0" w:color="auto"/>
              <w:right w:val="single" w:sz="8" w:space="0" w:color="auto"/>
            </w:tcBorders>
            <w:textDirection w:val="lrTb"/>
            <w:vAlign w:val="center"/>
            <w:hideMark/>
          </w:tcPr>
          <w:p w:rsidR="00F91E33" w:rsidRPr="00CC658A" w:rsidP="00F33AD2">
            <w:pPr>
              <w:bidi w:val="0"/>
              <w:spacing w:after="0" w:line="240" w:lineRule="auto"/>
              <w:rPr>
                <w:rFonts w:ascii="Times New Roman" w:hAnsi="Times New Roman"/>
                <w:bCs/>
              </w:rPr>
            </w:pPr>
          </w:p>
        </w:tc>
        <w:tc>
          <w:tcPr>
            <w:tcW w:w="870" w:type="dxa"/>
            <w:gridSpan w:val="2"/>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w:t>
            </w:r>
          </w:p>
        </w:tc>
        <w:tc>
          <w:tcPr>
            <w:tcW w:w="1842" w:type="dxa"/>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w:t>
            </w:r>
          </w:p>
        </w:tc>
        <w:tc>
          <w:tcPr>
            <w:tcW w:w="3544" w:type="dxa"/>
            <w:vMerge/>
            <w:tcBorders>
              <w:top w:val="none" w:sz="0" w:space="0" w:color="auto"/>
              <w:left w:val="nil"/>
              <w:bottom w:val="single" w:sz="8" w:space="0" w:color="auto"/>
              <w:right w:val="single" w:sz="8" w:space="0" w:color="000000"/>
            </w:tcBorders>
            <w:textDirection w:val="lrTb"/>
            <w:vAlign w:val="bottom"/>
            <w:hideMark/>
          </w:tcPr>
          <w:p w:rsidR="00F91E33" w:rsidRPr="00CC658A" w:rsidP="00F33AD2">
            <w:pPr>
              <w:bidi w:val="0"/>
              <w:spacing w:after="0" w:line="240" w:lineRule="auto"/>
              <w:jc w:val="center"/>
              <w:rPr>
                <w:rFonts w:ascii="Times New Roman" w:hAnsi="Times New Roman"/>
                <w:bCs/>
              </w:rPr>
            </w:pP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1842"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74</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w:t>
            </w:r>
          </w:p>
        </w:tc>
        <w:tc>
          <w:tcPr>
            <w:tcW w:w="1842"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133</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212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6</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312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6</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8</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417</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8</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518</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10</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12</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620</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alebo 2</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12</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14</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777</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nápravy</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14</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16</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933</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16</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18</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1 089</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18</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1 252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20</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22</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1 452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22</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24</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1 660</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24</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26</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1 862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26</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28</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2 075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28</w:t>
            </w:r>
          </w:p>
        </w:tc>
        <w:tc>
          <w:tcPr>
            <w:tcW w:w="1842" w:type="dxa"/>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2 269</w:t>
            </w:r>
          </w:p>
        </w:tc>
      </w:tr>
      <w:tr>
        <w:tblPrEx>
          <w:tblW w:w="7523" w:type="dxa"/>
          <w:tblInd w:w="60" w:type="dxa"/>
          <w:tblCellMar>
            <w:left w:w="70" w:type="dxa"/>
            <w:right w:w="70" w:type="dxa"/>
          </w:tblCellMar>
          <w:tblLook w:val="04A0"/>
        </w:tblPrEx>
        <w:trPr>
          <w:trHeight w:val="285"/>
        </w:trPr>
        <w:tc>
          <w:tcPr>
            <w:tcW w:w="1267" w:type="dxa"/>
            <w:tcBorders>
              <w:top w:val="nil"/>
              <w:left w:val="single" w:sz="8" w:space="0" w:color="auto"/>
              <w:bottom w:val="single" w:sz="8" w:space="0" w:color="auto"/>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8"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30</w:t>
            </w:r>
          </w:p>
        </w:tc>
        <w:tc>
          <w:tcPr>
            <w:tcW w:w="1842" w:type="dxa"/>
            <w:tcBorders>
              <w:top w:val="nil"/>
              <w:left w:val="nil"/>
              <w:bottom w:val="single" w:sz="8"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3544" w:type="dxa"/>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2 480</w:t>
            </w:r>
          </w:p>
        </w:tc>
      </w:tr>
      <w:tr>
        <w:tblPrEx>
          <w:tblW w:w="7523" w:type="dxa"/>
          <w:tblInd w:w="60" w:type="dxa"/>
          <w:tblCellMar>
            <w:left w:w="70" w:type="dxa"/>
            <w:right w:w="70" w:type="dxa"/>
          </w:tblCellMar>
          <w:tblLook w:val="04A0"/>
        </w:tblPrEx>
        <w:trPr>
          <w:trHeight w:val="270"/>
        </w:trPr>
        <w:tc>
          <w:tcPr>
            <w:tcW w:w="1267" w:type="dxa"/>
            <w:tcBorders>
              <w:top w:val="single" w:sz="4" w:space="0" w:color="auto"/>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single" w:sz="4" w:space="0" w:color="auto"/>
              <w:left w:val="single" w:sz="8" w:space="0" w:color="auto"/>
              <w:bottom w:val="nil"/>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1842" w:type="dxa"/>
            <w:tcBorders>
              <w:top w:val="single" w:sz="4" w:space="0" w:color="auto"/>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15</w:t>
            </w:r>
          </w:p>
        </w:tc>
        <w:tc>
          <w:tcPr>
            <w:tcW w:w="3544" w:type="dxa"/>
            <w:tcBorders>
              <w:top w:val="single" w:sz="4" w:space="0" w:color="auto"/>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566</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single" w:sz="4" w:space="0" w:color="auto"/>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15</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17</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673</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17</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19</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828</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19</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21</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982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21</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23</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1 144</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23</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25</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1 295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25</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27</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1 452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nápravy</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27</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29</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1 599</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29</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31</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1 755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31</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33</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1 964</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33</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35</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2 172</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35</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37</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2 375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37</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2 582</w:t>
            </w:r>
          </w:p>
        </w:tc>
      </w:tr>
      <w:tr>
        <w:tblPrEx>
          <w:tblW w:w="7523" w:type="dxa"/>
          <w:tblInd w:w="60" w:type="dxa"/>
          <w:tblCellMar>
            <w:left w:w="70" w:type="dxa"/>
            <w:right w:w="70" w:type="dxa"/>
          </w:tblCellMar>
          <w:tblLook w:val="04A0"/>
        </w:tblPrEx>
        <w:trPr>
          <w:trHeight w:val="285"/>
        </w:trPr>
        <w:tc>
          <w:tcPr>
            <w:tcW w:w="1267" w:type="dxa"/>
            <w:tcBorders>
              <w:top w:val="nil"/>
              <w:left w:val="single" w:sz="8" w:space="0" w:color="auto"/>
              <w:bottom w:val="single" w:sz="8" w:space="0" w:color="auto"/>
              <w:right w:val="nil"/>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single" w:sz="8" w:space="0" w:color="auto"/>
              <w:bottom w:val="single" w:sz="8"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40</w:t>
            </w:r>
          </w:p>
        </w:tc>
        <w:tc>
          <w:tcPr>
            <w:tcW w:w="1842" w:type="dxa"/>
            <w:tcBorders>
              <w:top w:val="nil"/>
              <w:left w:val="nil"/>
              <w:bottom w:val="single" w:sz="8"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3544" w:type="dxa"/>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2 790</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nil"/>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23</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721</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single" w:sz="4" w:space="0" w:color="auto"/>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23</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25</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877</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25</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27</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1 033</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27</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29</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1 189</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4 a viac</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29</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31</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1 337</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náprav</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31</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33</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1 548</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33</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35</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1 755</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35</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37</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1 968</w:t>
            </w:r>
          </w:p>
        </w:tc>
      </w:tr>
      <w:tr>
        <w:tblPrEx>
          <w:tblW w:w="7523" w:type="dxa"/>
          <w:tblInd w:w="60" w:type="dxa"/>
          <w:tblCellMar>
            <w:left w:w="70" w:type="dxa"/>
            <w:right w:w="70" w:type="dxa"/>
          </w:tblCellMar>
          <w:tblLook w:val="04A0"/>
        </w:tblPrEx>
        <w:trPr>
          <w:trHeight w:val="270"/>
        </w:trPr>
        <w:tc>
          <w:tcPr>
            <w:tcW w:w="1267" w:type="dxa"/>
            <w:tcBorders>
              <w:top w:val="nil"/>
              <w:left w:val="single" w:sz="8" w:space="0" w:color="auto"/>
              <w:bottom w:val="nil"/>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4"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37</w:t>
            </w:r>
          </w:p>
        </w:tc>
        <w:tc>
          <w:tcPr>
            <w:tcW w:w="1842" w:type="dxa"/>
            <w:tcBorders>
              <w:top w:val="nil"/>
              <w:left w:val="nil"/>
              <w:bottom w:val="single" w:sz="4"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do 40</w:t>
            </w:r>
          </w:p>
        </w:tc>
        <w:tc>
          <w:tcPr>
            <w:tcW w:w="3544" w:type="dxa"/>
            <w:tcBorders>
              <w:top w:val="nil"/>
              <w:left w:val="nil"/>
              <w:bottom w:val="single" w:sz="4"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2 172</w:t>
            </w:r>
          </w:p>
        </w:tc>
      </w:tr>
      <w:tr>
        <w:tblPrEx>
          <w:tblW w:w="7523" w:type="dxa"/>
          <w:tblInd w:w="60" w:type="dxa"/>
          <w:tblCellMar>
            <w:left w:w="70" w:type="dxa"/>
            <w:right w:w="70" w:type="dxa"/>
          </w:tblCellMar>
          <w:tblLook w:val="04A0"/>
        </w:tblPrEx>
        <w:trPr>
          <w:trHeight w:val="285"/>
        </w:trPr>
        <w:tc>
          <w:tcPr>
            <w:tcW w:w="1267" w:type="dxa"/>
            <w:tcBorders>
              <w:top w:val="nil"/>
              <w:left w:val="single" w:sz="8" w:space="0" w:color="auto"/>
              <w:bottom w:val="single" w:sz="8" w:space="0" w:color="auto"/>
              <w:right w:val="single" w:sz="8" w:space="0" w:color="auto"/>
            </w:tcBorders>
            <w:noWrap/>
            <w:textDirection w:val="lrTb"/>
            <w:vAlign w:val="bottom"/>
            <w:hideMark/>
          </w:tcPr>
          <w:p w:rsidR="00F91E33" w:rsidRPr="00CC658A" w:rsidP="00F33AD2">
            <w:pPr>
              <w:bidi w:val="0"/>
              <w:spacing w:after="0" w:line="240" w:lineRule="auto"/>
              <w:rPr>
                <w:rFonts w:ascii="Times New Roman" w:hAnsi="Times New Roman"/>
              </w:rPr>
            </w:pPr>
            <w:r w:rsidRPr="00CC658A">
              <w:rPr>
                <w:rFonts w:ascii="Times New Roman" w:hAnsi="Times New Roman"/>
              </w:rPr>
              <w:t> </w:t>
            </w:r>
          </w:p>
        </w:tc>
        <w:tc>
          <w:tcPr>
            <w:tcW w:w="870" w:type="dxa"/>
            <w:gridSpan w:val="2"/>
            <w:tcBorders>
              <w:top w:val="nil"/>
              <w:left w:val="nil"/>
              <w:bottom w:val="single" w:sz="8" w:space="0" w:color="auto"/>
              <w:right w:val="single" w:sz="8"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nad 40</w:t>
            </w:r>
          </w:p>
        </w:tc>
        <w:tc>
          <w:tcPr>
            <w:tcW w:w="1842" w:type="dxa"/>
            <w:tcBorders>
              <w:top w:val="nil"/>
              <w:left w:val="nil"/>
              <w:bottom w:val="single" w:sz="8" w:space="0" w:color="auto"/>
              <w:right w:val="single" w:sz="4" w:space="0" w:color="auto"/>
            </w:tcBorders>
            <w:noWrap/>
            <w:textDirection w:val="lrTb"/>
            <w:vAlign w:val="top"/>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 </w:t>
            </w:r>
          </w:p>
        </w:tc>
        <w:tc>
          <w:tcPr>
            <w:tcW w:w="3544" w:type="dxa"/>
            <w:tcBorders>
              <w:top w:val="nil"/>
              <w:left w:val="nil"/>
              <w:bottom w:val="single" w:sz="8" w:space="0" w:color="auto"/>
              <w:right w:val="single" w:sz="8" w:space="0" w:color="auto"/>
            </w:tcBorders>
            <w:noWrap/>
            <w:textDirection w:val="lrTb"/>
            <w:vAlign w:val="bottom"/>
            <w:hideMark/>
          </w:tcPr>
          <w:p w:rsidR="00F91E33" w:rsidRPr="00CC658A" w:rsidP="00F33AD2">
            <w:pPr>
              <w:bidi w:val="0"/>
              <w:spacing w:after="0" w:line="240" w:lineRule="auto"/>
              <w:jc w:val="center"/>
              <w:rPr>
                <w:rFonts w:ascii="Times New Roman" w:hAnsi="Times New Roman"/>
                <w:bCs/>
              </w:rPr>
            </w:pPr>
            <w:r w:rsidRPr="00CC658A">
              <w:rPr>
                <w:rFonts w:ascii="Times New Roman" w:hAnsi="Times New Roman"/>
                <w:bCs/>
              </w:rPr>
              <w:t>2 375</w:t>
            </w:r>
          </w:p>
        </w:tc>
      </w:tr>
    </w:tbl>
    <w:p w:rsidR="00F91E33" w:rsidRPr="00CC658A" w:rsidP="00F91E33">
      <w:pPr>
        <w:bidi w:val="0"/>
        <w:rPr>
          <w:rFonts w:ascii="Times New Roman" w:hAnsi="Times New Roman"/>
        </w:rPr>
      </w:pPr>
    </w:p>
    <w:p w:rsidR="00F91E33" w:rsidRPr="00CC658A" w:rsidP="00F91E33">
      <w:pPr>
        <w:bidi w:val="0"/>
        <w:jc w:val="right"/>
        <w:rPr>
          <w:rFonts w:ascii="Times New Roman" w:hAnsi="Times New Roman"/>
        </w:rPr>
      </w:pPr>
    </w:p>
    <w:p w:rsidR="00F91E33" w:rsidRPr="00CC658A" w:rsidP="00F91E33">
      <w:pPr>
        <w:bidi w:val="0"/>
        <w:rPr>
          <w:rFonts w:ascii="Times New Roman" w:hAnsi="Times New Roman"/>
        </w:rPr>
      </w:pPr>
      <w:bookmarkStart w:id="0" w:name="OLE_LINK1"/>
      <w:bookmarkStart w:id="1" w:name="OLE_LINK2"/>
      <w:r w:rsidRPr="00CC658A">
        <w:rPr>
          <w:rFonts w:ascii="Times New Roman" w:hAnsi="Times New Roman"/>
        </w:rPr>
        <w:br w:type="page"/>
      </w:r>
    </w:p>
    <w:p w:rsidR="00F91E33" w:rsidRPr="00CC658A" w:rsidP="00F91E33">
      <w:pPr>
        <w:pStyle w:val="ListParagraph"/>
        <w:bidi w:val="0"/>
        <w:contextualSpacing w:val="0"/>
        <w:jc w:val="right"/>
        <w:rPr>
          <w:rFonts w:ascii="Times New Roman" w:hAnsi="Times New Roman"/>
          <w:b/>
        </w:rPr>
      </w:pPr>
      <w:r w:rsidRPr="00CC658A">
        <w:rPr>
          <w:rFonts w:ascii="Times New Roman" w:hAnsi="Times New Roman"/>
          <w:b/>
        </w:rPr>
        <w:t>Príloha č. 2 k zákonu č. .../2014 Z. z.</w:t>
      </w:r>
    </w:p>
    <w:p w:rsidR="00F91E33" w:rsidRPr="00CC658A" w:rsidP="00F91E33">
      <w:pPr>
        <w:pStyle w:val="ListParagraph"/>
        <w:bidi w:val="0"/>
        <w:contextualSpacing w:val="0"/>
        <w:jc w:val="right"/>
        <w:rPr>
          <w:rFonts w:ascii="Times New Roman" w:hAnsi="Times New Roman"/>
        </w:rPr>
      </w:pPr>
    </w:p>
    <w:p w:rsidR="00F91E33" w:rsidRPr="00CC658A" w:rsidP="00F91E33">
      <w:pPr>
        <w:pStyle w:val="ListParagraph"/>
        <w:bidi w:val="0"/>
        <w:contextualSpacing w:val="0"/>
        <w:jc w:val="center"/>
        <w:rPr>
          <w:rFonts w:ascii="Times New Roman" w:hAnsi="Times New Roman"/>
          <w:b/>
        </w:rPr>
      </w:pPr>
      <w:r w:rsidRPr="00CC658A">
        <w:rPr>
          <w:rFonts w:ascii="Times New Roman" w:hAnsi="Times New Roman"/>
          <w:b/>
        </w:rPr>
        <w:t>Zoznam preberaných právne záväzných aktov Európskej únie</w:t>
      </w:r>
    </w:p>
    <w:p w:rsidR="00F91E33" w:rsidRPr="00CC658A" w:rsidP="00F91E33">
      <w:pPr>
        <w:pStyle w:val="ListParagraph"/>
        <w:bidi w:val="0"/>
        <w:contextualSpacing w:val="0"/>
        <w:jc w:val="center"/>
        <w:rPr>
          <w:rFonts w:ascii="Times New Roman" w:hAnsi="Times New Roman"/>
        </w:rPr>
      </w:pPr>
    </w:p>
    <w:p w:rsidR="00F91E33" w:rsidRPr="00CC658A" w:rsidP="00214D38">
      <w:pPr>
        <w:pStyle w:val="ListParagraph"/>
        <w:numPr>
          <w:numId w:val="10"/>
        </w:numPr>
        <w:bidi w:val="0"/>
        <w:contextualSpacing w:val="0"/>
        <w:jc w:val="both"/>
        <w:rPr>
          <w:rFonts w:ascii="Times New Roman" w:hAnsi="Times New Roman"/>
          <w:bCs/>
          <w:iCs/>
        </w:rPr>
      </w:pPr>
      <w:r w:rsidRPr="00CC658A">
        <w:rPr>
          <w:rFonts w:ascii="Times New Roman" w:hAnsi="Times New Roman"/>
        </w:rPr>
        <w:t>Smernica Rady 1992/106/EHS zo 7. decembra 1992 o stanovení spoločných pravidiel pre určité typy kombinovanej dopravy tovaru medzi členskými štátmi (Ú. v. ES L 368, 17.12.1992) v znení Aktu o podmienkach pristúpenia Rakúska, Švédska a Fínska (Ú. v. ES C 241, 29.8.1994),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smernice Rady 2006/103/ES z 20. novembra 2006 (</w:t>
      </w:r>
      <w:r w:rsidRPr="00CC658A">
        <w:rPr>
          <w:rFonts w:ascii="Times New Roman" w:hAnsi="Times New Roman"/>
          <w:iCs/>
        </w:rPr>
        <w:t>Ú. v. EÚ L 363, 20.12.2006) a s</w:t>
      </w:r>
      <w:r w:rsidRPr="00CC658A">
        <w:rPr>
          <w:rFonts w:ascii="Times New Roman" w:hAnsi="Times New Roman"/>
          <w:bCs/>
          <w:iCs/>
        </w:rPr>
        <w:t>mernice Rady 2013/22/EÚ z  13. mája 2013 (Ú. v. EÚ L 158, 10.06.2013).</w:t>
      </w:r>
    </w:p>
    <w:p w:rsidR="00F91E33" w:rsidRPr="00CC658A" w:rsidP="00F91E33">
      <w:pPr>
        <w:pStyle w:val="ListParagraph"/>
        <w:bidi w:val="0"/>
        <w:contextualSpacing w:val="0"/>
        <w:jc w:val="both"/>
        <w:rPr>
          <w:rFonts w:ascii="Times New Roman" w:hAnsi="Times New Roman"/>
          <w:bCs/>
          <w:iCs/>
        </w:rPr>
      </w:pPr>
    </w:p>
    <w:p w:rsidR="00F91E33" w:rsidRPr="00CC658A" w:rsidP="00214D38">
      <w:pPr>
        <w:pStyle w:val="ListParagraph"/>
        <w:numPr>
          <w:numId w:val="10"/>
        </w:numPr>
        <w:bidi w:val="0"/>
        <w:contextualSpacing w:val="0"/>
        <w:jc w:val="both"/>
        <w:rPr>
          <w:rFonts w:ascii="Times New Roman" w:hAnsi="Times New Roman"/>
        </w:rPr>
      </w:pPr>
      <w:r w:rsidRPr="00CC658A">
        <w:rPr>
          <w:rFonts w:ascii="Times New Roman" w:hAnsi="Times New Roman"/>
        </w:rPr>
        <w:t xml:space="preserve">Smernica Európskeho parlamentu a Rady 1999/62/ES zo 17. júna 1999 o poplatkoch za používanie určitej dopravnej infraštruktúry ťažkými nákladnými vozidlami (Mimoriadne vydanie Ú. v. EÚ kap. 7/zv. 4, Ú. v. ES L 187, 20.7.1999) v znení smernice Európskeho parlamentu a Rady 2006/38/ES zo 17. mája 2006 (Ú. v. EÚ L 157, 9.6.2006), smernice Rady 2006/103/ES z 20. novembra 2006 (Ú. v. EÚ L 363, 20.12.2006), smernice Európskeho parlamentu a Rady 2011/76/EÚ z 27. septembra 2011 (Ú. v. EÚ L 269, 14.10.2011) a smernice </w:t>
      </w:r>
      <w:r w:rsidRPr="00CC658A">
        <w:rPr>
          <w:rFonts w:ascii="Times New Roman" w:hAnsi="Times New Roman"/>
          <w:bCs/>
          <w:iCs/>
        </w:rPr>
        <w:t>Rady 2013/22/EÚ z  13. mája 2013 (Ú. v. EÚ L 158, 10.06.2013).</w:t>
      </w: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p>
    <w:p w:rsidR="00F91E33" w:rsidRPr="00CC658A" w:rsidP="00F91E33">
      <w:pPr>
        <w:bidi w:val="0"/>
        <w:jc w:val="both"/>
        <w:rPr>
          <w:rFonts w:ascii="Times New Roman" w:hAnsi="Times New Roman"/>
        </w:rPr>
      </w:pPr>
      <w:bookmarkEnd w:id="0"/>
      <w:bookmarkEnd w:id="1"/>
    </w:p>
    <w:p w:rsidR="00811B87" w:rsidRPr="00CC658A">
      <w:pPr>
        <w:bidi w:val="0"/>
        <w:rPr>
          <w:rFonts w:ascii="Times New Roman" w:hAnsi="Times New Roman"/>
        </w:rPr>
      </w:pPr>
    </w:p>
    <w:sectPr w:rsidSect="00A50BB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E7" w:rsidRPr="00B75CE4">
    <w:pPr>
      <w:pStyle w:val="Footer"/>
      <w:bidi w:val="0"/>
      <w:jc w:val="center"/>
      <w:rPr>
        <w:rFonts w:ascii="Arial Narrow" w:hAnsi="Arial Narrow"/>
        <w:sz w:val="22"/>
        <w:szCs w:val="22"/>
      </w:rPr>
    </w:pPr>
    <w:r w:rsidRPr="00B75CE4">
      <w:rPr>
        <w:rFonts w:ascii="Arial Narrow" w:hAnsi="Arial Narrow"/>
        <w:sz w:val="22"/>
        <w:szCs w:val="22"/>
      </w:rPr>
      <w:fldChar w:fldCharType="begin"/>
    </w:r>
    <w:r w:rsidRPr="00B75CE4">
      <w:rPr>
        <w:rFonts w:ascii="Arial Narrow" w:hAnsi="Arial Narrow"/>
        <w:sz w:val="22"/>
        <w:szCs w:val="22"/>
      </w:rPr>
      <w:instrText xml:space="preserve"> PAGE   \* MERGEFORMAT </w:instrText>
    </w:r>
    <w:r w:rsidRPr="00B75CE4">
      <w:rPr>
        <w:rFonts w:ascii="Arial Narrow" w:hAnsi="Arial Narrow"/>
        <w:sz w:val="22"/>
        <w:szCs w:val="22"/>
      </w:rPr>
      <w:fldChar w:fldCharType="separate"/>
    </w:r>
    <w:r w:rsidR="00CC658A">
      <w:rPr>
        <w:rFonts w:ascii="Arial Narrow" w:hAnsi="Arial Narrow"/>
        <w:noProof/>
        <w:sz w:val="22"/>
        <w:szCs w:val="22"/>
      </w:rPr>
      <w:t>2</w:t>
    </w:r>
    <w:r w:rsidRPr="00B75CE4">
      <w:rPr>
        <w:rFonts w:ascii="Arial Narrow" w:hAnsi="Arial Narrow"/>
        <w:sz w:val="22"/>
        <w:szCs w:val="22"/>
      </w:rPr>
      <w:fldChar w:fldCharType="end"/>
    </w:r>
  </w:p>
  <w:p w:rsidR="00BC47E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38" w:rsidP="00F91E33">
      <w:pPr>
        <w:bidi w:val="0"/>
        <w:rPr>
          <w:rFonts w:ascii="Times New Roman" w:hAnsi="Times New Roman"/>
        </w:rPr>
      </w:pPr>
      <w:r>
        <w:rPr>
          <w:rFonts w:ascii="Times New Roman" w:hAnsi="Times New Roman"/>
        </w:rPr>
        <w:separator/>
      </w:r>
    </w:p>
  </w:footnote>
  <w:footnote w:type="continuationSeparator" w:id="1">
    <w:p w:rsidR="00214D38" w:rsidP="00F91E33">
      <w:pPr>
        <w:bidi w:val="0"/>
        <w:rPr>
          <w:rFonts w:ascii="Times New Roman" w:hAnsi="Times New Roman"/>
        </w:rPr>
      </w:pPr>
      <w:r>
        <w:rPr>
          <w:rFonts w:ascii="Times New Roman" w:hAnsi="Times New Roman"/>
        </w:rPr>
        <w:continuationSeparator/>
      </w:r>
    </w:p>
  </w:footnote>
  <w:footnote w:id="2">
    <w:p w:rsidR="00F91E33" w:rsidP="00F91E33">
      <w:pPr>
        <w:pStyle w:val="FootnoteText"/>
        <w:bidi w:val="0"/>
        <w:ind w:left="284" w:hanging="284"/>
        <w:jc w:val="both"/>
        <w:rPr>
          <w:rFonts w:ascii="Times New Roman" w:hAnsi="Times New Roman"/>
          <w:sz w:val="24"/>
          <w:szCs w:val="24"/>
        </w:rPr>
      </w:pPr>
      <w:r w:rsidRPr="00B40C20">
        <w:rPr>
          <w:rStyle w:val="FootnoteReference"/>
          <w:rFonts w:ascii="Times New Roman" w:hAnsi="Times New Roman"/>
          <w:sz w:val="24"/>
          <w:szCs w:val="24"/>
        </w:rPr>
        <w:footnoteRef/>
      </w:r>
      <w:r w:rsidRPr="00B40C20">
        <w:rPr>
          <w:rFonts w:ascii="Times New Roman" w:hAnsi="Times New Roman"/>
          <w:sz w:val="24"/>
          <w:szCs w:val="24"/>
        </w:rPr>
        <w:t xml:space="preserve">) </w:t>
      </w:r>
      <w:r>
        <w:rPr>
          <w:rFonts w:ascii="Times New Roman" w:hAnsi="Times New Roman"/>
          <w:sz w:val="24"/>
          <w:szCs w:val="24"/>
        </w:rPr>
        <w:t>P</w:t>
      </w:r>
      <w:r w:rsidRPr="00B40C20">
        <w:rPr>
          <w:rFonts w:ascii="Times New Roman" w:hAnsi="Times New Roman"/>
          <w:sz w:val="24"/>
          <w:szCs w:val="24"/>
        </w:rPr>
        <w:t xml:space="preserve">ríloha č. 1 </w:t>
      </w:r>
      <w:r>
        <w:rPr>
          <w:rFonts w:ascii="Times New Roman" w:hAnsi="Times New Roman"/>
          <w:sz w:val="24"/>
          <w:szCs w:val="24"/>
        </w:rPr>
        <w:t>k zákonu</w:t>
      </w:r>
      <w:r w:rsidRPr="00B40C20">
        <w:rPr>
          <w:rFonts w:ascii="Times New Roman" w:hAnsi="Times New Roman"/>
          <w:sz w:val="24"/>
          <w:szCs w:val="24"/>
        </w:rPr>
        <w:t xml:space="preserve"> č. 725/2004 Z. z. o podmienkach prevádzky vozidiel v premávke na pozemných komunikáciách a o zmene a doplnení niektorých zákonov. </w:t>
      </w:r>
    </w:p>
    <w:p w:rsidR="00F91E33" w:rsidRPr="00CC658A" w:rsidP="00F91E33">
      <w:pPr>
        <w:pStyle w:val="FootnoteText"/>
        <w:bidi w:val="0"/>
        <w:ind w:left="284"/>
        <w:jc w:val="both"/>
        <w:rPr>
          <w:rFonts w:ascii="Times New Roman" w:hAnsi="Times New Roman"/>
          <w:sz w:val="24"/>
          <w:szCs w:val="24"/>
        </w:rPr>
      </w:pPr>
      <w:r w:rsidRPr="00CC658A">
        <w:rPr>
          <w:rStyle w:val="ppp-input-value1"/>
          <w:rFonts w:ascii="Times New Roman" w:hAnsi="Times New Roman"/>
          <w:color w:val="auto"/>
          <w:sz w:val="24"/>
          <w:szCs w:val="16"/>
        </w:rPr>
        <w:t>Príloha č. 1 k nariadeniu vlády Slovenskej republiky č. 140/2009 Z. z., ktorým sa ustanovujú podrobnosti o typovom schvaľovaní motorových vozidiel a ich prípojných vozidiel, systémov, komponentov a samostatných technických jednotiek určených pre tieto vozidlá v znení neskorších predpisov.</w:t>
      </w:r>
    </w:p>
    <w:p w:rsidP="00F91E33">
      <w:pPr>
        <w:bidi w:val="0"/>
        <w:ind w:left="284"/>
        <w:jc w:val="both"/>
        <w:rPr>
          <w:rFonts w:ascii="Times New Roman" w:hAnsi="Times New Roman"/>
        </w:rPr>
      </w:pPr>
      <w:r w:rsidRPr="00796AC8" w:rsidR="00F91E33">
        <w:rPr>
          <w:rFonts w:ascii="Times New Roman" w:hAnsi="Times New Roman"/>
        </w:rPr>
        <w:t>Čl</w:t>
      </w:r>
      <w:r w:rsidR="00F91E33">
        <w:rPr>
          <w:rFonts w:ascii="Times New Roman" w:hAnsi="Times New Roman"/>
        </w:rPr>
        <w:t>.</w:t>
      </w:r>
      <w:r w:rsidRPr="00796AC8" w:rsidR="00F91E33">
        <w:rPr>
          <w:rFonts w:ascii="Times New Roman" w:hAnsi="Times New Roman"/>
        </w:rPr>
        <w:t xml:space="preserve"> 4 nariadenia Európskeho parlamentu a Rady (EÚ) č. 168/2013 z 15. januára 2013 o schvaľovaní a dohľade nad trhom dvoj- alebo trojkolesových vozidiel a štvorkoliek (Ú. v. EÚ L 60, 2.3.2013).</w:t>
      </w:r>
    </w:p>
  </w:footnote>
  <w:footnote w:id="3">
    <w:p w:rsidP="00F91E33">
      <w:pPr>
        <w:pStyle w:val="FootnoteText"/>
        <w:bidi w:val="0"/>
        <w:ind w:left="284" w:hanging="284"/>
        <w:jc w:val="both"/>
        <w:rPr>
          <w:rFonts w:ascii="Times New Roman" w:hAnsi="Times New Roman"/>
        </w:rPr>
      </w:pPr>
      <w:r w:rsidRPr="00B40C20" w:rsidR="00F91E33">
        <w:rPr>
          <w:rStyle w:val="FootnoteReference"/>
          <w:rFonts w:ascii="Times New Roman" w:hAnsi="Times New Roman"/>
          <w:sz w:val="24"/>
          <w:szCs w:val="24"/>
        </w:rPr>
        <w:footnoteRef/>
      </w:r>
      <w:r w:rsidRPr="00B40C20" w:rsidR="00F91E33">
        <w:rPr>
          <w:rFonts w:ascii="Times New Roman" w:hAnsi="Times New Roman"/>
          <w:sz w:val="24"/>
          <w:szCs w:val="24"/>
        </w:rPr>
        <w:t>) § 114 a 115 zákona č. 8/2009 Z. z. o cestnej premávke a o zmene a doplnení niektorých zákonov v znení neskorších predpisov.</w:t>
      </w:r>
    </w:p>
  </w:footnote>
  <w:footnote w:id="4">
    <w:p w:rsidR="00F91E33" w:rsidRPr="00B40C20" w:rsidP="00F91E33">
      <w:pPr>
        <w:pStyle w:val="FootnoteText"/>
        <w:bidi w:val="0"/>
        <w:rPr>
          <w:rFonts w:ascii="Times New Roman" w:hAnsi="Times New Roman"/>
          <w:sz w:val="24"/>
          <w:szCs w:val="24"/>
        </w:rPr>
      </w:pPr>
      <w:r w:rsidRPr="00B40C20">
        <w:rPr>
          <w:rStyle w:val="FootnoteReference"/>
          <w:rFonts w:ascii="Times New Roman" w:hAnsi="Times New Roman"/>
          <w:sz w:val="24"/>
          <w:szCs w:val="24"/>
        </w:rPr>
        <w:footnoteRef/>
      </w:r>
      <w:r w:rsidRPr="00B40C20">
        <w:rPr>
          <w:rFonts w:ascii="Times New Roman" w:hAnsi="Times New Roman"/>
          <w:sz w:val="24"/>
          <w:szCs w:val="24"/>
        </w:rPr>
        <w:t>) § 2 Obchodného zákonníka v znení neskorších predpisov.</w:t>
      </w:r>
    </w:p>
    <w:p w:rsidP="00F91E33">
      <w:pPr>
        <w:pStyle w:val="FootnoteText"/>
        <w:bidi w:val="0"/>
        <w:rPr>
          <w:rFonts w:ascii="Times New Roman" w:hAnsi="Times New Roman"/>
        </w:rPr>
      </w:pPr>
      <w:r w:rsidR="00F91E33">
        <w:rPr>
          <w:rFonts w:ascii="Times New Roman" w:hAnsi="Times New Roman"/>
          <w:sz w:val="24"/>
          <w:szCs w:val="24"/>
        </w:rPr>
        <w:t xml:space="preserve">    </w:t>
      </w:r>
      <w:r w:rsidRPr="00B40C20" w:rsidR="00F91E33">
        <w:rPr>
          <w:rFonts w:ascii="Times New Roman" w:hAnsi="Times New Roman"/>
          <w:sz w:val="24"/>
          <w:szCs w:val="24"/>
        </w:rPr>
        <w:t>§ 6 ods. 1 zákona č. 595/2003 Z. z. o dani z príjmov.</w:t>
      </w:r>
    </w:p>
  </w:footnote>
  <w:footnote w:id="5">
    <w:p w:rsidP="00F91E33">
      <w:pPr>
        <w:pStyle w:val="FootnoteText"/>
        <w:bidi w:val="0"/>
        <w:rPr>
          <w:rFonts w:ascii="Times New Roman" w:hAnsi="Times New Roman"/>
        </w:rPr>
      </w:pPr>
      <w:r w:rsidRPr="00B40C20" w:rsidR="00F91E33">
        <w:rPr>
          <w:rStyle w:val="FootnoteReference"/>
          <w:rFonts w:ascii="Times New Roman" w:hAnsi="Times New Roman"/>
          <w:sz w:val="24"/>
          <w:szCs w:val="24"/>
        </w:rPr>
        <w:footnoteRef/>
      </w:r>
      <w:r w:rsidRPr="00B40C20" w:rsidR="00F91E33">
        <w:rPr>
          <w:rFonts w:ascii="Times New Roman" w:hAnsi="Times New Roman"/>
          <w:sz w:val="24"/>
          <w:szCs w:val="24"/>
        </w:rPr>
        <w:t>) § 6 ods. 2 zákona č. 595/2003 Z. z. v znení neskorších predpisov.</w:t>
      </w:r>
    </w:p>
  </w:footnote>
  <w:footnote w:id="6">
    <w:p w:rsidP="00F91E33">
      <w:pPr>
        <w:pStyle w:val="FootnoteText"/>
        <w:bidi w:val="0"/>
        <w:rPr>
          <w:rFonts w:ascii="Times New Roman" w:hAnsi="Times New Roman"/>
        </w:rPr>
      </w:pPr>
      <w:r w:rsidRPr="00B40C20" w:rsidR="00F91E33">
        <w:rPr>
          <w:rStyle w:val="FootnoteReference"/>
          <w:rFonts w:ascii="Times New Roman" w:hAnsi="Times New Roman"/>
          <w:sz w:val="24"/>
          <w:szCs w:val="24"/>
        </w:rPr>
        <w:footnoteRef/>
      </w:r>
      <w:r w:rsidRPr="00B40C20" w:rsidR="00F91E33">
        <w:rPr>
          <w:rFonts w:ascii="Times New Roman" w:hAnsi="Times New Roman"/>
          <w:sz w:val="24"/>
          <w:szCs w:val="24"/>
        </w:rPr>
        <w:t>) § 127 ods. 6 zákona č. 8/2009 Z. z.</w:t>
      </w:r>
    </w:p>
  </w:footnote>
  <w:footnote w:id="7">
    <w:p w:rsidP="00F91E33">
      <w:pPr>
        <w:pStyle w:val="FootnoteText"/>
        <w:bidi w:val="0"/>
        <w:rPr>
          <w:rFonts w:ascii="Times New Roman" w:hAnsi="Times New Roman"/>
        </w:rPr>
      </w:pPr>
      <w:r w:rsidRPr="00B31A8A" w:rsidR="00F91E33">
        <w:rPr>
          <w:rStyle w:val="FootnoteReference"/>
          <w:rFonts w:ascii="Times New Roman" w:hAnsi="Times New Roman"/>
          <w:sz w:val="24"/>
          <w:szCs w:val="24"/>
        </w:rPr>
        <w:footnoteRef/>
      </w:r>
      <w:r w:rsidRPr="00B31A8A" w:rsidR="00F91E33">
        <w:rPr>
          <w:rFonts w:ascii="Times New Roman" w:hAnsi="Times New Roman"/>
          <w:sz w:val="24"/>
          <w:szCs w:val="24"/>
        </w:rPr>
        <w:t>) § 23 a § 112e ods. 1 zákona č. 725/2004 Z. z.</w:t>
      </w:r>
      <w:r w:rsidR="00F91E33">
        <w:rPr>
          <w:rFonts w:ascii="Times New Roman" w:hAnsi="Times New Roman"/>
          <w:sz w:val="24"/>
          <w:szCs w:val="24"/>
        </w:rPr>
        <w:t xml:space="preserve"> v znení neskorších predpisov. </w:t>
      </w:r>
    </w:p>
  </w:footnote>
  <w:footnote w:id="8">
    <w:p w:rsidP="00F91E33">
      <w:pPr>
        <w:bidi w:val="0"/>
        <w:rPr>
          <w:rFonts w:ascii="Times New Roman" w:hAnsi="Times New Roman"/>
        </w:rPr>
      </w:pPr>
      <w:r w:rsidRPr="00B40C20" w:rsidR="00F91E33">
        <w:rPr>
          <w:rStyle w:val="FootnoteReference"/>
          <w:rFonts w:ascii="Times New Roman" w:hAnsi="Times New Roman"/>
        </w:rPr>
        <w:footnoteRef/>
      </w:r>
      <w:r w:rsidRPr="00B40C20" w:rsidR="00F91E33">
        <w:rPr>
          <w:rFonts w:ascii="Times New Roman" w:hAnsi="Times New Roman"/>
        </w:rPr>
        <w:t>) § 21 zákona č. 56/2012 Z. z. o cestnej doprave</w:t>
      </w:r>
      <w:r w:rsidRPr="00B40C20" w:rsidR="00F91E33">
        <w:rPr>
          <w:rFonts w:ascii="Times New Roman" w:hAnsi="Times New Roman"/>
          <w:color w:val="1F497D"/>
        </w:rPr>
        <w:t>.</w:t>
      </w:r>
    </w:p>
  </w:footnote>
  <w:footnote w:id="9">
    <w:p w:rsidP="00F91E33">
      <w:pPr>
        <w:pStyle w:val="FootnoteText"/>
        <w:bidi w:val="0"/>
        <w:jc w:val="both"/>
        <w:rPr>
          <w:rFonts w:ascii="Times New Roman" w:hAnsi="Times New Roman"/>
        </w:rPr>
      </w:pPr>
      <w:r w:rsidRPr="00FC6E4A" w:rsidR="00F91E33">
        <w:rPr>
          <w:rStyle w:val="FootnoteReference"/>
          <w:rFonts w:ascii="Times New Roman" w:hAnsi="Times New Roman"/>
          <w:sz w:val="24"/>
          <w:szCs w:val="24"/>
        </w:rPr>
        <w:footnoteRef/>
      </w:r>
      <w:r w:rsidRPr="00FC6E4A" w:rsidR="00F91E33">
        <w:rPr>
          <w:rFonts w:ascii="Times New Roman" w:hAnsi="Times New Roman"/>
          <w:sz w:val="24"/>
          <w:szCs w:val="24"/>
        </w:rPr>
        <w:t>) § 3 písm. i) a j) nariadenia vlády Slovenskej republiky č. 140/2009 Z. z.</w:t>
      </w:r>
    </w:p>
  </w:footnote>
  <w:footnote w:id="10">
    <w:p w:rsidR="00F91E33" w:rsidRPr="009B554F" w:rsidP="00F91E33">
      <w:pPr>
        <w:pStyle w:val="FootnoteText"/>
        <w:bidi w:val="0"/>
        <w:ind w:left="284" w:hanging="284"/>
        <w:jc w:val="both"/>
        <w:rPr>
          <w:rFonts w:ascii="Times New Roman" w:hAnsi="Times New Roman"/>
          <w:sz w:val="24"/>
          <w:szCs w:val="24"/>
        </w:rPr>
      </w:pPr>
      <w:r w:rsidRPr="00FC6E4A">
        <w:rPr>
          <w:rStyle w:val="FootnoteReference"/>
          <w:rFonts w:ascii="Times New Roman" w:hAnsi="Times New Roman"/>
          <w:sz w:val="24"/>
          <w:szCs w:val="24"/>
        </w:rPr>
        <w:footnoteRef/>
      </w:r>
      <w:r w:rsidRPr="00FC6E4A">
        <w:rPr>
          <w:rFonts w:ascii="Times New Roman" w:hAnsi="Times New Roman"/>
          <w:sz w:val="24"/>
          <w:szCs w:val="24"/>
        </w:rPr>
        <w:t xml:space="preserve">) </w:t>
      </w:r>
      <w:r w:rsidRPr="005F3ABA">
        <w:rPr>
          <w:rFonts w:ascii="Times New Roman" w:hAnsi="Times New Roman"/>
          <w:sz w:val="24"/>
          <w:szCs w:val="24"/>
        </w:rPr>
        <w:t>Dohoda o prijatí jednotných podmienok pre homologáciu (overovanie zhodnosti) a</w:t>
      </w:r>
      <w:r>
        <w:rPr>
          <w:rFonts w:ascii="Times New Roman" w:hAnsi="Times New Roman"/>
          <w:sz w:val="24"/>
          <w:szCs w:val="24"/>
        </w:rPr>
        <w:t xml:space="preserve"> o </w:t>
      </w:r>
      <w:r w:rsidRPr="005F3ABA">
        <w:rPr>
          <w:rFonts w:ascii="Times New Roman" w:hAnsi="Times New Roman"/>
          <w:sz w:val="24"/>
          <w:szCs w:val="24"/>
        </w:rPr>
        <w:t xml:space="preserve">vzájomnom uznávaní homologácie výstroja a súčastí motorových vozidiel (vyhláška ministra zahraničných vecí č. 176/1960 Zb.). </w:t>
      </w:r>
    </w:p>
    <w:p w:rsidR="00F91E33" w:rsidRPr="009B554F" w:rsidP="00F91E33">
      <w:pPr>
        <w:pStyle w:val="FootnoteText"/>
        <w:bidi w:val="0"/>
        <w:ind w:left="284"/>
        <w:jc w:val="both"/>
        <w:rPr>
          <w:rFonts w:ascii="Times New Roman" w:hAnsi="Times New Roman"/>
          <w:sz w:val="24"/>
          <w:szCs w:val="24"/>
        </w:rPr>
      </w:pPr>
      <w:r w:rsidRPr="009B554F">
        <w:rPr>
          <w:rFonts w:ascii="Times New Roman" w:hAnsi="Times New Roman"/>
          <w:sz w:val="24"/>
          <w:szCs w:val="24"/>
        </w:rPr>
        <w:t>Oznámenie Ministerstva zahraničných vecí Slovenskej republiky č. 245/1996 Z. z. o uskutočnení notifikácie sukcesie Slovenskej republiky do Dohody o prijatí jednotných podmienok pre homologáciu (overovanie zhodnosti) a vzájomnom uznávaní homologácie výstroja a súčastí motorových vozidiel.</w:t>
      </w:r>
    </w:p>
    <w:p w:rsidP="00F91E33">
      <w:pPr>
        <w:pStyle w:val="FootnoteText"/>
        <w:bidi w:val="0"/>
        <w:ind w:left="284"/>
        <w:jc w:val="both"/>
        <w:rPr>
          <w:rFonts w:ascii="Times New Roman" w:hAnsi="Times New Roman"/>
        </w:rPr>
      </w:pPr>
      <w:r w:rsidRPr="00CC658A" w:rsidR="00F91E33">
        <w:rPr>
          <w:rStyle w:val="Strong"/>
          <w:rFonts w:ascii="Times New Roman" w:eastAsia="Calibri" w:hAnsi="Times New Roman" w:hint="default"/>
          <w:b w:val="0"/>
          <w:bCs/>
          <w:sz w:val="24"/>
          <w:szCs w:val="24"/>
        </w:rPr>
        <w:t>Predpis Euró</w:t>
      </w:r>
      <w:r w:rsidRPr="00CC658A" w:rsidR="00F91E33">
        <w:rPr>
          <w:rStyle w:val="Strong"/>
          <w:rFonts w:ascii="Times New Roman" w:eastAsia="Calibri" w:hAnsi="Times New Roman" w:hint="default"/>
          <w:b w:val="0"/>
          <w:bCs/>
          <w:sz w:val="24"/>
          <w:szCs w:val="24"/>
        </w:rPr>
        <w:t>pskej hospodá</w:t>
      </w:r>
      <w:r w:rsidRPr="00CC658A" w:rsidR="00F91E33">
        <w:rPr>
          <w:rStyle w:val="Strong"/>
          <w:rFonts w:ascii="Times New Roman" w:eastAsia="Calibri" w:hAnsi="Times New Roman" w:hint="default"/>
          <w:b w:val="0"/>
          <w:bCs/>
          <w:sz w:val="24"/>
          <w:szCs w:val="24"/>
        </w:rPr>
        <w:t>rskej k</w:t>
      </w:r>
      <w:r w:rsidRPr="00CC658A" w:rsidR="00F91E33">
        <w:rPr>
          <w:rStyle w:val="Strong"/>
          <w:rFonts w:ascii="Times New Roman" w:eastAsia="Calibri" w:hAnsi="Times New Roman" w:hint="default"/>
          <w:b w:val="0"/>
          <w:bCs/>
          <w:sz w:val="24"/>
          <w:szCs w:val="24"/>
        </w:rPr>
        <w:t>omisie Organizá</w:t>
      </w:r>
      <w:r w:rsidRPr="00CC658A" w:rsidR="00F91E33">
        <w:rPr>
          <w:rStyle w:val="Strong"/>
          <w:rFonts w:ascii="Times New Roman" w:eastAsia="Calibri" w:hAnsi="Times New Roman" w:hint="default"/>
          <w:b w:val="0"/>
          <w:bCs/>
          <w:sz w:val="24"/>
          <w:szCs w:val="24"/>
        </w:rPr>
        <w:t>cie Spojený</w:t>
      </w:r>
      <w:r w:rsidRPr="00CC658A" w:rsidR="00F91E33">
        <w:rPr>
          <w:rStyle w:val="Strong"/>
          <w:rFonts w:ascii="Times New Roman" w:eastAsia="Calibri" w:hAnsi="Times New Roman" w:hint="default"/>
          <w:b w:val="0"/>
          <w:bCs/>
          <w:sz w:val="24"/>
          <w:szCs w:val="24"/>
        </w:rPr>
        <w:t>ch ná</w:t>
      </w:r>
      <w:r w:rsidRPr="00CC658A" w:rsidR="00F91E33">
        <w:rPr>
          <w:rStyle w:val="Strong"/>
          <w:rFonts w:ascii="Times New Roman" w:eastAsia="Calibri" w:hAnsi="Times New Roman" w:hint="default"/>
          <w:b w:val="0"/>
          <w:bCs/>
          <w:sz w:val="24"/>
          <w:szCs w:val="24"/>
        </w:rPr>
        <w:t>rodov (EHK OSN) č</w:t>
      </w:r>
      <w:r w:rsidRPr="00CC658A" w:rsidR="00F91E33">
        <w:rPr>
          <w:rStyle w:val="Strong"/>
          <w:rFonts w:ascii="Times New Roman" w:eastAsia="Calibri" w:hAnsi="Times New Roman" w:hint="default"/>
          <w:b w:val="0"/>
          <w:bCs/>
          <w:sz w:val="24"/>
          <w:szCs w:val="24"/>
        </w:rPr>
        <w:t xml:space="preserve">. 110 </w:t>
      </w:r>
      <w:r w:rsidRPr="00CC658A" w:rsidR="00F91E33">
        <w:rPr>
          <w:rStyle w:val="Strong"/>
          <w:rFonts w:ascii="Times New Roman" w:eastAsia="Calibri" w:hAnsi="Times New Roman" w:hint="default"/>
          <w:b w:val="0"/>
          <w:bCs/>
          <w:sz w:val="24"/>
          <w:szCs w:val="24"/>
        </w:rPr>
        <w:t>–</w:t>
      </w:r>
      <w:r w:rsidRPr="00CC658A" w:rsidR="00F91E33">
        <w:rPr>
          <w:rStyle w:val="Strong"/>
          <w:rFonts w:ascii="Times New Roman" w:eastAsia="Calibri" w:hAnsi="Times New Roman" w:hint="default"/>
          <w:b w:val="0"/>
          <w:bCs/>
          <w:sz w:val="24"/>
          <w:szCs w:val="24"/>
        </w:rPr>
        <w:t xml:space="preserve"> Jednotné</w:t>
      </w:r>
      <w:r w:rsidRPr="00CC658A" w:rsidR="00F91E33">
        <w:rPr>
          <w:rStyle w:val="Strong"/>
          <w:rFonts w:ascii="Times New Roman" w:eastAsia="Calibri" w:hAnsi="Times New Roman" w:hint="default"/>
          <w:b w:val="0"/>
          <w:bCs/>
          <w:sz w:val="24"/>
          <w:szCs w:val="24"/>
        </w:rPr>
        <w:t xml:space="preserve"> ustanovenia o typovom schvaľ</w:t>
      </w:r>
      <w:r w:rsidRPr="00CC658A" w:rsidR="00F91E33">
        <w:rPr>
          <w:rStyle w:val="Strong"/>
          <w:rFonts w:ascii="Times New Roman" w:eastAsia="Calibri" w:hAnsi="Times New Roman" w:hint="default"/>
          <w:b w:val="0"/>
          <w:bCs/>
          <w:sz w:val="24"/>
          <w:szCs w:val="24"/>
        </w:rPr>
        <w:t>ovaní</w:t>
      </w:r>
      <w:r w:rsidRPr="00CC658A" w:rsidR="00F91E33">
        <w:rPr>
          <w:rStyle w:val="Strong"/>
          <w:rFonts w:ascii="Times New Roman" w:eastAsia="Calibri" w:hAnsi="Times New Roman" w:hint="default"/>
          <w:b w:val="0"/>
          <w:bCs/>
          <w:sz w:val="24"/>
          <w:szCs w:val="24"/>
        </w:rPr>
        <w:t xml:space="preserve"> I. š</w:t>
      </w:r>
      <w:r w:rsidRPr="00CC658A" w:rsidR="00F91E33">
        <w:rPr>
          <w:rStyle w:val="Strong"/>
          <w:rFonts w:ascii="Times New Roman" w:eastAsia="Calibri" w:hAnsi="Times New Roman" w:hint="default"/>
          <w:b w:val="0"/>
          <w:bCs/>
          <w:sz w:val="24"/>
          <w:szCs w:val="24"/>
        </w:rPr>
        <w:t>pecifický</w:t>
      </w:r>
      <w:r w:rsidRPr="00CC658A" w:rsidR="00F91E33">
        <w:rPr>
          <w:rStyle w:val="Strong"/>
          <w:rFonts w:ascii="Times New Roman" w:eastAsia="Calibri" w:hAnsi="Times New Roman" w:hint="default"/>
          <w:b w:val="0"/>
          <w:bCs/>
          <w:sz w:val="24"/>
          <w:szCs w:val="24"/>
        </w:rPr>
        <w:t>ch súč</w:t>
      </w:r>
      <w:r w:rsidRPr="00CC658A" w:rsidR="00F91E33">
        <w:rPr>
          <w:rStyle w:val="Strong"/>
          <w:rFonts w:ascii="Times New Roman" w:eastAsia="Calibri" w:hAnsi="Times New Roman" w:hint="default"/>
          <w:b w:val="0"/>
          <w:bCs/>
          <w:sz w:val="24"/>
          <w:szCs w:val="24"/>
        </w:rPr>
        <w:t>astí</w:t>
      </w:r>
      <w:r w:rsidRPr="00CC658A" w:rsidR="00F91E33">
        <w:rPr>
          <w:rStyle w:val="Strong"/>
          <w:rFonts w:ascii="Times New Roman" w:eastAsia="Calibri" w:hAnsi="Times New Roman" w:hint="default"/>
          <w:b w:val="0"/>
          <w:bCs/>
          <w:sz w:val="24"/>
          <w:szCs w:val="24"/>
        </w:rPr>
        <w:t xml:space="preserve"> motorový</w:t>
      </w:r>
      <w:r w:rsidRPr="00CC658A" w:rsidR="00F91E33">
        <w:rPr>
          <w:rStyle w:val="Strong"/>
          <w:rFonts w:ascii="Times New Roman" w:eastAsia="Calibri" w:hAnsi="Times New Roman" w:hint="default"/>
          <w:b w:val="0"/>
          <w:bCs/>
          <w:sz w:val="24"/>
          <w:szCs w:val="24"/>
        </w:rPr>
        <w:t>ch vozidiel použí</w:t>
      </w:r>
      <w:r w:rsidRPr="00CC658A" w:rsidR="00F91E33">
        <w:rPr>
          <w:rStyle w:val="Strong"/>
          <w:rFonts w:ascii="Times New Roman" w:eastAsia="Calibri" w:hAnsi="Times New Roman" w:hint="default"/>
          <w:b w:val="0"/>
          <w:bCs/>
          <w:sz w:val="24"/>
          <w:szCs w:val="24"/>
        </w:rPr>
        <w:t>vajú</w:t>
      </w:r>
      <w:r w:rsidRPr="00CC658A" w:rsidR="00F91E33">
        <w:rPr>
          <w:rStyle w:val="Strong"/>
          <w:rFonts w:ascii="Times New Roman" w:eastAsia="Calibri" w:hAnsi="Times New Roman" w:hint="default"/>
          <w:b w:val="0"/>
          <w:bCs/>
          <w:sz w:val="24"/>
          <w:szCs w:val="24"/>
        </w:rPr>
        <w:t>cich stlač</w:t>
      </w:r>
      <w:r w:rsidRPr="00CC658A" w:rsidR="00F91E33">
        <w:rPr>
          <w:rStyle w:val="Strong"/>
          <w:rFonts w:ascii="Times New Roman" w:eastAsia="Calibri" w:hAnsi="Times New Roman" w:hint="default"/>
          <w:b w:val="0"/>
          <w:bCs/>
          <w:sz w:val="24"/>
          <w:szCs w:val="24"/>
        </w:rPr>
        <w:t>ený</w:t>
      </w:r>
      <w:r w:rsidRPr="00CC658A" w:rsidR="00F91E33">
        <w:rPr>
          <w:rStyle w:val="Strong"/>
          <w:rFonts w:ascii="Times New Roman" w:eastAsia="Calibri" w:hAnsi="Times New Roman" w:hint="default"/>
          <w:b w:val="0"/>
          <w:bCs/>
          <w:sz w:val="24"/>
          <w:szCs w:val="24"/>
        </w:rPr>
        <w:t xml:space="preserve"> zemný</w:t>
      </w:r>
      <w:r w:rsidRPr="00CC658A" w:rsidR="00F91E33">
        <w:rPr>
          <w:rStyle w:val="Strong"/>
          <w:rFonts w:ascii="Times New Roman" w:eastAsia="Calibri" w:hAnsi="Times New Roman" w:hint="default"/>
          <w:b w:val="0"/>
          <w:bCs/>
          <w:sz w:val="24"/>
          <w:szCs w:val="24"/>
        </w:rPr>
        <w:t xml:space="preserve"> plyn (CNG) v svojich pohonný</w:t>
      </w:r>
      <w:r w:rsidRPr="00CC658A" w:rsidR="00F91E33">
        <w:rPr>
          <w:rStyle w:val="Strong"/>
          <w:rFonts w:ascii="Times New Roman" w:eastAsia="Calibri" w:hAnsi="Times New Roman" w:hint="default"/>
          <w:b w:val="0"/>
          <w:bCs/>
          <w:sz w:val="24"/>
          <w:szCs w:val="24"/>
        </w:rPr>
        <w:t>ch systé</w:t>
      </w:r>
      <w:r w:rsidRPr="00CC658A" w:rsidR="00F91E33">
        <w:rPr>
          <w:rStyle w:val="Strong"/>
          <w:rFonts w:ascii="Times New Roman" w:eastAsia="Calibri" w:hAnsi="Times New Roman" w:hint="default"/>
          <w:b w:val="0"/>
          <w:bCs/>
          <w:sz w:val="24"/>
          <w:szCs w:val="24"/>
        </w:rPr>
        <w:t xml:space="preserve">moch; </w:t>
      </w:r>
      <w:r w:rsidRPr="00CC658A" w:rsidR="00F91E33">
        <w:rPr>
          <w:rStyle w:val="Strong"/>
          <w:rFonts w:ascii="Times New Roman" w:eastAsia="Calibri" w:hAnsi="Times New Roman" w:hint="default"/>
          <w:b w:val="0"/>
          <w:bCs/>
          <w:sz w:val="24"/>
          <w:szCs w:val="24"/>
        </w:rPr>
        <w:t>–</w:t>
      </w:r>
      <w:r w:rsidRPr="00CC658A" w:rsidR="00F91E33">
        <w:rPr>
          <w:rStyle w:val="Strong"/>
          <w:rFonts w:ascii="Times New Roman" w:eastAsia="Calibri" w:hAnsi="Times New Roman" w:hint="default"/>
          <w:b w:val="0"/>
          <w:bCs/>
          <w:sz w:val="24"/>
          <w:szCs w:val="24"/>
        </w:rPr>
        <w:t xml:space="preserve"> II. vozidiel vzhľ</w:t>
      </w:r>
      <w:r w:rsidRPr="00CC658A" w:rsidR="00F91E33">
        <w:rPr>
          <w:rStyle w:val="Strong"/>
          <w:rFonts w:ascii="Times New Roman" w:eastAsia="Calibri" w:hAnsi="Times New Roman" w:hint="default"/>
          <w:b w:val="0"/>
          <w:bCs/>
          <w:sz w:val="24"/>
          <w:szCs w:val="24"/>
        </w:rPr>
        <w:t>adom na inš</w:t>
      </w:r>
      <w:r w:rsidRPr="00CC658A" w:rsidR="00F91E33">
        <w:rPr>
          <w:rStyle w:val="Strong"/>
          <w:rFonts w:ascii="Times New Roman" w:eastAsia="Calibri" w:hAnsi="Times New Roman" w:hint="default"/>
          <w:b w:val="0"/>
          <w:bCs/>
          <w:sz w:val="24"/>
          <w:szCs w:val="24"/>
        </w:rPr>
        <w:t>talá</w:t>
      </w:r>
      <w:r w:rsidRPr="00CC658A" w:rsidR="00F91E33">
        <w:rPr>
          <w:rStyle w:val="Strong"/>
          <w:rFonts w:ascii="Times New Roman" w:eastAsia="Calibri" w:hAnsi="Times New Roman" w:hint="default"/>
          <w:b w:val="0"/>
          <w:bCs/>
          <w:sz w:val="24"/>
          <w:szCs w:val="24"/>
        </w:rPr>
        <w:t>ciu š</w:t>
      </w:r>
      <w:r w:rsidRPr="00CC658A" w:rsidR="00F91E33">
        <w:rPr>
          <w:rStyle w:val="Strong"/>
          <w:rFonts w:ascii="Times New Roman" w:eastAsia="Calibri" w:hAnsi="Times New Roman" w:hint="default"/>
          <w:b w:val="0"/>
          <w:bCs/>
          <w:sz w:val="24"/>
          <w:szCs w:val="24"/>
        </w:rPr>
        <w:t>pe</w:t>
      </w:r>
      <w:r w:rsidRPr="00CC658A" w:rsidR="00F91E33">
        <w:rPr>
          <w:rStyle w:val="Strong"/>
          <w:rFonts w:ascii="Times New Roman" w:eastAsia="Calibri" w:hAnsi="Times New Roman" w:hint="default"/>
          <w:b w:val="0"/>
          <w:bCs/>
          <w:sz w:val="24"/>
          <w:szCs w:val="24"/>
        </w:rPr>
        <w:t>c</w:t>
      </w:r>
      <w:r w:rsidRPr="00CC658A" w:rsidR="00F91E33">
        <w:rPr>
          <w:rStyle w:val="Strong"/>
          <w:rFonts w:ascii="Times New Roman" w:eastAsia="Calibri" w:hAnsi="Times New Roman" w:hint="default"/>
          <w:b w:val="0"/>
          <w:bCs/>
          <w:sz w:val="24"/>
          <w:szCs w:val="24"/>
        </w:rPr>
        <w:t>ifický</w:t>
      </w:r>
      <w:r w:rsidRPr="00CC658A" w:rsidR="00F91E33">
        <w:rPr>
          <w:rStyle w:val="Strong"/>
          <w:rFonts w:ascii="Times New Roman" w:eastAsia="Calibri" w:hAnsi="Times New Roman" w:hint="default"/>
          <w:b w:val="0"/>
          <w:bCs/>
          <w:sz w:val="24"/>
          <w:szCs w:val="24"/>
        </w:rPr>
        <w:t>ch súč</w:t>
      </w:r>
      <w:r w:rsidRPr="00CC658A" w:rsidR="00F91E33">
        <w:rPr>
          <w:rStyle w:val="Strong"/>
          <w:rFonts w:ascii="Times New Roman" w:eastAsia="Calibri" w:hAnsi="Times New Roman" w:hint="default"/>
          <w:b w:val="0"/>
          <w:bCs/>
          <w:sz w:val="24"/>
          <w:szCs w:val="24"/>
        </w:rPr>
        <w:t>astí</w:t>
      </w:r>
      <w:r w:rsidRPr="00CC658A" w:rsidR="00F91E33">
        <w:rPr>
          <w:rStyle w:val="Strong"/>
          <w:rFonts w:ascii="Times New Roman" w:eastAsia="Calibri" w:hAnsi="Times New Roman" w:hint="default"/>
          <w:b w:val="0"/>
          <w:bCs/>
          <w:sz w:val="24"/>
          <w:szCs w:val="24"/>
        </w:rPr>
        <w:t xml:space="preserve"> schvá</w:t>
      </w:r>
      <w:r w:rsidRPr="00CC658A" w:rsidR="00F91E33">
        <w:rPr>
          <w:rStyle w:val="Strong"/>
          <w:rFonts w:ascii="Times New Roman" w:eastAsia="Calibri" w:hAnsi="Times New Roman" w:hint="default"/>
          <w:b w:val="0"/>
          <w:bCs/>
          <w:sz w:val="24"/>
          <w:szCs w:val="24"/>
        </w:rPr>
        <w:t>lené</w:t>
      </w:r>
      <w:r w:rsidRPr="00CC658A" w:rsidR="00F91E33">
        <w:rPr>
          <w:rStyle w:val="Strong"/>
          <w:rFonts w:ascii="Times New Roman" w:eastAsia="Calibri" w:hAnsi="Times New Roman" w:hint="default"/>
          <w:b w:val="0"/>
          <w:bCs/>
          <w:sz w:val="24"/>
          <w:szCs w:val="24"/>
        </w:rPr>
        <w:t>ho typu na použ</w:t>
      </w:r>
      <w:r w:rsidRPr="00CC658A" w:rsidR="00F91E33">
        <w:rPr>
          <w:rStyle w:val="Strong"/>
          <w:rFonts w:ascii="Times New Roman" w:eastAsia="Calibri" w:hAnsi="Times New Roman" w:hint="default"/>
          <w:b w:val="0"/>
          <w:bCs/>
          <w:sz w:val="24"/>
          <w:szCs w:val="24"/>
        </w:rPr>
        <w:t>itie stlač</w:t>
      </w:r>
      <w:r w:rsidRPr="00CC658A" w:rsidR="00F91E33">
        <w:rPr>
          <w:rStyle w:val="Strong"/>
          <w:rFonts w:ascii="Times New Roman" w:eastAsia="Calibri" w:hAnsi="Times New Roman" w:hint="default"/>
          <w:b w:val="0"/>
          <w:bCs/>
          <w:sz w:val="24"/>
          <w:szCs w:val="24"/>
        </w:rPr>
        <w:t>ené</w:t>
      </w:r>
      <w:r w:rsidRPr="00CC658A" w:rsidR="00F91E33">
        <w:rPr>
          <w:rStyle w:val="Strong"/>
          <w:rFonts w:ascii="Times New Roman" w:eastAsia="Calibri" w:hAnsi="Times New Roman" w:hint="default"/>
          <w:b w:val="0"/>
          <w:bCs/>
          <w:sz w:val="24"/>
          <w:szCs w:val="24"/>
        </w:rPr>
        <w:t>ho zemné</w:t>
      </w:r>
      <w:r w:rsidRPr="00CC658A" w:rsidR="00F91E33">
        <w:rPr>
          <w:rStyle w:val="Strong"/>
          <w:rFonts w:ascii="Times New Roman" w:eastAsia="Calibri" w:hAnsi="Times New Roman" w:hint="default"/>
          <w:b w:val="0"/>
          <w:bCs/>
          <w:sz w:val="24"/>
          <w:szCs w:val="24"/>
        </w:rPr>
        <w:t>ho plynu vo svojich pohonný</w:t>
      </w:r>
      <w:r w:rsidRPr="00CC658A" w:rsidR="00F91E33">
        <w:rPr>
          <w:rStyle w:val="Strong"/>
          <w:rFonts w:ascii="Times New Roman" w:eastAsia="Calibri" w:hAnsi="Times New Roman" w:hint="default"/>
          <w:b w:val="0"/>
          <w:bCs/>
          <w:sz w:val="24"/>
          <w:szCs w:val="24"/>
        </w:rPr>
        <w:t>ch systé</w:t>
      </w:r>
      <w:r w:rsidRPr="00CC658A" w:rsidR="00F91E33">
        <w:rPr>
          <w:rStyle w:val="Strong"/>
          <w:rFonts w:ascii="Times New Roman" w:eastAsia="Calibri" w:hAnsi="Times New Roman" w:hint="default"/>
          <w:b w:val="0"/>
          <w:bCs/>
          <w:sz w:val="24"/>
          <w:szCs w:val="24"/>
        </w:rPr>
        <w:t xml:space="preserve">moch </w:t>
      </w:r>
      <w:r w:rsidRPr="00CC658A" w:rsidR="00F91E33">
        <w:rPr>
          <w:rStyle w:val="Strong"/>
          <w:rFonts w:ascii="Times New Roman" w:hAnsi="Times New Roman"/>
          <w:b w:val="0"/>
          <w:bCs/>
          <w:sz w:val="24"/>
          <w:szCs w:val="24"/>
        </w:rPr>
        <w:t>(</w:t>
      </w:r>
      <w:r w:rsidRPr="00CC658A" w:rsidR="00F91E33">
        <w:rPr>
          <w:rFonts w:ascii="Times New Roman" w:hAnsi="Times New Roman"/>
          <w:iCs/>
          <w:sz w:val="24"/>
          <w:szCs w:val="24"/>
        </w:rPr>
        <w:t>Ú. v. EÚ L 120, 07.05.2011).</w:t>
      </w:r>
    </w:p>
  </w:footnote>
  <w:footnote w:id="11">
    <w:p w:rsidP="00F91E33">
      <w:pPr>
        <w:pStyle w:val="FootnoteText"/>
        <w:bidi w:val="0"/>
        <w:ind w:left="284" w:hanging="284"/>
        <w:jc w:val="both"/>
        <w:rPr>
          <w:rFonts w:ascii="Times New Roman" w:hAnsi="Times New Roman"/>
        </w:rPr>
      </w:pPr>
      <w:r w:rsidRPr="00FC6E4A" w:rsidR="00F91E33">
        <w:rPr>
          <w:rStyle w:val="FootnoteReference"/>
          <w:rFonts w:ascii="Times New Roman" w:hAnsi="Times New Roman"/>
          <w:sz w:val="24"/>
          <w:szCs w:val="24"/>
        </w:rPr>
        <w:footnoteRef/>
      </w:r>
      <w:r w:rsidRPr="00FC6E4A" w:rsidR="00F91E33">
        <w:rPr>
          <w:rFonts w:ascii="Times New Roman" w:hAnsi="Times New Roman"/>
          <w:sz w:val="24"/>
          <w:szCs w:val="24"/>
        </w:rPr>
        <w:t xml:space="preserve">) Nariadenie Európskeho parlamentu a Rady (ES) č. 79/2009 zo 14. januára 2009 o typovom schvaľovaní motorových vozidiel na vodíkový pohon, ktorým sa mení a dopĺňa smernica 2007/46/ES (Ú. </w:t>
      </w:r>
      <w:r w:rsidR="00F91E33">
        <w:rPr>
          <w:rFonts w:ascii="Times New Roman" w:hAnsi="Times New Roman"/>
          <w:sz w:val="24"/>
          <w:szCs w:val="24"/>
        </w:rPr>
        <w:t>v</w:t>
      </w:r>
      <w:r w:rsidRPr="00FC6E4A" w:rsidR="00F91E33">
        <w:rPr>
          <w:rFonts w:ascii="Times New Roman" w:hAnsi="Times New Roman"/>
          <w:sz w:val="24"/>
          <w:szCs w:val="24"/>
        </w:rPr>
        <w:t>. EÚ</w:t>
      </w:r>
      <w:r w:rsidRPr="004D4D80" w:rsidR="00F91E33">
        <w:rPr>
          <w:rFonts w:ascii="Times New Roman" w:hAnsi="Times New Roman"/>
          <w:sz w:val="24"/>
          <w:szCs w:val="24"/>
        </w:rPr>
        <w:t xml:space="preserve"> L 35, 4.2.2009).</w:t>
      </w:r>
    </w:p>
  </w:footnote>
  <w:footnote w:id="12">
    <w:p w:rsidP="00F91E33">
      <w:pPr>
        <w:pStyle w:val="FootnoteText"/>
        <w:bidi w:val="0"/>
        <w:rPr>
          <w:rFonts w:ascii="Times New Roman" w:hAnsi="Times New Roman"/>
        </w:rPr>
      </w:pPr>
      <w:r w:rsidRPr="005C2501" w:rsidR="00F91E33">
        <w:rPr>
          <w:rStyle w:val="FootnoteReference"/>
          <w:rFonts w:ascii="Times New Roman" w:hAnsi="Times New Roman"/>
          <w:sz w:val="24"/>
          <w:szCs w:val="24"/>
        </w:rPr>
        <w:t>11</w:t>
      </w:r>
      <w:r w:rsidRPr="005C2501" w:rsidR="00F91E33">
        <w:rPr>
          <w:rFonts w:ascii="Times New Roman" w:hAnsi="Times New Roman"/>
          <w:sz w:val="24"/>
          <w:szCs w:val="24"/>
        </w:rPr>
        <w:t xml:space="preserve">) § 2 ods. 4 zákona č. 514/2009 Z. z. o doprave na dráhach. </w:t>
      </w:r>
    </w:p>
  </w:footnote>
  <w:footnote w:id="13">
    <w:p w:rsidP="00F91E33">
      <w:pPr>
        <w:pStyle w:val="FootnoteText"/>
        <w:bidi w:val="0"/>
        <w:jc w:val="both"/>
        <w:rPr>
          <w:rFonts w:ascii="Times New Roman" w:hAnsi="Times New Roman"/>
        </w:rPr>
      </w:pPr>
      <w:r w:rsidRPr="005C2501" w:rsidR="00F91E33">
        <w:rPr>
          <w:rStyle w:val="FootnoteReference"/>
          <w:rFonts w:ascii="Times New Roman" w:hAnsi="Times New Roman"/>
          <w:sz w:val="24"/>
          <w:szCs w:val="24"/>
        </w:rPr>
        <w:t>12</w:t>
      </w:r>
      <w:r w:rsidRPr="005C2501" w:rsidR="00F91E33">
        <w:rPr>
          <w:rFonts w:ascii="Times New Roman" w:hAnsi="Times New Roman"/>
          <w:sz w:val="24"/>
          <w:szCs w:val="24"/>
        </w:rPr>
        <w:t>) Zákon č. 431/2002 Z. z. o účtovníctve v znení neskorších predpisov.</w:t>
      </w:r>
    </w:p>
  </w:footnote>
  <w:footnote w:id="14">
    <w:p w:rsidP="00F91E33">
      <w:pPr>
        <w:pStyle w:val="FootnoteText"/>
        <w:bidi w:val="0"/>
        <w:jc w:val="both"/>
        <w:rPr>
          <w:rFonts w:ascii="Times New Roman" w:hAnsi="Times New Roman"/>
        </w:rPr>
      </w:pPr>
      <w:r w:rsidRPr="005C2501" w:rsidR="00F91E33">
        <w:rPr>
          <w:rStyle w:val="FootnoteReference"/>
          <w:rFonts w:ascii="Times New Roman" w:hAnsi="Times New Roman"/>
          <w:sz w:val="24"/>
          <w:szCs w:val="24"/>
        </w:rPr>
        <w:t>13</w:t>
      </w:r>
      <w:r w:rsidRPr="005C2501" w:rsidR="00F91E33">
        <w:rPr>
          <w:rFonts w:ascii="Times New Roman" w:hAnsi="Times New Roman"/>
          <w:sz w:val="24"/>
          <w:szCs w:val="24"/>
        </w:rPr>
        <w:t>) § 6 ods. 11 zákona č. 595/2003 Z. z. v znení zákona č. 463/2013 Z. z.</w:t>
      </w:r>
    </w:p>
  </w:footnote>
  <w:footnote w:id="15">
    <w:p w:rsidP="00F91E33">
      <w:pPr>
        <w:pStyle w:val="FootnoteText"/>
        <w:bidi w:val="0"/>
        <w:ind w:left="284" w:hanging="284"/>
        <w:jc w:val="both"/>
        <w:rPr>
          <w:rFonts w:ascii="Times New Roman" w:hAnsi="Times New Roman"/>
        </w:rPr>
      </w:pPr>
      <w:r w:rsidRPr="005C2501" w:rsidR="00F91E33">
        <w:rPr>
          <w:rStyle w:val="FootnoteReference"/>
          <w:rFonts w:ascii="Times New Roman" w:hAnsi="Times New Roman"/>
          <w:sz w:val="24"/>
          <w:szCs w:val="24"/>
        </w:rPr>
        <w:t>14</w:t>
      </w:r>
      <w:r w:rsidRPr="005C2501" w:rsidR="00F91E33">
        <w:rPr>
          <w:rFonts w:ascii="Times New Roman" w:hAnsi="Times New Roman"/>
          <w:sz w:val="24"/>
          <w:szCs w:val="24"/>
        </w:rPr>
        <w:t>) § 159 zákona č. 563/2009 Z. z. o správe daní (daňový poriadok) a o zmene a doplnení niektorých zákonov.</w:t>
      </w:r>
    </w:p>
  </w:footnote>
  <w:footnote w:id="16">
    <w:p w:rsidP="00F91E33">
      <w:pPr>
        <w:pStyle w:val="FootnoteText"/>
        <w:bidi w:val="0"/>
        <w:jc w:val="both"/>
        <w:rPr>
          <w:rFonts w:ascii="Times New Roman" w:hAnsi="Times New Roman"/>
        </w:rPr>
      </w:pPr>
      <w:r w:rsidRPr="00133FB3" w:rsidR="00F91E33">
        <w:rPr>
          <w:rStyle w:val="FootnoteReference"/>
          <w:rFonts w:ascii="Times New Roman" w:hAnsi="Times New Roman"/>
          <w:sz w:val="24"/>
          <w:szCs w:val="24"/>
        </w:rPr>
        <w:t>15</w:t>
      </w:r>
      <w:r w:rsidRPr="00133FB3" w:rsidR="00F91E33">
        <w:rPr>
          <w:rFonts w:ascii="Times New Roman" w:hAnsi="Times New Roman"/>
          <w:sz w:val="24"/>
          <w:szCs w:val="24"/>
        </w:rPr>
        <w:t>) § 67 zákona č. 563/2009 Z. z. v znení neskorších predpisov.</w:t>
      </w:r>
    </w:p>
  </w:footnote>
  <w:footnote w:id="17">
    <w:p w:rsidP="00F91E33">
      <w:pPr>
        <w:pStyle w:val="FootnoteText"/>
        <w:bidi w:val="0"/>
        <w:ind w:left="284" w:hanging="284"/>
        <w:jc w:val="both"/>
        <w:rPr>
          <w:rFonts w:ascii="Times New Roman" w:hAnsi="Times New Roman"/>
        </w:rPr>
      </w:pPr>
      <w:r w:rsidRPr="00133FB3" w:rsidR="00F91E33">
        <w:rPr>
          <w:rStyle w:val="FootnoteReference"/>
          <w:rFonts w:ascii="Times New Roman" w:hAnsi="Times New Roman"/>
          <w:sz w:val="24"/>
          <w:szCs w:val="24"/>
        </w:rPr>
        <w:t>16</w:t>
      </w:r>
      <w:r w:rsidRPr="00133FB3" w:rsidR="00F91E33">
        <w:rPr>
          <w:rFonts w:ascii="Times New Roman" w:hAnsi="Times New Roman"/>
          <w:sz w:val="24"/>
          <w:szCs w:val="24"/>
        </w:rPr>
        <w:t>) Zákon č. 122/2013 Z. z. o ochrane osobných údajov a o zmene a doplnení niektorých zákonov v znení zákona č. 84/2014 Z. z.</w:t>
      </w:r>
    </w:p>
  </w:footnote>
  <w:footnote w:id="18">
    <w:p w:rsidP="00F91E33">
      <w:pPr>
        <w:pStyle w:val="FootnoteText"/>
        <w:bidi w:val="0"/>
        <w:rPr>
          <w:rFonts w:ascii="Times New Roman" w:hAnsi="Times New Roman"/>
        </w:rPr>
      </w:pPr>
      <w:r w:rsidRPr="002F56A4" w:rsidR="00F91E33">
        <w:rPr>
          <w:rStyle w:val="FootnoteReference"/>
          <w:rFonts w:ascii="Times New Roman" w:hAnsi="Times New Roman"/>
          <w:sz w:val="24"/>
          <w:szCs w:val="24"/>
        </w:rPr>
        <w:t>17</w:t>
      </w:r>
      <w:r w:rsidRPr="002F56A4" w:rsidR="00F91E33">
        <w:rPr>
          <w:rFonts w:ascii="Times New Roman" w:hAnsi="Times New Roman"/>
          <w:sz w:val="24"/>
          <w:szCs w:val="24"/>
        </w:rPr>
        <w:t>) § 55 zákona č. 563/2009 Z. z. v znení neskorších predpisov.</w:t>
      </w:r>
    </w:p>
  </w:footnote>
  <w:footnote w:id="19">
    <w:p w:rsidP="00F91E33">
      <w:pPr>
        <w:pStyle w:val="FootnoteText"/>
        <w:bidi w:val="0"/>
        <w:rPr>
          <w:rFonts w:ascii="Times New Roman" w:hAnsi="Times New Roman"/>
        </w:rPr>
      </w:pPr>
      <w:r w:rsidRPr="002F56A4" w:rsidR="00F91E33">
        <w:rPr>
          <w:rStyle w:val="FootnoteReference"/>
          <w:rFonts w:ascii="Times New Roman" w:hAnsi="Times New Roman"/>
          <w:sz w:val="24"/>
          <w:szCs w:val="24"/>
        </w:rPr>
        <w:t>18</w:t>
      </w:r>
      <w:r w:rsidRPr="002F56A4" w:rsidR="00F91E33">
        <w:rPr>
          <w:rFonts w:ascii="Times New Roman" w:hAnsi="Times New Roman"/>
          <w:sz w:val="24"/>
          <w:szCs w:val="24"/>
        </w:rPr>
        <w:t>) § 79 zákona č. 563/2009 Z. z. v znení neskorších predpisov.</w:t>
      </w:r>
    </w:p>
  </w:footnote>
  <w:footnote w:id="20">
    <w:p w:rsidP="00F91E33">
      <w:pPr>
        <w:pStyle w:val="FootnoteText"/>
        <w:bidi w:val="0"/>
        <w:rPr>
          <w:rFonts w:ascii="Times New Roman" w:hAnsi="Times New Roman"/>
        </w:rPr>
      </w:pPr>
      <w:r w:rsidRPr="0085761D" w:rsidR="00F91E33">
        <w:rPr>
          <w:rStyle w:val="FootnoteReference"/>
          <w:rFonts w:ascii="Times New Roman" w:hAnsi="Times New Roman"/>
          <w:sz w:val="24"/>
          <w:szCs w:val="24"/>
        </w:rPr>
        <w:t>19</w:t>
      </w:r>
      <w:r w:rsidRPr="0085761D" w:rsidR="00F91E33">
        <w:rPr>
          <w:rFonts w:ascii="Times New Roman" w:hAnsi="Times New Roman"/>
          <w:sz w:val="24"/>
          <w:szCs w:val="24"/>
        </w:rPr>
        <w:t>) § 7 zákona č. 563/2009 Z. z. v znení zákona č. 331/2011 Z. z.</w:t>
      </w:r>
    </w:p>
  </w:footnote>
  <w:footnote w:id="21">
    <w:p w:rsidP="00F91E33">
      <w:pPr>
        <w:pStyle w:val="FootnoteText"/>
        <w:bidi w:val="0"/>
        <w:rPr>
          <w:rFonts w:ascii="Times New Roman" w:hAnsi="Times New Roman"/>
        </w:rPr>
      </w:pPr>
      <w:r w:rsidRPr="0085761D" w:rsidR="00F91E33">
        <w:rPr>
          <w:rStyle w:val="FootnoteReference"/>
          <w:rFonts w:ascii="Times New Roman" w:hAnsi="Times New Roman"/>
          <w:sz w:val="24"/>
          <w:szCs w:val="24"/>
        </w:rPr>
        <w:t>20</w:t>
      </w:r>
      <w:r w:rsidRPr="0085761D" w:rsidR="00F91E33">
        <w:rPr>
          <w:rFonts w:ascii="Times New Roman" w:hAnsi="Times New Roman"/>
          <w:sz w:val="24"/>
          <w:szCs w:val="24"/>
        </w:rPr>
        <w:t>) Zákon č. 563/2009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0A42"/>
    <w:multiLevelType w:val="hybridMultilevel"/>
    <w:tmpl w:val="BCB4DD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D725F9"/>
    <w:multiLevelType w:val="hybridMultilevel"/>
    <w:tmpl w:val="0DA4CC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835EDB"/>
    <w:multiLevelType w:val="hybridMultilevel"/>
    <w:tmpl w:val="9740E8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D20B07"/>
    <w:multiLevelType w:val="hybridMultilevel"/>
    <w:tmpl w:val="8C4605E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07550B"/>
    <w:multiLevelType w:val="hybridMultilevel"/>
    <w:tmpl w:val="0438452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AC70576"/>
    <w:multiLevelType w:val="hybridMultilevel"/>
    <w:tmpl w:val="3F86711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A1364DF"/>
    <w:multiLevelType w:val="hybridMultilevel"/>
    <w:tmpl w:val="362486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4C828DD"/>
    <w:multiLevelType w:val="hybridMultilevel"/>
    <w:tmpl w:val="A8E04AF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BA67EF2"/>
    <w:multiLevelType w:val="hybridMultilevel"/>
    <w:tmpl w:val="AB02F4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83A289A"/>
    <w:multiLevelType w:val="hybridMultilevel"/>
    <w:tmpl w:val="9B8CE6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3F64C05"/>
    <w:multiLevelType w:val="hybridMultilevel"/>
    <w:tmpl w:val="3586AE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3"/>
  </w:num>
  <w:num w:numId="3">
    <w:abstractNumId w:val="5"/>
  </w:num>
  <w:num w:numId="4">
    <w:abstractNumId w:val="10"/>
  </w:num>
  <w:num w:numId="5">
    <w:abstractNumId w:val="2"/>
  </w:num>
  <w:num w:numId="6">
    <w:abstractNumId w:val="9"/>
  </w:num>
  <w:num w:numId="7">
    <w:abstractNumId w:val="6"/>
  </w:num>
  <w:num w:numId="8">
    <w:abstractNumId w:val="1"/>
  </w:num>
  <w:num w:numId="9">
    <w:abstractNumId w:val="8"/>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F91E33"/>
    <w:rsid w:val="00133FB3"/>
    <w:rsid w:val="00214D38"/>
    <w:rsid w:val="002F56A4"/>
    <w:rsid w:val="004D4D80"/>
    <w:rsid w:val="005C2501"/>
    <w:rsid w:val="005F3ABA"/>
    <w:rsid w:val="006B52AE"/>
    <w:rsid w:val="00796AC8"/>
    <w:rsid w:val="00811B87"/>
    <w:rsid w:val="0085761D"/>
    <w:rsid w:val="009B554F"/>
    <w:rsid w:val="00B31A8A"/>
    <w:rsid w:val="00B40C20"/>
    <w:rsid w:val="00B75CE4"/>
    <w:rsid w:val="00BC47E7"/>
    <w:rsid w:val="00C06F97"/>
    <w:rsid w:val="00CC658A"/>
    <w:rsid w:val="00F33AD2"/>
    <w:rsid w:val="00F91E33"/>
    <w:rsid w:val="00FC6E4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E3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nhideWhenUsed/>
    <w:qFormat/>
    <w:rsid w:val="00F91E33"/>
    <w:pPr>
      <w:keepNext/>
      <w:spacing w:before="240" w:after="60"/>
      <w:jc w:val="left"/>
      <w:outlineLvl w:val="2"/>
    </w:pPr>
    <w:rPr>
      <w:rFonts w:ascii="Calibri Light" w:hAnsi="Calibri Light"/>
      <w:b/>
      <w:bCs/>
      <w:sz w:val="26"/>
      <w:szCs w:val="26"/>
    </w:rPr>
  </w:style>
  <w:style w:type="paragraph" w:styleId="Heading5">
    <w:name w:val="heading 5"/>
    <w:basedOn w:val="Normal"/>
    <w:next w:val="Normal"/>
    <w:link w:val="Nadpis5Char"/>
    <w:uiPriority w:val="99"/>
    <w:qFormat/>
    <w:rsid w:val="00F91E33"/>
    <w:pPr>
      <w:keepNext/>
      <w:spacing w:before="120"/>
      <w:jc w:val="center"/>
      <w:outlineLvl w:val="4"/>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locked/>
    <w:rsid w:val="00F91E33"/>
    <w:rPr>
      <w:rFonts w:ascii="Calibri Light" w:hAnsi="Calibri Light" w:cs="Times New Roman"/>
      <w:b/>
      <w:bCs/>
      <w:sz w:val="26"/>
      <w:szCs w:val="26"/>
      <w:rtl w:val="0"/>
      <w:cs w:val="0"/>
      <w:lang w:val="x-none" w:eastAsia="sk-SK"/>
    </w:rPr>
  </w:style>
  <w:style w:type="character" w:customStyle="1" w:styleId="Nadpis5Char">
    <w:name w:val="Nadpis 5 Char"/>
    <w:basedOn w:val="DefaultParagraphFont"/>
    <w:link w:val="Heading5"/>
    <w:uiPriority w:val="99"/>
    <w:locked/>
    <w:rsid w:val="00F91E33"/>
    <w:rPr>
      <w:rFonts w:ascii="Times New Roman" w:hAnsi="Times New Roman" w:cs="Times New Roman"/>
      <w:sz w:val="24"/>
      <w:szCs w:val="24"/>
      <w:rtl w:val="0"/>
      <w:cs w:val="0"/>
      <w:lang w:val="cs-CZ" w:eastAsia="sk-SK"/>
    </w:rPr>
  </w:style>
  <w:style w:type="paragraph" w:styleId="BodyText">
    <w:name w:val="Body Text"/>
    <w:basedOn w:val="Normal"/>
    <w:link w:val="ZkladntextChar"/>
    <w:uiPriority w:val="99"/>
    <w:rsid w:val="00F91E33"/>
    <w:pPr>
      <w:jc w:val="both"/>
    </w:pPr>
    <w:rPr>
      <w:rFonts w:ascii="Arial Narrow" w:hAnsi="Arial Narrow"/>
      <w:sz w:val="22"/>
    </w:rPr>
  </w:style>
  <w:style w:type="character" w:customStyle="1" w:styleId="ZkladntextChar">
    <w:name w:val="Základný text Char"/>
    <w:basedOn w:val="DefaultParagraphFont"/>
    <w:link w:val="BodyText"/>
    <w:uiPriority w:val="99"/>
    <w:locked/>
    <w:rsid w:val="00F91E33"/>
    <w:rPr>
      <w:rFonts w:ascii="Arial Narrow" w:hAnsi="Arial Narrow" w:cs="Times New Roman"/>
      <w:sz w:val="24"/>
      <w:szCs w:val="24"/>
      <w:rtl w:val="0"/>
      <w:cs w:val="0"/>
      <w:lang w:val="x-none" w:eastAsia="sk-SK"/>
    </w:rPr>
  </w:style>
  <w:style w:type="paragraph" w:customStyle="1" w:styleId="Zkladntext">
    <w:name w:val="Základní text"/>
    <w:uiPriority w:val="99"/>
    <w:rsid w:val="00F91E33"/>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styleId="BalloonText">
    <w:name w:val="Balloon Text"/>
    <w:basedOn w:val="Normal"/>
    <w:link w:val="TextbublinyChar"/>
    <w:uiPriority w:val="99"/>
    <w:semiHidden/>
    <w:rsid w:val="00F91E3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91E33"/>
    <w:rPr>
      <w:rFonts w:ascii="Tahoma" w:hAnsi="Tahoma" w:cs="Tahoma"/>
      <w:sz w:val="16"/>
      <w:szCs w:val="16"/>
      <w:rtl w:val="0"/>
      <w:cs w:val="0"/>
      <w:lang w:val="x-none" w:eastAsia="sk-SK"/>
    </w:rPr>
  </w:style>
  <w:style w:type="paragraph" w:styleId="Header">
    <w:name w:val="header"/>
    <w:basedOn w:val="Normal"/>
    <w:link w:val="HlavikaChar"/>
    <w:uiPriority w:val="99"/>
    <w:semiHidden/>
    <w:rsid w:val="00F91E33"/>
    <w:pPr>
      <w:tabs>
        <w:tab w:val="center" w:pos="4536"/>
        <w:tab w:val="right" w:pos="9072"/>
      </w:tabs>
      <w:jc w:val="left"/>
    </w:pPr>
  </w:style>
  <w:style w:type="character" w:customStyle="1" w:styleId="HlavikaChar">
    <w:name w:val="Hlavička Char"/>
    <w:basedOn w:val="DefaultParagraphFont"/>
    <w:link w:val="Header"/>
    <w:uiPriority w:val="99"/>
    <w:semiHidden/>
    <w:locked/>
    <w:rsid w:val="00F91E33"/>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F91E33"/>
    <w:pPr>
      <w:tabs>
        <w:tab w:val="center" w:pos="4536"/>
        <w:tab w:val="right" w:pos="9072"/>
      </w:tabs>
      <w:jc w:val="left"/>
    </w:pPr>
  </w:style>
  <w:style w:type="character" w:customStyle="1" w:styleId="PtaChar">
    <w:name w:val="Päta Char"/>
    <w:basedOn w:val="DefaultParagraphFont"/>
    <w:link w:val="Footer"/>
    <w:uiPriority w:val="99"/>
    <w:locked/>
    <w:rsid w:val="00F91E33"/>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rsid w:val="00F91E33"/>
    <w:pPr>
      <w:spacing w:after="120"/>
      <w:jc w:val="left"/>
    </w:pPr>
    <w:rPr>
      <w:sz w:val="16"/>
      <w:szCs w:val="16"/>
    </w:rPr>
  </w:style>
  <w:style w:type="character" w:customStyle="1" w:styleId="Zkladntext3Char">
    <w:name w:val="Základný text 3 Char"/>
    <w:basedOn w:val="DefaultParagraphFont"/>
    <w:link w:val="BodyText3"/>
    <w:uiPriority w:val="99"/>
    <w:locked/>
    <w:rsid w:val="00F91E33"/>
    <w:rPr>
      <w:rFonts w:ascii="Times New Roman" w:hAnsi="Times New Roman" w:cs="Times New Roman"/>
      <w:sz w:val="16"/>
      <w:szCs w:val="16"/>
      <w:rtl w:val="0"/>
      <w:cs w:val="0"/>
      <w:lang w:val="x-none" w:eastAsia="sk-SK"/>
    </w:rPr>
  </w:style>
  <w:style w:type="paragraph" w:styleId="BodyText2">
    <w:name w:val="Body Text 2"/>
    <w:basedOn w:val="Normal"/>
    <w:link w:val="Zkladntext2Char"/>
    <w:uiPriority w:val="99"/>
    <w:semiHidden/>
    <w:rsid w:val="00F91E33"/>
    <w:pPr>
      <w:spacing w:after="120" w:line="480" w:lineRule="auto"/>
      <w:jc w:val="left"/>
    </w:pPr>
  </w:style>
  <w:style w:type="character" w:customStyle="1" w:styleId="Zkladntext2Char">
    <w:name w:val="Základný text 2 Char"/>
    <w:basedOn w:val="DefaultParagraphFont"/>
    <w:link w:val="BodyText2"/>
    <w:uiPriority w:val="99"/>
    <w:semiHidden/>
    <w:locked/>
    <w:rsid w:val="00F91E33"/>
    <w:rPr>
      <w:rFonts w:ascii="Times New Roman" w:hAnsi="Times New Roman" w:cs="Times New Roman"/>
      <w:sz w:val="24"/>
      <w:szCs w:val="24"/>
      <w:rtl w:val="0"/>
      <w:cs w:val="0"/>
      <w:lang w:val="x-none" w:eastAsia="sk-SK"/>
    </w:rPr>
  </w:style>
  <w:style w:type="table" w:styleId="TableGrid">
    <w:name w:val="Table Grid"/>
    <w:basedOn w:val="TableNormal"/>
    <w:uiPriority w:val="59"/>
    <w:rsid w:val="00F91E33"/>
    <w:pPr>
      <w:spacing w:after="0" w:line="240" w:lineRule="auto"/>
    </w:pPr>
    <w:rPr>
      <w:rFonts w:ascii="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TextvysvetlivkyChar"/>
    <w:uiPriority w:val="99"/>
    <w:semiHidden/>
    <w:unhideWhenUsed/>
    <w:rsid w:val="00F91E33"/>
    <w:pPr>
      <w:jc w:val="left"/>
    </w:pPr>
    <w:rPr>
      <w:sz w:val="20"/>
      <w:szCs w:val="20"/>
    </w:rPr>
  </w:style>
  <w:style w:type="character" w:customStyle="1" w:styleId="TextvysvetlivkyChar">
    <w:name w:val="Text vysvetlivky Char"/>
    <w:basedOn w:val="DefaultParagraphFont"/>
    <w:link w:val="EndnoteText"/>
    <w:uiPriority w:val="99"/>
    <w:semiHidden/>
    <w:locked/>
    <w:rsid w:val="00F91E33"/>
    <w:rPr>
      <w:rFonts w:ascii="Times New Roman" w:hAnsi="Times New Roman" w:cs="Times New Roman"/>
      <w:sz w:val="20"/>
      <w:szCs w:val="20"/>
      <w:rtl w:val="0"/>
      <w:cs w:val="0"/>
      <w:lang w:val="x-none" w:eastAsia="sk-SK"/>
    </w:rPr>
  </w:style>
  <w:style w:type="character" w:styleId="EndnoteReference">
    <w:name w:val="endnote reference"/>
    <w:uiPriority w:val="99"/>
    <w:semiHidden/>
    <w:unhideWhenUsed/>
    <w:rsid w:val="00F91E33"/>
    <w:rPr>
      <w:vertAlign w:val="superscript"/>
    </w:rPr>
  </w:style>
  <w:style w:type="paragraph" w:styleId="FootnoteText">
    <w:name w:val="footnote text"/>
    <w:basedOn w:val="Normal"/>
    <w:link w:val="TextpoznmkypodiarouChar"/>
    <w:uiPriority w:val="99"/>
    <w:semiHidden/>
    <w:unhideWhenUsed/>
    <w:rsid w:val="00F91E3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91E33"/>
    <w:rPr>
      <w:rFonts w:ascii="Times New Roman" w:hAnsi="Times New Roman" w:cs="Times New Roman"/>
      <w:sz w:val="20"/>
      <w:szCs w:val="20"/>
      <w:rtl w:val="0"/>
      <w:cs w:val="0"/>
      <w:lang w:val="x-none" w:eastAsia="sk-SK"/>
    </w:rPr>
  </w:style>
  <w:style w:type="character" w:styleId="FootnoteReference">
    <w:name w:val="footnote reference"/>
    <w:uiPriority w:val="99"/>
    <w:semiHidden/>
    <w:unhideWhenUsed/>
    <w:rsid w:val="00F91E33"/>
    <w:rPr>
      <w:vertAlign w:val="superscript"/>
    </w:rPr>
  </w:style>
  <w:style w:type="paragraph" w:styleId="ListParagraph">
    <w:name w:val="List Paragraph"/>
    <w:aliases w:val="Odsek"/>
    <w:basedOn w:val="Normal"/>
    <w:uiPriority w:val="34"/>
    <w:qFormat/>
    <w:rsid w:val="00F91E33"/>
    <w:pPr>
      <w:ind w:left="720"/>
      <w:contextualSpacing/>
      <w:jc w:val="left"/>
    </w:pPr>
  </w:style>
  <w:style w:type="character" w:styleId="CommentReference">
    <w:name w:val="annotation reference"/>
    <w:uiPriority w:val="99"/>
    <w:semiHidden/>
    <w:unhideWhenUsed/>
    <w:rsid w:val="00F91E33"/>
    <w:rPr>
      <w:sz w:val="16"/>
    </w:rPr>
  </w:style>
  <w:style w:type="paragraph" w:styleId="CommentText">
    <w:name w:val="annotation text"/>
    <w:basedOn w:val="Normal"/>
    <w:link w:val="TextkomentraChar"/>
    <w:uiPriority w:val="99"/>
    <w:semiHidden/>
    <w:unhideWhenUsed/>
    <w:rsid w:val="00F91E33"/>
    <w:pPr>
      <w:jc w:val="left"/>
    </w:pPr>
    <w:rPr>
      <w:sz w:val="20"/>
      <w:szCs w:val="20"/>
    </w:rPr>
  </w:style>
  <w:style w:type="character" w:customStyle="1" w:styleId="TextkomentraChar">
    <w:name w:val="Text komentára Char"/>
    <w:basedOn w:val="DefaultParagraphFont"/>
    <w:link w:val="CommentText"/>
    <w:uiPriority w:val="99"/>
    <w:semiHidden/>
    <w:locked/>
    <w:rsid w:val="00F91E33"/>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F91E33"/>
    <w:pPr>
      <w:jc w:val="left"/>
    </w:pPr>
    <w:rPr>
      <w:b/>
      <w:bCs/>
    </w:rPr>
  </w:style>
  <w:style w:type="character" w:customStyle="1" w:styleId="PredmetkomentraChar">
    <w:name w:val="Predmet komentára Char"/>
    <w:basedOn w:val="TextkomentraChar"/>
    <w:link w:val="CommentSubject"/>
    <w:uiPriority w:val="99"/>
    <w:semiHidden/>
    <w:locked/>
    <w:rsid w:val="00F91E33"/>
    <w:rPr>
      <w:b/>
      <w:bCs/>
    </w:rPr>
  </w:style>
  <w:style w:type="paragraph" w:styleId="Title">
    <w:name w:val="Title"/>
    <w:basedOn w:val="Normal"/>
    <w:link w:val="NzovChar"/>
    <w:qFormat/>
    <w:rsid w:val="00F91E33"/>
    <w:pPr>
      <w:jc w:val="center"/>
    </w:pPr>
    <w:rPr>
      <w:rFonts w:ascii="Arial Narrow" w:hAnsi="Arial Narrow"/>
      <w:b/>
      <w:bCs/>
      <w:sz w:val="22"/>
    </w:rPr>
  </w:style>
  <w:style w:type="character" w:customStyle="1" w:styleId="NzovChar">
    <w:name w:val="Názov Char"/>
    <w:basedOn w:val="DefaultParagraphFont"/>
    <w:link w:val="Title"/>
    <w:locked/>
    <w:rsid w:val="00F91E33"/>
    <w:rPr>
      <w:rFonts w:ascii="Arial Narrow" w:hAnsi="Arial Narrow" w:cs="Times New Roman"/>
      <w:b/>
      <w:bCs/>
      <w:sz w:val="24"/>
      <w:szCs w:val="24"/>
      <w:rtl w:val="0"/>
      <w:cs w:val="0"/>
      <w:lang w:val="x-none" w:eastAsia="sk-SK"/>
    </w:rPr>
  </w:style>
  <w:style w:type="character" w:customStyle="1" w:styleId="ppp-input-value1">
    <w:name w:val="ppp-input-value1"/>
    <w:rsid w:val="00F91E33"/>
    <w:rPr>
      <w:rFonts w:ascii="Tahoma" w:hAnsi="Tahoma" w:cs="Tahoma"/>
      <w:color w:val="837A73"/>
      <w:sz w:val="16"/>
    </w:rPr>
  </w:style>
  <w:style w:type="paragraph" w:styleId="BodyTextIndent">
    <w:name w:val="Body Text Indent"/>
    <w:basedOn w:val="Normal"/>
    <w:link w:val="ZarkazkladnhotextuChar"/>
    <w:uiPriority w:val="99"/>
    <w:rsid w:val="00F91E33"/>
    <w:pPr>
      <w:spacing w:after="120"/>
      <w:ind w:left="283"/>
      <w:jc w:val="left"/>
    </w:pPr>
  </w:style>
  <w:style w:type="character" w:customStyle="1" w:styleId="ZarkazkladnhotextuChar">
    <w:name w:val="Zarážka základného textu Char"/>
    <w:basedOn w:val="DefaultParagraphFont"/>
    <w:link w:val="BodyTextIndent"/>
    <w:uiPriority w:val="99"/>
    <w:locked/>
    <w:rsid w:val="00F91E33"/>
    <w:rPr>
      <w:rFonts w:ascii="Times New Roman" w:hAnsi="Times New Roman" w:cs="Times New Roman"/>
      <w:sz w:val="24"/>
      <w:szCs w:val="24"/>
      <w:rtl w:val="0"/>
      <w:cs w:val="0"/>
      <w:lang w:val="x-none" w:eastAsia="sk-SK"/>
    </w:rPr>
  </w:style>
  <w:style w:type="character" w:styleId="Strong">
    <w:name w:val="Strong"/>
    <w:uiPriority w:val="22"/>
    <w:qFormat/>
    <w:rsid w:val="00F91E33"/>
    <w:rPr>
      <w:b/>
    </w:rPr>
  </w:style>
  <w:style w:type="paragraph" w:styleId="NormalWeb">
    <w:name w:val="Normal (Web)"/>
    <w:basedOn w:val="Normal"/>
    <w:uiPriority w:val="99"/>
    <w:unhideWhenUsed/>
    <w:rsid w:val="00F91E33"/>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TotalTime>
  <Pages>14</Pages>
  <Words>3350</Words>
  <Characters>19098</Characters>
  <Application>Microsoft Office Word</Application>
  <DocSecurity>0</DocSecurity>
  <Lines>0</Lines>
  <Paragraphs>0</Paragraphs>
  <ScaleCrop>false</ScaleCrop>
  <Company/>
  <LinksUpToDate>false</LinksUpToDate>
  <CharactersWithSpaces>22404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2014-11-26T15:23:00Z</dcterms:created>
  <dcterms:modified xsi:type="dcterms:W3CDTF">2014-11-26T15:28:00Z</dcterms:modified>
</cp:coreProperties>
</file>