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33A93" w:rsidP="00C93752">
      <w:pPr>
        <w:pStyle w:val="Title"/>
      </w:pPr>
      <w:r>
        <w:t>NÁRODNÁ RADA SLOVENSKEJ REPUBLIKY</w:t>
      </w:r>
    </w:p>
    <w:p w:rsidR="00233A93" w:rsidP="00C93752">
      <w:pPr>
        <w:pStyle w:val="Subtitle"/>
      </w:pPr>
      <w:r w:rsidR="00AF1636">
        <w:t>V</w:t>
      </w:r>
      <w:r w:rsidR="00C23D38">
        <w:t>I</w:t>
      </w:r>
      <w:r>
        <w:t>. volebné obdobie</w:t>
      </w:r>
    </w:p>
    <w:p w:rsidR="00233A93" w:rsidP="00C93752">
      <w:r>
        <w:t>___________________________________________________________________________</w:t>
      </w:r>
    </w:p>
    <w:p w:rsidR="00233A93" w:rsidP="00C93752">
      <w:r w:rsidR="00975C2E">
        <w:t>K číslu</w:t>
      </w:r>
      <w:r>
        <w:t>:</w:t>
      </w:r>
      <w:r w:rsidR="00BF3C60">
        <w:t xml:space="preserve"> </w:t>
      </w:r>
      <w:r w:rsidR="00BA255D">
        <w:t>1863</w:t>
      </w:r>
      <w:r w:rsidR="003D6EDC">
        <w:t>/</w:t>
      </w:r>
      <w:r w:rsidR="009F1034">
        <w:t>20</w:t>
      </w:r>
      <w:r w:rsidR="00CD2A22">
        <w:t>1</w:t>
      </w:r>
      <w:r w:rsidR="003069F7">
        <w:t>4</w:t>
      </w:r>
      <w:r>
        <w:tab/>
        <w:tab/>
        <w:tab/>
        <w:tab/>
      </w:r>
    </w:p>
    <w:p w:rsidR="00D57D3E" w:rsidP="00C93752"/>
    <w:p w:rsidR="00233A93" w:rsidP="00C93752">
      <w:pPr>
        <w:jc w:val="center"/>
        <w:rPr>
          <w:b/>
          <w:bCs/>
          <w:sz w:val="28"/>
        </w:rPr>
      </w:pPr>
      <w:r w:rsidR="003069F7">
        <w:rPr>
          <w:b/>
          <w:bCs/>
          <w:sz w:val="28"/>
        </w:rPr>
        <w:t>1</w:t>
      </w:r>
      <w:r w:rsidR="00D219D3">
        <w:rPr>
          <w:b/>
          <w:bCs/>
          <w:sz w:val="28"/>
        </w:rPr>
        <w:t>2</w:t>
      </w:r>
      <w:r w:rsidR="00BA255D">
        <w:rPr>
          <w:b/>
          <w:bCs/>
          <w:sz w:val="28"/>
        </w:rPr>
        <w:t>13</w:t>
      </w:r>
      <w:r>
        <w:rPr>
          <w:b/>
          <w:bCs/>
          <w:sz w:val="28"/>
        </w:rPr>
        <w:t>a</w:t>
      </w:r>
    </w:p>
    <w:p w:rsidR="00D35084" w:rsidP="00C93752">
      <w:pPr>
        <w:jc w:val="center"/>
        <w:rPr>
          <w:b/>
          <w:bCs/>
          <w:sz w:val="28"/>
        </w:rPr>
      </w:pPr>
    </w:p>
    <w:p w:rsidR="00233A93" w:rsidP="00C93752">
      <w:pPr>
        <w:pStyle w:val="Heading1"/>
      </w:pPr>
      <w:r>
        <w:t xml:space="preserve">S p o l o č n á    s p r á v a </w:t>
      </w:r>
    </w:p>
    <w:p w:rsidR="00BF3C60" w:rsidP="00C93752"/>
    <w:p w:rsidR="00233A93" w:rsidRPr="000734C1" w:rsidP="00C93752">
      <w:pPr>
        <w:jc w:val="both"/>
        <w:rPr>
          <w:b/>
        </w:rPr>
      </w:pPr>
      <w:r w:rsidRPr="00987E97" w:rsidR="001856F2">
        <w:rPr>
          <w:b/>
        </w:rPr>
        <w:t>výborov</w:t>
      </w:r>
      <w:r w:rsidRPr="00987E97">
        <w:rPr>
          <w:b/>
        </w:rPr>
        <w:t xml:space="preserve"> Národnej rady Sl</w:t>
      </w:r>
      <w:r w:rsidRPr="00987E97" w:rsidR="00401761">
        <w:rPr>
          <w:b/>
        </w:rPr>
        <w:t xml:space="preserve">ovenskej republiky </w:t>
      </w:r>
      <w:r w:rsidRPr="00987E97">
        <w:rPr>
          <w:b/>
        </w:rPr>
        <w:t>o výsledku prerokov</w:t>
      </w:r>
      <w:r w:rsidRPr="00987E97">
        <w:rPr>
          <w:b/>
        </w:rPr>
        <w:t>ania</w:t>
      </w:r>
      <w:r w:rsidRPr="00987E97" w:rsidR="00F53C66">
        <w:rPr>
          <w:b/>
        </w:rPr>
        <w:t xml:space="preserve"> </w:t>
      </w:r>
      <w:r w:rsidRPr="00BA255D" w:rsidR="00BA255D">
        <w:rPr>
          <w:b/>
        </w:rPr>
        <w:t>vládneho návrhu zákona o pohľadávkach štátu a o zmene a doplnení niektorých zákonov (tlač 1213)</w:t>
      </w:r>
      <w:r w:rsidR="00975C2E">
        <w:rPr>
          <w:b/>
        </w:rPr>
        <w:t xml:space="preserve"> </w:t>
      </w:r>
      <w:r w:rsidRPr="00BA255D">
        <w:rPr>
          <w:b/>
        </w:rPr>
        <w:t>v</w:t>
      </w:r>
      <w:r w:rsidRPr="00BA255D" w:rsidR="00D57D3E">
        <w:rPr>
          <w:b/>
        </w:rPr>
        <w:t>o</w:t>
      </w:r>
      <w:r w:rsidRPr="000734C1" w:rsidR="00D57D3E">
        <w:rPr>
          <w:b/>
        </w:rPr>
        <w:t xml:space="preserve"> výboroch Národnej rady Slovenskej republiky v </w:t>
      </w:r>
      <w:r w:rsidRPr="000734C1">
        <w:rPr>
          <w:b/>
        </w:rPr>
        <w:t xml:space="preserve">druhom čítaní </w:t>
      </w:r>
    </w:p>
    <w:p w:rsidR="00233A93" w:rsidRPr="00846B8E" w:rsidP="00C93752">
      <w:pPr>
        <w:jc w:val="both"/>
        <w:rPr>
          <w:b/>
        </w:rPr>
      </w:pPr>
      <w:r w:rsidRPr="00846B8E">
        <w:rPr>
          <w:b/>
        </w:rPr>
        <w:t>___________________________________________________________________________</w:t>
      </w:r>
      <w:r w:rsidR="00873586">
        <w:rPr>
          <w:b/>
        </w:rPr>
        <w:t>____</w:t>
      </w:r>
    </w:p>
    <w:p w:rsidR="00C742A8" w:rsidP="00C93752">
      <w:pPr>
        <w:rPr>
          <w:b/>
        </w:rPr>
      </w:pPr>
    </w:p>
    <w:p w:rsidR="00233A93" w:rsidP="00C93752">
      <w:pPr>
        <w:jc w:val="both"/>
      </w:pPr>
      <w:r>
        <w:t>Výbor Náro</w:t>
      </w:r>
      <w:r>
        <w:t>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t xml:space="preserve"> </w:t>
      </w:r>
      <w:r w:rsidR="00D57D3E">
        <w:t xml:space="preserve">vládneho </w:t>
      </w:r>
      <w:r>
        <w:t>návrhu zákona.</w:t>
      </w:r>
    </w:p>
    <w:p w:rsidR="00BF3C60" w:rsidP="00C93752">
      <w:pPr>
        <w:jc w:val="both"/>
      </w:pPr>
      <w:r w:rsidR="00233A93">
        <w:tab/>
        <w:tab/>
        <w:tab/>
        <w:tab/>
        <w:tab/>
      </w:r>
    </w:p>
    <w:p w:rsidR="00233A93" w:rsidP="00C93752">
      <w:pPr>
        <w:jc w:val="center"/>
        <w:rPr>
          <w:b/>
          <w:bCs/>
        </w:rPr>
      </w:pPr>
      <w:r>
        <w:rPr>
          <w:b/>
          <w:bCs/>
        </w:rPr>
        <w:t>I.</w:t>
      </w:r>
    </w:p>
    <w:p w:rsidR="00233A93" w:rsidP="00C93752">
      <w:pPr>
        <w:jc w:val="center"/>
        <w:rPr>
          <w:b/>
          <w:bCs/>
        </w:rPr>
      </w:pPr>
    </w:p>
    <w:p w:rsidR="00233A93" w:rsidRPr="00C742A8" w:rsidP="00C93752">
      <w:pPr>
        <w:jc w:val="both"/>
        <w:rPr>
          <w:bCs/>
        </w:rPr>
      </w:pPr>
      <w:r w:rsidRPr="0091798A">
        <w:t>Národná rada Sl</w:t>
      </w:r>
      <w:r w:rsidRPr="0091798A" w:rsidR="00680EDA">
        <w:t xml:space="preserve">ovenskej republiky </w:t>
      </w:r>
      <w:r w:rsidRPr="0091798A" w:rsidR="0018539F">
        <w:t>uznesením</w:t>
      </w:r>
      <w:r w:rsidRPr="0091798A" w:rsidR="00CE5AB9">
        <w:t xml:space="preserve"> </w:t>
      </w:r>
      <w:r w:rsidRPr="0091798A" w:rsidR="000965A1">
        <w:t>č.</w:t>
      </w:r>
      <w:r w:rsidR="006F36E1">
        <w:t xml:space="preserve"> 139</w:t>
      </w:r>
      <w:r w:rsidR="00BA255D">
        <w:t>1</w:t>
      </w:r>
      <w:r w:rsidR="00C23D38">
        <w:t xml:space="preserve"> </w:t>
      </w:r>
      <w:r w:rsidRPr="0091798A">
        <w:t>z</w:t>
      </w:r>
      <w:r w:rsidRPr="0091798A" w:rsidR="00893F40">
        <w:t xml:space="preserve"> </w:t>
      </w:r>
      <w:r w:rsidR="006F36E1">
        <w:t>22</w:t>
      </w:r>
      <w:r w:rsidRPr="0091798A">
        <w:t xml:space="preserve">. </w:t>
      </w:r>
      <w:r w:rsidR="006F36E1">
        <w:t>októbra</w:t>
      </w:r>
      <w:r w:rsidR="00CD2A22">
        <w:t xml:space="preserve"> </w:t>
      </w:r>
      <w:r w:rsidRPr="0091798A">
        <w:t>20</w:t>
      </w:r>
      <w:r w:rsidR="00CD2A22">
        <w:t>1</w:t>
      </w:r>
      <w:r w:rsidR="009A2FE0">
        <w:t>4</w:t>
      </w:r>
      <w:r w:rsidRPr="0091798A" w:rsidR="009F77AE">
        <w:t xml:space="preserve"> </w:t>
      </w:r>
      <w:r w:rsidRPr="0091798A">
        <w:t>pridelila</w:t>
      </w:r>
      <w:r w:rsidRPr="00353558" w:rsidR="00353558">
        <w:rPr>
          <w:b/>
        </w:rPr>
        <w:t xml:space="preserve"> </w:t>
      </w:r>
      <w:r w:rsidR="00BA255D">
        <w:t>v</w:t>
      </w:r>
      <w:r w:rsidRPr="00843C37" w:rsidR="00BA255D">
        <w:t>ládn</w:t>
      </w:r>
      <w:r w:rsidR="00BA255D">
        <w:t xml:space="preserve">y </w:t>
      </w:r>
      <w:r w:rsidRPr="00843C37" w:rsidR="00BA255D">
        <w:t xml:space="preserve">návrh </w:t>
      </w:r>
      <w:r w:rsidRPr="00A45BBA" w:rsidR="00BA255D">
        <w:t>zákona o pohľadávkach štátu a o zmene a doplnení niektorých zákonov (tlač 1213)</w:t>
      </w:r>
      <w:r w:rsidR="00BA255D">
        <w:t xml:space="preserve"> </w:t>
      </w:r>
      <w:r w:rsidRPr="00DF21AE">
        <w:t>týmto výborom Národnej rady Slovenskej republiky:</w:t>
      </w:r>
    </w:p>
    <w:p w:rsidR="008346BC" w:rsidP="00C93752">
      <w:pPr>
        <w:pStyle w:val="BodyText2"/>
        <w:jc w:val="left"/>
      </w:pPr>
    </w:p>
    <w:p w:rsidR="00233A93" w:rsidP="00C93752">
      <w:pPr>
        <w:pStyle w:val="BodyText2"/>
        <w:numPr>
          <w:ilvl w:val="0"/>
          <w:numId w:val="1"/>
        </w:numPr>
      </w:pPr>
      <w:r>
        <w:t>Výboru Národnej rady Slovenskej republiky pre financie</w:t>
      </w:r>
      <w:r w:rsidR="00452CA8">
        <w:t xml:space="preserve"> a</w:t>
      </w:r>
      <w:r w:rsidR="009E38EE">
        <w:t> </w:t>
      </w:r>
      <w:r>
        <w:t>rozpočet</w:t>
      </w:r>
      <w:r w:rsidR="009E38EE">
        <w:t>,</w:t>
      </w:r>
      <w:r>
        <w:t xml:space="preserve"> </w:t>
      </w:r>
    </w:p>
    <w:p w:rsidR="00233A93" w:rsidP="00C93752">
      <w:pPr>
        <w:pStyle w:val="BodyText2"/>
        <w:numPr>
          <w:ilvl w:val="0"/>
          <w:numId w:val="1"/>
        </w:numPr>
      </w:pPr>
      <w:r>
        <w:t>Ústavnoprávnemu výboru Národnej rady Slovenskej republiky</w:t>
      </w:r>
      <w:r w:rsidR="006F36E1">
        <w:t>.</w:t>
      </w:r>
    </w:p>
    <w:p w:rsidR="0063094F" w:rsidP="00C93752">
      <w:pPr>
        <w:pStyle w:val="BodyText2"/>
        <w:ind w:left="705"/>
      </w:pPr>
    </w:p>
    <w:p w:rsidR="009A2FE0" w:rsidP="00C93752">
      <w:pPr>
        <w:pStyle w:val="BodyText2"/>
        <w:ind w:left="705"/>
      </w:pPr>
    </w:p>
    <w:p w:rsidR="00233A93" w:rsidP="00C93752">
      <w:pPr>
        <w:pStyle w:val="BodyText2"/>
        <w:jc w:val="center"/>
        <w:rPr>
          <w:b/>
        </w:rPr>
      </w:pPr>
      <w:r>
        <w:rPr>
          <w:b/>
        </w:rPr>
        <w:t>II.</w:t>
      </w:r>
    </w:p>
    <w:p w:rsidR="00233A93" w:rsidP="00C93752">
      <w:pPr>
        <w:pStyle w:val="BodyText2"/>
        <w:jc w:val="center"/>
        <w:rPr>
          <w:b/>
          <w:sz w:val="28"/>
        </w:rPr>
      </w:pPr>
    </w:p>
    <w:p w:rsidR="00233A93" w:rsidP="00C93752">
      <w:pPr>
        <w:tabs>
          <w:tab w:val="left" w:pos="5040"/>
        </w:tabs>
        <w:jc w:val="both"/>
      </w:pPr>
      <w:r>
        <w:t>Gestorský výbor nedostal do začatia rokovania</w:t>
      </w:r>
      <w:r w:rsidR="00AF0941">
        <w:t xml:space="preserve"> o</w:t>
      </w:r>
      <w:r w:rsidRPr="00B057C9" w:rsidR="00B057C9">
        <w:t xml:space="preserve"> </w:t>
      </w:r>
      <w:r w:rsidR="00BA255D">
        <w:t>v</w:t>
      </w:r>
      <w:r w:rsidRPr="00843C37" w:rsidR="00BA255D">
        <w:t>ládn</w:t>
      </w:r>
      <w:r w:rsidR="00BA255D">
        <w:t xml:space="preserve">om </w:t>
      </w:r>
      <w:r w:rsidRPr="00843C37" w:rsidR="00BA255D">
        <w:t>návrh</w:t>
      </w:r>
      <w:r w:rsidR="00BA255D">
        <w:t>u</w:t>
      </w:r>
      <w:r w:rsidRPr="00843C37" w:rsidR="00BA255D">
        <w:t xml:space="preserve"> </w:t>
      </w:r>
      <w:r w:rsidRPr="00A45BBA" w:rsidR="00BA255D">
        <w:t>zákona o pohľadávkach štátu a o zmene a doplnení niektorých zákonov (tlač 1213)</w:t>
      </w:r>
      <w:r w:rsidR="00BA255D">
        <w:t xml:space="preserve"> </w:t>
      </w:r>
      <w:r>
        <w:t>stanoviská  poslancov Národnej rady Slovenskej republiky podané v súlade s § 75 ods. 2 zákona NR SR č. 350/</w:t>
      </w:r>
      <w:r>
        <w:t>1996 Z. z. o rokovacom poriadku Národnej rady Slovenskej republiky v znení neskorších predpisov.</w:t>
      </w:r>
    </w:p>
    <w:p w:rsidR="00353558" w:rsidP="00C93752">
      <w:pPr>
        <w:jc w:val="both"/>
      </w:pPr>
    </w:p>
    <w:p w:rsidR="00233A93" w:rsidP="00C93752">
      <w:pPr>
        <w:pStyle w:val="BodyText2"/>
        <w:ind w:firstLine="3"/>
        <w:jc w:val="center"/>
        <w:rPr>
          <w:b/>
        </w:rPr>
      </w:pPr>
      <w:r>
        <w:rPr>
          <w:b/>
        </w:rPr>
        <w:t>III.</w:t>
      </w:r>
    </w:p>
    <w:p w:rsidR="00501B42" w:rsidP="00C93752">
      <w:pPr>
        <w:pStyle w:val="BodyText2"/>
        <w:ind w:left="705"/>
        <w:jc w:val="center"/>
        <w:rPr>
          <w:b/>
        </w:rPr>
      </w:pPr>
    </w:p>
    <w:p w:rsidR="00233A93" w:rsidP="00C93752">
      <w:pPr>
        <w:pStyle w:val="BodyText2"/>
        <w:ind w:firstLine="720"/>
      </w:pPr>
      <w:r>
        <w:t xml:space="preserve">K predmetnému </w:t>
      </w:r>
      <w:r w:rsidR="00EF184C">
        <w:t xml:space="preserve">vládnemu </w:t>
      </w:r>
      <w:r>
        <w:t>návrhu zákona zaujali výbory Národnej rady Slovenskej republiky tieto stanoviská:</w:t>
      </w:r>
    </w:p>
    <w:p w:rsidR="00E24C65" w:rsidP="00C93752">
      <w:pPr>
        <w:pStyle w:val="BodyText2"/>
        <w:ind w:firstLine="720"/>
      </w:pPr>
    </w:p>
    <w:p w:rsidR="00301D8C" w:rsidP="00C93752">
      <w:pPr>
        <w:pStyle w:val="BodyText2"/>
        <w:numPr>
          <w:ilvl w:val="0"/>
          <w:numId w:val="3"/>
        </w:numPr>
        <w:rPr>
          <w:b/>
          <w:bCs/>
        </w:rPr>
      </w:pPr>
      <w:r>
        <w:t>Odporúčanie pre Národnú radu Slovenskej republ</w:t>
      </w:r>
      <w:r>
        <w:t xml:space="preserve">iky návrh </w:t>
      </w:r>
      <w:r>
        <w:rPr>
          <w:b/>
          <w:bCs/>
        </w:rPr>
        <w:t xml:space="preserve">schváliť </w:t>
      </w:r>
      <w:r w:rsidR="008D6B7B">
        <w:rPr>
          <w:b/>
          <w:bCs/>
        </w:rPr>
        <w:t>s pozmeňujúcim</w:t>
      </w:r>
      <w:r w:rsidR="0024051E">
        <w:rPr>
          <w:b/>
          <w:bCs/>
        </w:rPr>
        <w:t>i</w:t>
      </w:r>
      <w:r w:rsidR="008E39AD">
        <w:rPr>
          <w:b/>
          <w:bCs/>
        </w:rPr>
        <w:t xml:space="preserve"> a doplňujúcim</w:t>
      </w:r>
      <w:r w:rsidR="0024051E">
        <w:rPr>
          <w:b/>
          <w:bCs/>
        </w:rPr>
        <w:t>i</w:t>
      </w:r>
      <w:r w:rsidR="008E39AD">
        <w:rPr>
          <w:b/>
          <w:bCs/>
        </w:rPr>
        <w:t xml:space="preserve"> návrhm</w:t>
      </w:r>
      <w:r w:rsidR="0024051E">
        <w:rPr>
          <w:b/>
          <w:bCs/>
        </w:rPr>
        <w:t>i</w:t>
      </w:r>
    </w:p>
    <w:p w:rsidR="0063094F" w:rsidP="00C93752">
      <w:pPr>
        <w:pStyle w:val="BodyText2"/>
        <w:ind w:left="720"/>
        <w:rPr>
          <w:b/>
          <w:bCs/>
        </w:rPr>
      </w:pPr>
    </w:p>
    <w:p w:rsidR="0085353E" w:rsidP="00C93752">
      <w:pPr>
        <w:pStyle w:val="BodyText2"/>
        <w:numPr>
          <w:ilvl w:val="0"/>
          <w:numId w:val="1"/>
        </w:numPr>
      </w:pPr>
      <w:r w:rsidRPr="00975C2E">
        <w:rPr>
          <w:b/>
        </w:rPr>
        <w:t>Výbor</w:t>
      </w:r>
      <w:r>
        <w:t xml:space="preserve"> Národnej rady Slovenskej republiky </w:t>
      </w:r>
      <w:r w:rsidRPr="00975C2E">
        <w:rPr>
          <w:b/>
        </w:rPr>
        <w:t>pre financie a rozpočet (</w:t>
      </w:r>
      <w:r>
        <w:t xml:space="preserve">uzn. č. </w:t>
      </w:r>
      <w:r w:rsidR="00BA255D">
        <w:t>366</w:t>
      </w:r>
      <w:r>
        <w:t xml:space="preserve"> zo dňa </w:t>
      </w:r>
      <w:r w:rsidR="006F36E1">
        <w:t>18</w:t>
      </w:r>
      <w:r>
        <w:t xml:space="preserve">. </w:t>
      </w:r>
      <w:r w:rsidR="006F36E1">
        <w:t>novembra</w:t>
      </w:r>
      <w:r w:rsidR="009124B6">
        <w:t xml:space="preserve"> </w:t>
      </w:r>
      <w:r w:rsidR="00C23D38">
        <w:t>201</w:t>
      </w:r>
      <w:r w:rsidR="003069F7">
        <w:t>4</w:t>
      </w:r>
      <w:r>
        <w:t>)</w:t>
      </w:r>
    </w:p>
    <w:p w:rsidR="00C23D38" w:rsidP="00C93752">
      <w:pPr>
        <w:pStyle w:val="BodyText2"/>
        <w:ind w:left="1065"/>
      </w:pPr>
    </w:p>
    <w:p w:rsidR="0063094F" w:rsidP="00C93752">
      <w:pPr>
        <w:pStyle w:val="BodyText2"/>
        <w:numPr>
          <w:ilvl w:val="0"/>
          <w:numId w:val="1"/>
        </w:numPr>
      </w:pPr>
      <w:r w:rsidRPr="00975C2E">
        <w:rPr>
          <w:b/>
        </w:rPr>
        <w:t>Ústavnoprávny výbor</w:t>
      </w:r>
      <w:r>
        <w:t xml:space="preserve"> Národnej rady Slovenskej republiky</w:t>
      </w:r>
      <w:r w:rsidRPr="00DF21AE">
        <w:t xml:space="preserve"> </w:t>
      </w:r>
      <w:r w:rsidR="0085353E">
        <w:t xml:space="preserve">(uzn. č. </w:t>
      </w:r>
      <w:r w:rsidR="00BA255D">
        <w:t>530</w:t>
      </w:r>
      <w:r w:rsidR="00BE636E">
        <w:t xml:space="preserve"> </w:t>
      </w:r>
      <w:r>
        <w:t xml:space="preserve">zo dňa </w:t>
      </w:r>
      <w:r w:rsidR="006F36E1">
        <w:t>18</w:t>
      </w:r>
      <w:r>
        <w:t xml:space="preserve">. </w:t>
      </w:r>
      <w:r w:rsidR="006F36E1">
        <w:t>novembra</w:t>
      </w:r>
      <w:r w:rsidR="00C23D38">
        <w:t xml:space="preserve"> 201</w:t>
      </w:r>
      <w:r w:rsidR="003069F7">
        <w:t>4</w:t>
      </w:r>
      <w:r w:rsidR="00C23D38">
        <w:t>)</w:t>
      </w:r>
    </w:p>
    <w:p w:rsidR="00D35084" w:rsidP="00C93752">
      <w:pPr>
        <w:pStyle w:val="BodyText2"/>
      </w:pPr>
    </w:p>
    <w:p w:rsidR="00D219D3" w:rsidP="00C93752">
      <w:pPr>
        <w:pStyle w:val="BodyText2"/>
        <w:ind w:left="1065"/>
      </w:pPr>
    </w:p>
    <w:p w:rsidR="00191E8A" w:rsidP="00C93752">
      <w:pPr>
        <w:pStyle w:val="BodyText2"/>
        <w:ind w:left="1065"/>
      </w:pPr>
    </w:p>
    <w:p w:rsidR="000734C1" w:rsidP="00C93752">
      <w:pPr>
        <w:pStyle w:val="BodyText2"/>
      </w:pPr>
    </w:p>
    <w:p w:rsidR="00233A93" w:rsidP="00C93752">
      <w:pPr>
        <w:pStyle w:val="BodyText2"/>
        <w:ind w:left="1065"/>
        <w:jc w:val="center"/>
        <w:rPr>
          <w:b/>
        </w:rPr>
      </w:pPr>
      <w:r>
        <w:rPr>
          <w:b/>
        </w:rPr>
        <w:t>IV.</w:t>
      </w:r>
    </w:p>
    <w:p w:rsidR="00233A93" w:rsidP="00C93752">
      <w:pPr>
        <w:pStyle w:val="BodyText2"/>
        <w:ind w:left="1065"/>
        <w:jc w:val="center"/>
        <w:rPr>
          <w:b/>
        </w:rPr>
      </w:pPr>
    </w:p>
    <w:p w:rsidR="00233A93" w:rsidP="00C93752">
      <w:pPr>
        <w:pStyle w:val="BodyText2"/>
        <w:ind w:firstLine="708"/>
      </w:pPr>
      <w:r w:rsidRPr="00AC16EF" w:rsidR="00EB7C0C">
        <w:t>Z uzn</w:t>
      </w:r>
      <w:r w:rsidR="00E37D6A">
        <w:t>esen</w:t>
      </w:r>
      <w:r w:rsidR="0085353E">
        <w:t>í</w:t>
      </w:r>
      <w:r w:rsidRPr="00AC16EF">
        <w:t xml:space="preserve"> výbor</w:t>
      </w:r>
      <w:r w:rsidR="00736608">
        <w:t>ov</w:t>
      </w:r>
      <w:r>
        <w:t xml:space="preserve"> Národnej ra</w:t>
      </w:r>
      <w:r w:rsidR="008E1580">
        <w:t>dy Slovenskej republ</w:t>
      </w:r>
      <w:r w:rsidR="0085078D">
        <w:t xml:space="preserve">iky </w:t>
      </w:r>
      <w:r w:rsidR="00736608">
        <w:t>uvedených</w:t>
      </w:r>
      <w:r w:rsidRPr="00AC16EF">
        <w:t xml:space="preserve"> pod bodom</w:t>
      </w:r>
      <w:r w:rsidR="00F2536F">
        <w:t xml:space="preserve"> III. tejto správy vyplynul</w:t>
      </w:r>
      <w:r w:rsidR="00F53C66">
        <w:t>i</w:t>
      </w:r>
      <w:r>
        <w:t xml:space="preserve"> </w:t>
      </w:r>
      <w:r w:rsidR="003D7154">
        <w:t>t</w:t>
      </w:r>
      <w:r w:rsidR="00F53C66">
        <w:t>i</w:t>
      </w:r>
      <w:r w:rsidR="003D7154">
        <w:t>eto</w:t>
      </w:r>
      <w:r>
        <w:t xml:space="preserve"> </w:t>
      </w:r>
      <w:r w:rsidR="00115AB5">
        <w:t>p</w:t>
      </w:r>
      <w:r w:rsidR="00D3131A">
        <w:t>ozmeňujúc</w:t>
      </w:r>
      <w:r w:rsidR="00F53C66">
        <w:t>e</w:t>
      </w:r>
      <w:r w:rsidR="00D3131A">
        <w:t xml:space="preserve"> </w:t>
      </w:r>
      <w:r w:rsidR="003D7154">
        <w:t>a doplňujúc</w:t>
      </w:r>
      <w:r w:rsidR="00F53C66">
        <w:t>e</w:t>
      </w:r>
      <w:r w:rsidR="003D7154">
        <w:t xml:space="preserve"> </w:t>
      </w:r>
      <w:r w:rsidR="00D3131A">
        <w:t>návrh</w:t>
      </w:r>
      <w:r w:rsidR="00F53C66">
        <w:t>y</w:t>
      </w:r>
      <w:r w:rsidR="00736608">
        <w:t>:</w:t>
      </w:r>
    </w:p>
    <w:p w:rsidR="0032454B" w:rsidP="00C93752">
      <w:pPr>
        <w:pStyle w:val="BodyText2"/>
        <w:ind w:firstLine="708"/>
      </w:pPr>
    </w:p>
    <w:p w:rsidR="005E3851" w:rsidP="005E3851">
      <w:pPr>
        <w:numPr>
          <w:ilvl w:val="1"/>
          <w:numId w:val="37"/>
        </w:numPr>
        <w:ind w:left="426" w:hanging="426"/>
        <w:jc w:val="both"/>
        <w:rPr>
          <w:rFonts w:eastAsia="Calibri"/>
          <w:lang w:eastAsia="en-US"/>
        </w:rPr>
      </w:pPr>
      <w:r>
        <w:rPr>
          <w:rFonts w:eastAsia="Calibri"/>
          <w:b/>
          <w:bCs/>
          <w:lang w:eastAsia="en-US"/>
        </w:rPr>
        <w:t>V  čl. I, § 2</w:t>
      </w:r>
      <w:r>
        <w:rPr>
          <w:rFonts w:eastAsia="Calibri"/>
          <w:bCs/>
          <w:lang w:eastAsia="en-US"/>
        </w:rPr>
        <w:t xml:space="preserve"> </w:t>
      </w:r>
      <w:r w:rsidRPr="00472BA9">
        <w:rPr>
          <w:rFonts w:eastAsia="Calibri"/>
          <w:b/>
          <w:bCs/>
          <w:lang w:eastAsia="en-US"/>
        </w:rPr>
        <w:t>písm. a)</w:t>
      </w:r>
      <w:r>
        <w:rPr>
          <w:rFonts w:eastAsia="Calibri"/>
          <w:bCs/>
          <w:lang w:eastAsia="en-US"/>
        </w:rPr>
        <w:t xml:space="preserve"> sa za slová „na základe zákona“ vkladá čiarka a slová „alebo z činnosti“ sa nahrádzajú slovami „z činnosti správcu pohľadávky štátu alebo na základe činnosti“.</w:t>
      </w:r>
    </w:p>
    <w:p w:rsidR="005E3851" w:rsidP="005E3851">
      <w:pPr>
        <w:ind w:left="3969"/>
        <w:jc w:val="both"/>
        <w:rPr>
          <w:rFonts w:eastAsia="Calibri"/>
          <w:bCs/>
          <w:lang w:eastAsia="en-US"/>
        </w:rPr>
      </w:pPr>
    </w:p>
    <w:p w:rsidR="005E3851" w:rsidP="00975C2E">
      <w:pPr>
        <w:ind w:left="2832"/>
        <w:jc w:val="both"/>
        <w:rPr>
          <w:rFonts w:eastAsia="Calibri"/>
          <w:bCs/>
          <w:lang w:eastAsia="en-US"/>
        </w:rPr>
      </w:pPr>
      <w:r>
        <w:rPr>
          <w:rFonts w:eastAsia="Calibri"/>
          <w:bCs/>
          <w:lang w:eastAsia="en-US"/>
        </w:rPr>
        <w:t xml:space="preserve">Ide o legislatívno-technickú úpravu; vymedzenie „pohľadávky štátu“ sa precizuje v kontexte celého spektra možností vzniku práva štátu na peňažné plnenie, či už priamych </w:t>
      </w:r>
      <w:r>
        <w:rPr>
          <w:rFonts w:eastAsia="Calibri"/>
          <w:bCs/>
          <w:i/>
          <w:lang w:eastAsia="en-US"/>
        </w:rPr>
        <w:t xml:space="preserve">(zo zákona alebo z činnosti správcu pohľadávky štátu) </w:t>
      </w:r>
      <w:r>
        <w:rPr>
          <w:rFonts w:eastAsia="Calibri"/>
          <w:bCs/>
          <w:lang w:eastAsia="en-US"/>
        </w:rPr>
        <w:t xml:space="preserve">alebo nepriamych/ odvodených  </w:t>
      </w:r>
      <w:r>
        <w:rPr>
          <w:rFonts w:eastAsia="Calibri"/>
          <w:bCs/>
          <w:i/>
          <w:lang w:eastAsia="en-US"/>
        </w:rPr>
        <w:t>(na základe zákona alebo na základe činnosti správcu pohľadávky štátu).</w:t>
      </w:r>
      <w:r>
        <w:rPr>
          <w:rFonts w:eastAsia="Calibri"/>
          <w:bCs/>
          <w:lang w:eastAsia="en-US"/>
        </w:rPr>
        <w:t xml:space="preserve">  </w:t>
      </w:r>
    </w:p>
    <w:p w:rsidR="002049FA" w:rsidP="002049FA">
      <w:pPr>
        <w:ind w:left="2832" w:hanging="705"/>
        <w:jc w:val="both"/>
        <w:rPr>
          <w:b/>
        </w:rPr>
      </w:pPr>
    </w:p>
    <w:p w:rsidR="002049FA" w:rsidP="00975C2E">
      <w:pPr>
        <w:ind w:left="2832"/>
        <w:jc w:val="both"/>
        <w:rPr>
          <w:b/>
        </w:rPr>
      </w:pPr>
      <w:r w:rsidRPr="0085353E">
        <w:rPr>
          <w:b/>
        </w:rPr>
        <w:t>Výbor NR SR pre financie a</w:t>
      </w:r>
      <w:r>
        <w:rPr>
          <w:b/>
        </w:rPr>
        <w:t> </w:t>
      </w:r>
      <w:r w:rsidRPr="0085353E">
        <w:rPr>
          <w:b/>
        </w:rPr>
        <w:t>rozpočet</w:t>
      </w:r>
    </w:p>
    <w:p w:rsidR="002049FA" w:rsidRPr="00327C8B" w:rsidP="00975C2E">
      <w:pPr>
        <w:ind w:left="2832"/>
        <w:jc w:val="both"/>
        <w:rPr>
          <w:b/>
        </w:rPr>
      </w:pPr>
      <w:r w:rsidRPr="00327C8B">
        <w:rPr>
          <w:b/>
        </w:rPr>
        <w:t xml:space="preserve">Ústavnoprávny výbor NR SR </w:t>
      </w:r>
    </w:p>
    <w:p w:rsidR="002049FA" w:rsidP="00975C2E">
      <w:pPr>
        <w:ind w:left="2832"/>
        <w:jc w:val="both"/>
      </w:pPr>
      <w:r>
        <w:rPr>
          <w:b/>
        </w:rPr>
        <w:t>Gestorský výbor odporúča schváliť.</w:t>
      </w:r>
    </w:p>
    <w:p w:rsidR="005E3851" w:rsidP="005E3851">
      <w:pPr>
        <w:ind w:left="3969"/>
        <w:jc w:val="both"/>
        <w:rPr>
          <w:rFonts w:eastAsia="Calibri"/>
          <w:bCs/>
          <w:lang w:eastAsia="en-US"/>
        </w:rPr>
      </w:pPr>
    </w:p>
    <w:p w:rsidR="005E3851" w:rsidP="005E3851">
      <w:pPr>
        <w:numPr>
          <w:ilvl w:val="1"/>
          <w:numId w:val="37"/>
        </w:numPr>
        <w:ind w:left="426" w:hanging="426"/>
        <w:jc w:val="both"/>
        <w:rPr>
          <w:rFonts w:eastAsia="Calibri"/>
          <w:bCs/>
          <w:lang w:eastAsia="en-US"/>
        </w:rPr>
      </w:pPr>
      <w:r>
        <w:rPr>
          <w:rFonts w:eastAsia="Calibri"/>
          <w:b/>
          <w:bCs/>
          <w:lang w:eastAsia="en-US"/>
        </w:rPr>
        <w:t>V  č</w:t>
      </w:r>
      <w:r>
        <w:rPr>
          <w:rFonts w:eastAsia="Calibri"/>
          <w:b/>
          <w:bCs/>
          <w:lang w:eastAsia="en-US"/>
        </w:rPr>
        <w:t>l. I, § 4 ods. 1</w:t>
      </w:r>
      <w:r>
        <w:rPr>
          <w:rFonts w:eastAsia="Calibri"/>
          <w:bCs/>
          <w:lang w:eastAsia="en-US"/>
        </w:rPr>
        <w:t xml:space="preserve"> sa v úvodnej vete slovo „zmenšeniu“ nahrádza slovom „zníženiu“. </w:t>
      </w:r>
    </w:p>
    <w:p w:rsidR="005E3851" w:rsidP="005E3851">
      <w:pPr>
        <w:ind w:left="3969"/>
        <w:jc w:val="both"/>
        <w:rPr>
          <w:rFonts w:eastAsia="Calibri"/>
          <w:bCs/>
          <w:lang w:eastAsia="en-US"/>
        </w:rPr>
      </w:pPr>
    </w:p>
    <w:p w:rsidR="005E3851" w:rsidP="00975C2E">
      <w:pPr>
        <w:ind w:left="2832"/>
        <w:jc w:val="both"/>
        <w:rPr>
          <w:rFonts w:eastAsia="Calibri"/>
          <w:bCs/>
          <w:lang w:eastAsia="en-US"/>
        </w:rPr>
      </w:pPr>
      <w:r>
        <w:rPr>
          <w:rFonts w:eastAsia="Calibri"/>
          <w:bCs/>
          <w:lang w:eastAsia="en-US"/>
        </w:rPr>
        <w:t>Ide o legislatívno-technickú úpravu; ustanovenie sa terminologicky spresňuje.</w:t>
      </w:r>
    </w:p>
    <w:p w:rsidR="002049FA" w:rsidP="002049FA">
      <w:pPr>
        <w:ind w:left="2832" w:hanging="705"/>
        <w:jc w:val="both"/>
        <w:rPr>
          <w:b/>
        </w:rPr>
      </w:pPr>
    </w:p>
    <w:p w:rsidR="002049FA" w:rsidP="00975C2E">
      <w:pPr>
        <w:ind w:left="2832"/>
        <w:jc w:val="both"/>
        <w:rPr>
          <w:b/>
        </w:rPr>
      </w:pPr>
      <w:r w:rsidRPr="0085353E">
        <w:rPr>
          <w:b/>
        </w:rPr>
        <w:t>Výbor NR SR pre financie a</w:t>
      </w:r>
      <w:r>
        <w:rPr>
          <w:b/>
        </w:rPr>
        <w:t> </w:t>
      </w:r>
      <w:r w:rsidRPr="0085353E">
        <w:rPr>
          <w:b/>
        </w:rPr>
        <w:t>rozpočet</w:t>
      </w:r>
    </w:p>
    <w:p w:rsidR="002049FA" w:rsidRPr="00327C8B" w:rsidP="00975C2E">
      <w:pPr>
        <w:ind w:left="2832"/>
        <w:jc w:val="both"/>
        <w:rPr>
          <w:b/>
        </w:rPr>
      </w:pPr>
      <w:r w:rsidRPr="00327C8B">
        <w:rPr>
          <w:b/>
        </w:rPr>
        <w:t xml:space="preserve">Ústavnoprávny výbor NR SR </w:t>
      </w:r>
    </w:p>
    <w:p w:rsidR="002049FA" w:rsidP="00975C2E">
      <w:pPr>
        <w:ind w:left="2832"/>
        <w:jc w:val="both"/>
      </w:pPr>
      <w:r>
        <w:rPr>
          <w:b/>
        </w:rPr>
        <w:t>Gestorský výbor odporúča schváliť.</w:t>
      </w:r>
    </w:p>
    <w:p w:rsidR="005E3851" w:rsidP="005E3851">
      <w:pPr>
        <w:ind w:left="3969"/>
        <w:jc w:val="both"/>
        <w:rPr>
          <w:rFonts w:eastAsia="Calibri"/>
          <w:bCs/>
          <w:lang w:eastAsia="en-US"/>
        </w:rPr>
      </w:pPr>
    </w:p>
    <w:p w:rsidR="005E3851" w:rsidP="005E3851">
      <w:pPr>
        <w:numPr>
          <w:ilvl w:val="1"/>
          <w:numId w:val="37"/>
        </w:numPr>
        <w:ind w:left="426" w:hanging="426"/>
        <w:jc w:val="both"/>
        <w:rPr>
          <w:rFonts w:eastAsia="Calibri"/>
          <w:bCs/>
          <w:lang w:eastAsia="en-US"/>
        </w:rPr>
      </w:pPr>
      <w:r>
        <w:rPr>
          <w:rFonts w:eastAsia="Calibri"/>
          <w:b/>
          <w:bCs/>
          <w:lang w:eastAsia="en-US"/>
        </w:rPr>
        <w:t>V čl. I, § 6 ods. 2</w:t>
      </w:r>
      <w:r>
        <w:rPr>
          <w:rFonts w:eastAsia="Calibri"/>
          <w:bCs/>
          <w:lang w:eastAsia="en-US"/>
        </w:rPr>
        <w:t xml:space="preserve"> sa vypúšťajú slová „a jej sumu“ a za slová „dôvod prevodu“ sa vkladá čiarka a slovo „sumu“.</w:t>
      </w:r>
    </w:p>
    <w:p w:rsidR="005E3851" w:rsidP="005E3851">
      <w:pPr>
        <w:ind w:left="1416" w:firstLine="708"/>
        <w:jc w:val="both"/>
        <w:rPr>
          <w:rFonts w:eastAsia="Calibri"/>
          <w:bCs/>
          <w:lang w:eastAsia="en-US"/>
        </w:rPr>
      </w:pPr>
    </w:p>
    <w:p w:rsidR="005E3851" w:rsidP="00975C2E">
      <w:pPr>
        <w:ind w:left="2124" w:firstLine="708"/>
        <w:jc w:val="both"/>
        <w:rPr>
          <w:rFonts w:eastAsia="Calibri"/>
          <w:bCs/>
          <w:lang w:eastAsia="en-US"/>
        </w:rPr>
      </w:pPr>
      <w:r>
        <w:rPr>
          <w:rFonts w:eastAsia="Calibri"/>
          <w:bCs/>
          <w:lang w:eastAsia="en-US"/>
        </w:rPr>
        <w:t xml:space="preserve">Ide o legislatívno-technickú úpravu; ustanovenie sa precizuje. </w:t>
      </w:r>
    </w:p>
    <w:p w:rsidR="002049FA" w:rsidP="002049FA">
      <w:pPr>
        <w:ind w:left="2832" w:hanging="705"/>
        <w:jc w:val="both"/>
        <w:rPr>
          <w:b/>
        </w:rPr>
      </w:pPr>
    </w:p>
    <w:p w:rsidR="002049FA" w:rsidP="00975C2E">
      <w:pPr>
        <w:ind w:left="2832"/>
        <w:jc w:val="both"/>
        <w:rPr>
          <w:b/>
        </w:rPr>
      </w:pPr>
      <w:r w:rsidRPr="0085353E">
        <w:rPr>
          <w:b/>
        </w:rPr>
        <w:t>Výbor NR SR pre financie a</w:t>
      </w:r>
      <w:r>
        <w:rPr>
          <w:b/>
        </w:rPr>
        <w:t> </w:t>
      </w:r>
      <w:r w:rsidRPr="0085353E">
        <w:rPr>
          <w:b/>
        </w:rPr>
        <w:t>rozpočet</w:t>
      </w:r>
    </w:p>
    <w:p w:rsidR="002049FA" w:rsidRPr="00327C8B" w:rsidP="00975C2E">
      <w:pPr>
        <w:ind w:left="2832"/>
        <w:jc w:val="both"/>
        <w:rPr>
          <w:b/>
        </w:rPr>
      </w:pPr>
      <w:r w:rsidRPr="00327C8B">
        <w:rPr>
          <w:b/>
        </w:rPr>
        <w:t xml:space="preserve">Ústavnoprávny výbor NR SR </w:t>
      </w:r>
    </w:p>
    <w:p w:rsidR="002049FA" w:rsidP="00975C2E">
      <w:pPr>
        <w:ind w:left="2832"/>
        <w:jc w:val="both"/>
      </w:pPr>
      <w:r>
        <w:rPr>
          <w:b/>
        </w:rPr>
        <w:t>Gestorský výbor odporúča schváliť.</w:t>
      </w:r>
    </w:p>
    <w:p w:rsidR="005E3851" w:rsidP="005E3851">
      <w:pPr>
        <w:ind w:left="3969"/>
        <w:jc w:val="both"/>
        <w:rPr>
          <w:rFonts w:eastAsia="Calibri"/>
          <w:bCs/>
          <w:lang w:eastAsia="en-US"/>
        </w:rPr>
      </w:pPr>
    </w:p>
    <w:p w:rsidR="005E3851" w:rsidP="005E3851">
      <w:pPr>
        <w:numPr>
          <w:ilvl w:val="1"/>
          <w:numId w:val="37"/>
        </w:numPr>
        <w:ind w:left="426" w:hanging="426"/>
        <w:jc w:val="both"/>
        <w:rPr>
          <w:rFonts w:eastAsia="Calibri"/>
          <w:bCs/>
          <w:lang w:eastAsia="en-US"/>
        </w:rPr>
      </w:pPr>
      <w:r>
        <w:rPr>
          <w:rFonts w:eastAsia="Calibri"/>
          <w:b/>
          <w:bCs/>
          <w:lang w:eastAsia="en-US"/>
        </w:rPr>
        <w:t>V čl. I, § 6 ods. 3</w:t>
      </w:r>
      <w:r>
        <w:rPr>
          <w:rFonts w:eastAsia="Calibri"/>
          <w:bCs/>
          <w:lang w:eastAsia="en-US"/>
        </w:rPr>
        <w:t xml:space="preserve"> sa slová „jej príslušenstva“ nahrádzajú slovami „príslušenstva pohľadávky štátu“ a za slovo „odovzdať“ sa vkladajú slová „novému správcovi“.</w:t>
      </w:r>
    </w:p>
    <w:p w:rsidR="005E3851" w:rsidP="005E3851">
      <w:pPr>
        <w:ind w:left="2124"/>
        <w:jc w:val="both"/>
        <w:rPr>
          <w:rFonts w:eastAsia="Calibri"/>
          <w:bCs/>
          <w:lang w:eastAsia="en-US"/>
        </w:rPr>
      </w:pPr>
    </w:p>
    <w:p w:rsidR="005E3851" w:rsidP="00975C2E">
      <w:pPr>
        <w:ind w:left="2832"/>
        <w:jc w:val="both"/>
        <w:rPr>
          <w:rFonts w:eastAsia="Calibri"/>
          <w:bCs/>
          <w:lang w:eastAsia="en-US"/>
        </w:rPr>
      </w:pPr>
      <w:r>
        <w:rPr>
          <w:rFonts w:eastAsia="Calibri"/>
          <w:bCs/>
          <w:lang w:eastAsia="en-US"/>
        </w:rPr>
        <w:t xml:space="preserve">Ide o legislatívno-technickú úpravu; ustanovenie sa precizuje s ohľadom na terminologickú presnosť a jednoznačnosť. </w:t>
      </w:r>
    </w:p>
    <w:p w:rsidR="002049FA" w:rsidP="002049FA">
      <w:pPr>
        <w:ind w:left="2832" w:hanging="705"/>
        <w:jc w:val="both"/>
        <w:rPr>
          <w:b/>
        </w:rPr>
      </w:pPr>
    </w:p>
    <w:p w:rsidR="002049FA" w:rsidP="00975C2E">
      <w:pPr>
        <w:ind w:left="2832"/>
        <w:jc w:val="both"/>
        <w:rPr>
          <w:b/>
        </w:rPr>
      </w:pPr>
      <w:r w:rsidRPr="0085353E">
        <w:rPr>
          <w:b/>
        </w:rPr>
        <w:t>Výbor NR SR pre financie a</w:t>
      </w:r>
      <w:r w:rsidR="008F7238">
        <w:rPr>
          <w:b/>
        </w:rPr>
        <w:t> </w:t>
      </w:r>
      <w:r w:rsidRPr="0085353E">
        <w:rPr>
          <w:b/>
        </w:rPr>
        <w:t>rozpočet</w:t>
      </w:r>
    </w:p>
    <w:p w:rsidR="008F7238" w:rsidRPr="00327C8B" w:rsidP="00975C2E">
      <w:pPr>
        <w:ind w:left="2832"/>
        <w:jc w:val="both"/>
        <w:rPr>
          <w:b/>
        </w:rPr>
      </w:pPr>
      <w:r w:rsidRPr="00327C8B">
        <w:rPr>
          <w:b/>
        </w:rPr>
        <w:t xml:space="preserve">Ústavnoprávny výbor NR SR </w:t>
      </w:r>
    </w:p>
    <w:p w:rsidR="002049FA" w:rsidP="00975C2E">
      <w:pPr>
        <w:ind w:left="2832"/>
        <w:jc w:val="both"/>
      </w:pPr>
      <w:r>
        <w:rPr>
          <w:b/>
        </w:rPr>
        <w:t>Gestorský výbor odporúča schváliť.</w:t>
      </w:r>
    </w:p>
    <w:p w:rsidR="005E3851" w:rsidP="005E3851">
      <w:pPr>
        <w:ind w:left="3969"/>
        <w:jc w:val="both"/>
        <w:rPr>
          <w:rFonts w:eastAsia="Calibri"/>
          <w:bCs/>
          <w:lang w:eastAsia="en-US"/>
        </w:rPr>
      </w:pPr>
    </w:p>
    <w:p w:rsidR="005E3851" w:rsidP="005E3851">
      <w:pPr>
        <w:numPr>
          <w:ilvl w:val="1"/>
          <w:numId w:val="37"/>
        </w:numPr>
        <w:ind w:left="426" w:hanging="426"/>
        <w:jc w:val="both"/>
        <w:rPr>
          <w:rFonts w:eastAsia="Calibri"/>
          <w:bCs/>
          <w:lang w:eastAsia="en-US"/>
        </w:rPr>
      </w:pPr>
      <w:r>
        <w:rPr>
          <w:rFonts w:eastAsia="Calibri"/>
          <w:b/>
          <w:bCs/>
          <w:lang w:eastAsia="en-US"/>
        </w:rPr>
        <w:t>V čl. I, § 7 ods. 3</w:t>
      </w:r>
      <w:r>
        <w:rPr>
          <w:rFonts w:eastAsia="Calibri"/>
          <w:bCs/>
          <w:lang w:eastAsia="en-US"/>
        </w:rPr>
        <w:t xml:space="preserve"> sa slová „jej splatnosti“ nahrádzajú slovami „splatnosti verejnej pohľadávky štátu“.</w:t>
      </w:r>
    </w:p>
    <w:p w:rsidR="005E3851" w:rsidP="005E3851">
      <w:pPr>
        <w:jc w:val="both"/>
        <w:rPr>
          <w:rFonts w:eastAsia="Calibri"/>
          <w:bCs/>
          <w:lang w:eastAsia="en-US"/>
        </w:rPr>
      </w:pPr>
    </w:p>
    <w:p w:rsidR="005E3851" w:rsidP="00975C2E">
      <w:pPr>
        <w:ind w:left="2832"/>
        <w:jc w:val="both"/>
        <w:rPr>
          <w:rFonts w:eastAsia="Calibri"/>
          <w:bCs/>
          <w:lang w:eastAsia="en-US"/>
        </w:rPr>
      </w:pPr>
      <w:r>
        <w:rPr>
          <w:rFonts w:eastAsia="Calibri"/>
          <w:bCs/>
          <w:lang w:eastAsia="en-US"/>
        </w:rPr>
        <w:t xml:space="preserve">Ide o legislatívno-technickú úpravu; ustanovenie sa precizuje s ohľadom na terminologickú presnosť a jednoznačnosť. </w:t>
      </w:r>
    </w:p>
    <w:p w:rsidR="002049FA" w:rsidP="002049FA">
      <w:pPr>
        <w:ind w:left="2832" w:hanging="705"/>
        <w:jc w:val="both"/>
        <w:rPr>
          <w:b/>
        </w:rPr>
      </w:pPr>
    </w:p>
    <w:p w:rsidR="002049FA" w:rsidP="00975C2E">
      <w:pPr>
        <w:ind w:left="2832"/>
        <w:jc w:val="both"/>
        <w:rPr>
          <w:b/>
        </w:rPr>
      </w:pPr>
      <w:r w:rsidRPr="0085353E">
        <w:rPr>
          <w:b/>
        </w:rPr>
        <w:t>Výbor NR SR pre financie a</w:t>
      </w:r>
      <w:r w:rsidR="008F7238">
        <w:rPr>
          <w:b/>
        </w:rPr>
        <w:t> </w:t>
      </w:r>
      <w:r w:rsidRPr="0085353E">
        <w:rPr>
          <w:b/>
        </w:rPr>
        <w:t>rozpočet</w:t>
      </w:r>
    </w:p>
    <w:p w:rsidR="008F7238" w:rsidRPr="00327C8B" w:rsidP="00975C2E">
      <w:pPr>
        <w:ind w:left="2832"/>
        <w:jc w:val="both"/>
        <w:rPr>
          <w:b/>
        </w:rPr>
      </w:pPr>
      <w:r w:rsidRPr="00327C8B">
        <w:rPr>
          <w:b/>
        </w:rPr>
        <w:t xml:space="preserve">Ústavnoprávny výbor NR SR </w:t>
      </w:r>
    </w:p>
    <w:p w:rsidR="002049FA" w:rsidP="00975C2E">
      <w:pPr>
        <w:ind w:left="2832"/>
        <w:jc w:val="both"/>
      </w:pPr>
      <w:r>
        <w:rPr>
          <w:b/>
        </w:rPr>
        <w:t>Gestorský výbor odporúča schváliť.</w:t>
      </w:r>
    </w:p>
    <w:p w:rsidR="005E3851" w:rsidP="005E3851">
      <w:pPr>
        <w:numPr>
          <w:ilvl w:val="1"/>
          <w:numId w:val="37"/>
        </w:numPr>
        <w:ind w:left="426" w:hanging="426"/>
        <w:jc w:val="both"/>
        <w:rPr>
          <w:rFonts w:eastAsia="Calibri"/>
          <w:bCs/>
          <w:lang w:eastAsia="en-US"/>
        </w:rPr>
      </w:pPr>
      <w:r>
        <w:rPr>
          <w:rFonts w:eastAsia="Calibri"/>
          <w:b/>
          <w:bCs/>
          <w:lang w:eastAsia="en-US"/>
        </w:rPr>
        <w:t xml:space="preserve">V čl. I, § 8 ods. 1 </w:t>
      </w:r>
      <w:r w:rsidRPr="00472BA9">
        <w:rPr>
          <w:rFonts w:eastAsia="Calibri"/>
          <w:b/>
          <w:bCs/>
          <w:lang w:eastAsia="en-US"/>
        </w:rPr>
        <w:t>písm. b)</w:t>
      </w:r>
      <w:r>
        <w:rPr>
          <w:rFonts w:eastAsia="Calibri"/>
          <w:bCs/>
          <w:lang w:eastAsia="en-US"/>
        </w:rPr>
        <w:t xml:space="preserve"> sa na konci čiarka nahrádza slovom „a“.</w:t>
      </w:r>
    </w:p>
    <w:p w:rsidR="005E3851" w:rsidP="005E3851">
      <w:pPr>
        <w:ind w:left="3969"/>
        <w:jc w:val="both"/>
        <w:rPr>
          <w:rFonts w:eastAsia="Calibri"/>
          <w:bCs/>
          <w:lang w:eastAsia="en-US"/>
        </w:rPr>
      </w:pPr>
    </w:p>
    <w:p w:rsidR="005E3851" w:rsidP="00975C2E">
      <w:pPr>
        <w:ind w:left="2832"/>
        <w:jc w:val="both"/>
        <w:rPr>
          <w:rFonts w:eastAsia="Calibri"/>
          <w:bCs/>
          <w:lang w:eastAsia="en-US"/>
        </w:rPr>
      </w:pPr>
      <w:r>
        <w:rPr>
          <w:rFonts w:eastAsia="Calibri"/>
          <w:bCs/>
          <w:lang w:eastAsia="en-US"/>
        </w:rPr>
        <w:t xml:space="preserve">Ide o legislatívno-technickú úpravu; ustanovenie sa upravuje s ohľadom na odôvodnenie ustanovenia v dôvodovej správe k návrhu zákona, podľa ktorého  treba všetky podmienky na uzavretie dohody o započítaní pohľadávky splniť spoločne </w:t>
      </w:r>
      <w:r>
        <w:rPr>
          <w:rFonts w:eastAsia="Calibri"/>
          <w:bCs/>
          <w:i/>
          <w:lang w:eastAsia="en-US"/>
        </w:rPr>
        <w:t>(kumulatívne).</w:t>
      </w:r>
      <w:r>
        <w:rPr>
          <w:rFonts w:eastAsia="Calibri"/>
          <w:bCs/>
          <w:lang w:eastAsia="en-US"/>
        </w:rPr>
        <w:t xml:space="preserve">  </w:t>
      </w:r>
    </w:p>
    <w:p w:rsidR="002049FA" w:rsidP="002049FA">
      <w:pPr>
        <w:ind w:left="2832" w:hanging="705"/>
        <w:jc w:val="both"/>
        <w:rPr>
          <w:b/>
        </w:rPr>
      </w:pPr>
    </w:p>
    <w:p w:rsidR="002049FA" w:rsidP="00975C2E">
      <w:pPr>
        <w:ind w:left="2832"/>
        <w:jc w:val="both"/>
        <w:rPr>
          <w:b/>
        </w:rPr>
      </w:pPr>
      <w:r w:rsidRPr="0085353E">
        <w:rPr>
          <w:b/>
        </w:rPr>
        <w:t>Výbor NR SR pre financie a</w:t>
      </w:r>
      <w:r w:rsidR="008F7238">
        <w:rPr>
          <w:b/>
        </w:rPr>
        <w:t> </w:t>
      </w:r>
      <w:r w:rsidRPr="0085353E">
        <w:rPr>
          <w:b/>
        </w:rPr>
        <w:t>rozpočet</w:t>
      </w:r>
    </w:p>
    <w:p w:rsidR="008F7238" w:rsidRPr="00327C8B" w:rsidP="00975C2E">
      <w:pPr>
        <w:ind w:left="2832"/>
        <w:jc w:val="both"/>
        <w:rPr>
          <w:b/>
        </w:rPr>
      </w:pPr>
      <w:r w:rsidRPr="00327C8B">
        <w:rPr>
          <w:b/>
        </w:rPr>
        <w:t xml:space="preserve">Ústavnoprávny výbor NR SR </w:t>
      </w:r>
    </w:p>
    <w:p w:rsidR="002049FA" w:rsidP="00975C2E">
      <w:pPr>
        <w:ind w:left="2832"/>
        <w:jc w:val="both"/>
      </w:pPr>
      <w:r>
        <w:rPr>
          <w:b/>
        </w:rPr>
        <w:t>Gestorský výbor odporúča schváliť.</w:t>
      </w:r>
    </w:p>
    <w:p w:rsidR="005E3851" w:rsidP="005E3851">
      <w:pPr>
        <w:ind w:left="2124"/>
        <w:jc w:val="both"/>
        <w:rPr>
          <w:rFonts w:eastAsia="Calibri"/>
          <w:bCs/>
          <w:lang w:eastAsia="en-US"/>
        </w:rPr>
      </w:pPr>
    </w:p>
    <w:p w:rsidR="005E3851" w:rsidP="005E3851">
      <w:pPr>
        <w:numPr>
          <w:ilvl w:val="1"/>
          <w:numId w:val="37"/>
        </w:numPr>
        <w:ind w:left="426" w:hanging="426"/>
        <w:jc w:val="both"/>
        <w:rPr>
          <w:rFonts w:eastAsia="Calibri"/>
          <w:bCs/>
          <w:lang w:eastAsia="en-US"/>
        </w:rPr>
      </w:pPr>
      <w:r>
        <w:rPr>
          <w:rFonts w:eastAsia="Calibri"/>
          <w:b/>
          <w:bCs/>
          <w:lang w:eastAsia="en-US"/>
        </w:rPr>
        <w:t>V čl. I, § 9 ods. 5</w:t>
      </w:r>
      <w:r>
        <w:rPr>
          <w:rFonts w:eastAsia="Calibri"/>
          <w:bCs/>
          <w:lang w:eastAsia="en-US"/>
        </w:rPr>
        <w:t xml:space="preserve"> sa slovo „neboli“ nahrádza slovom „neexistovali“.</w:t>
      </w:r>
    </w:p>
    <w:p w:rsidR="005E3851" w:rsidP="005E3851">
      <w:pPr>
        <w:jc w:val="both"/>
        <w:rPr>
          <w:rFonts w:eastAsia="Calibri"/>
          <w:bCs/>
          <w:lang w:eastAsia="en-US"/>
        </w:rPr>
      </w:pPr>
    </w:p>
    <w:p w:rsidR="005E3851" w:rsidP="00975C2E">
      <w:pPr>
        <w:ind w:left="2832"/>
        <w:jc w:val="both"/>
        <w:rPr>
          <w:rFonts w:eastAsia="Calibri"/>
          <w:bCs/>
          <w:lang w:eastAsia="en-US"/>
        </w:rPr>
      </w:pPr>
      <w:r>
        <w:rPr>
          <w:rFonts w:eastAsia="Calibri"/>
          <w:bCs/>
          <w:lang w:eastAsia="en-US"/>
        </w:rPr>
        <w:t xml:space="preserve">Ide o legislatívno-technickú úpravu; ustanovenie sa terminologicky spresňuje. </w:t>
      </w:r>
    </w:p>
    <w:p w:rsidR="002049FA" w:rsidP="002049FA">
      <w:pPr>
        <w:ind w:left="2832" w:hanging="705"/>
        <w:jc w:val="both"/>
        <w:rPr>
          <w:b/>
        </w:rPr>
      </w:pPr>
    </w:p>
    <w:p w:rsidR="002049FA" w:rsidP="00975C2E">
      <w:pPr>
        <w:ind w:left="2832"/>
        <w:jc w:val="both"/>
        <w:rPr>
          <w:b/>
        </w:rPr>
      </w:pPr>
      <w:r w:rsidRPr="0085353E">
        <w:rPr>
          <w:b/>
        </w:rPr>
        <w:t>Výbor NR SR pre financie a</w:t>
      </w:r>
      <w:r w:rsidR="008F7238">
        <w:rPr>
          <w:b/>
        </w:rPr>
        <w:t> </w:t>
      </w:r>
      <w:r w:rsidRPr="0085353E">
        <w:rPr>
          <w:b/>
        </w:rPr>
        <w:t>rozpočet</w:t>
      </w:r>
    </w:p>
    <w:p w:rsidR="008F7238" w:rsidRPr="00327C8B" w:rsidP="00975C2E">
      <w:pPr>
        <w:ind w:left="2832"/>
        <w:jc w:val="both"/>
        <w:rPr>
          <w:b/>
        </w:rPr>
      </w:pPr>
      <w:r w:rsidRPr="00327C8B">
        <w:rPr>
          <w:b/>
        </w:rPr>
        <w:t xml:space="preserve">Ústavnoprávny výbor NR SR </w:t>
      </w:r>
    </w:p>
    <w:p w:rsidR="002049FA" w:rsidP="00975C2E">
      <w:pPr>
        <w:ind w:left="2832"/>
        <w:jc w:val="both"/>
      </w:pPr>
      <w:r>
        <w:rPr>
          <w:b/>
        </w:rPr>
        <w:t>Gestorský výbor odporúča schváliť.</w:t>
      </w:r>
    </w:p>
    <w:p w:rsidR="005E3851" w:rsidP="005E3851">
      <w:pPr>
        <w:ind w:left="3969"/>
        <w:jc w:val="both"/>
        <w:rPr>
          <w:rFonts w:eastAsia="Calibri"/>
          <w:bCs/>
          <w:lang w:eastAsia="en-US"/>
        </w:rPr>
      </w:pPr>
    </w:p>
    <w:p w:rsidR="005E3851" w:rsidP="005E3851">
      <w:pPr>
        <w:numPr>
          <w:ilvl w:val="1"/>
          <w:numId w:val="37"/>
        </w:numPr>
        <w:ind w:left="426" w:hanging="426"/>
        <w:jc w:val="both"/>
        <w:rPr>
          <w:rFonts w:eastAsia="Calibri"/>
          <w:bCs/>
          <w:lang w:eastAsia="en-US"/>
        </w:rPr>
      </w:pPr>
      <w:r>
        <w:rPr>
          <w:rFonts w:eastAsia="Calibri"/>
          <w:bCs/>
          <w:lang w:eastAsia="en-US"/>
        </w:rPr>
        <w:t xml:space="preserve"> </w:t>
      </w:r>
      <w:r>
        <w:rPr>
          <w:rFonts w:eastAsia="Calibri"/>
          <w:b/>
          <w:bCs/>
          <w:lang w:eastAsia="en-US"/>
        </w:rPr>
        <w:t>V čl. I, § 11</w:t>
      </w:r>
      <w:r>
        <w:rPr>
          <w:rFonts w:eastAsia="Calibri"/>
          <w:bCs/>
          <w:lang w:eastAsia="en-US"/>
        </w:rPr>
        <w:t xml:space="preserve"> sa slová „</w:t>
      </w:r>
      <w:r>
        <w:rPr>
          <w:bCs/>
          <w:lang w:eastAsia="en-US"/>
        </w:rPr>
        <w:t>ohľadom práv“  nahrádzajú slovami „týkajúcu sa práv“.</w:t>
      </w:r>
    </w:p>
    <w:p w:rsidR="005E3851" w:rsidP="005E3851">
      <w:pPr>
        <w:tabs>
          <w:tab w:val="left" w:pos="3969"/>
        </w:tabs>
        <w:ind w:left="3969"/>
        <w:jc w:val="both"/>
        <w:rPr>
          <w:rFonts w:eastAsia="Calibri"/>
          <w:bCs/>
          <w:lang w:eastAsia="en-US"/>
        </w:rPr>
      </w:pPr>
    </w:p>
    <w:p w:rsidR="005E3851" w:rsidP="005E3851">
      <w:pPr>
        <w:tabs>
          <w:tab w:val="left" w:pos="2127"/>
        </w:tabs>
        <w:jc w:val="both"/>
        <w:rPr>
          <w:rFonts w:eastAsia="Calibri"/>
          <w:bCs/>
          <w:lang w:eastAsia="en-US"/>
        </w:rPr>
      </w:pPr>
      <w:r>
        <w:rPr>
          <w:rFonts w:eastAsia="Calibri"/>
          <w:bCs/>
          <w:lang w:eastAsia="en-US"/>
        </w:rPr>
        <w:tab/>
      </w:r>
      <w:r w:rsidR="00975C2E">
        <w:rPr>
          <w:rFonts w:eastAsia="Calibri"/>
          <w:bCs/>
          <w:lang w:eastAsia="en-US"/>
        </w:rPr>
        <w:tab/>
      </w:r>
      <w:r>
        <w:rPr>
          <w:rFonts w:eastAsia="Calibri"/>
          <w:bCs/>
          <w:lang w:eastAsia="en-US"/>
        </w:rPr>
        <w:t>Ide o legislatívno-technickú úpravu; ustanovenie sa preciz</w:t>
      </w:r>
      <w:r>
        <w:rPr>
          <w:rFonts w:eastAsia="Calibri"/>
          <w:bCs/>
          <w:lang w:eastAsia="en-US"/>
        </w:rPr>
        <w:t xml:space="preserve">uje. </w:t>
      </w:r>
    </w:p>
    <w:p w:rsidR="002049FA" w:rsidP="002049FA">
      <w:pPr>
        <w:ind w:left="2832" w:hanging="705"/>
        <w:jc w:val="both"/>
        <w:rPr>
          <w:b/>
        </w:rPr>
      </w:pPr>
    </w:p>
    <w:p w:rsidR="002049FA" w:rsidP="00975C2E">
      <w:pPr>
        <w:ind w:left="2832"/>
        <w:jc w:val="both"/>
        <w:rPr>
          <w:b/>
        </w:rPr>
      </w:pPr>
      <w:r w:rsidRPr="0085353E">
        <w:rPr>
          <w:b/>
        </w:rPr>
        <w:t>Výbor NR SR pre financie a</w:t>
      </w:r>
      <w:r w:rsidR="008F7238">
        <w:rPr>
          <w:b/>
        </w:rPr>
        <w:t> </w:t>
      </w:r>
      <w:r w:rsidRPr="0085353E">
        <w:rPr>
          <w:b/>
        </w:rPr>
        <w:t>rozpočet</w:t>
      </w:r>
    </w:p>
    <w:p w:rsidR="008F7238" w:rsidRPr="00327C8B" w:rsidP="00975C2E">
      <w:pPr>
        <w:ind w:left="2832"/>
        <w:jc w:val="both"/>
        <w:rPr>
          <w:b/>
        </w:rPr>
      </w:pPr>
      <w:r w:rsidRPr="00327C8B">
        <w:rPr>
          <w:b/>
        </w:rPr>
        <w:t xml:space="preserve">Ústavnoprávny výbor NR SR </w:t>
      </w:r>
    </w:p>
    <w:p w:rsidR="002049FA" w:rsidP="00975C2E">
      <w:pPr>
        <w:ind w:left="2832"/>
        <w:jc w:val="both"/>
      </w:pPr>
      <w:r>
        <w:rPr>
          <w:b/>
        </w:rPr>
        <w:t>Gestorský výbor odporúča schváliť.</w:t>
      </w:r>
    </w:p>
    <w:p w:rsidR="005E3851" w:rsidP="005E3851">
      <w:pPr>
        <w:tabs>
          <w:tab w:val="left" w:pos="3969"/>
        </w:tabs>
        <w:ind w:left="3969"/>
        <w:jc w:val="both"/>
        <w:rPr>
          <w:rFonts w:eastAsia="Calibri"/>
          <w:bCs/>
          <w:lang w:eastAsia="en-US"/>
        </w:rPr>
      </w:pPr>
    </w:p>
    <w:p w:rsidR="005E3851" w:rsidP="005E3851">
      <w:pPr>
        <w:numPr>
          <w:ilvl w:val="1"/>
          <w:numId w:val="37"/>
        </w:numPr>
        <w:ind w:left="426" w:hanging="426"/>
        <w:jc w:val="both"/>
        <w:rPr>
          <w:rFonts w:eastAsia="Calibri"/>
          <w:bCs/>
          <w:lang w:eastAsia="en-US"/>
        </w:rPr>
      </w:pPr>
      <w:r>
        <w:rPr>
          <w:rFonts w:eastAsia="Calibri"/>
          <w:b/>
          <w:bCs/>
          <w:lang w:eastAsia="en-US"/>
        </w:rPr>
        <w:t>V čl. I, § 13 ods. 1</w:t>
      </w:r>
      <w:r>
        <w:rPr>
          <w:rFonts w:eastAsia="Calibri"/>
          <w:bCs/>
          <w:lang w:eastAsia="en-US"/>
        </w:rPr>
        <w:t xml:space="preserve"> </w:t>
      </w:r>
      <w:r w:rsidRPr="00472BA9">
        <w:rPr>
          <w:rFonts w:eastAsia="Calibri"/>
          <w:b/>
          <w:bCs/>
          <w:lang w:eastAsia="en-US"/>
        </w:rPr>
        <w:t>písm. a)</w:t>
      </w:r>
      <w:r>
        <w:rPr>
          <w:rFonts w:eastAsia="Calibri"/>
          <w:bCs/>
          <w:lang w:eastAsia="en-US"/>
        </w:rPr>
        <w:t xml:space="preserve">  sa slovo „splnením“ nahrádza slovami „jej splnením“. </w:t>
      </w:r>
    </w:p>
    <w:p w:rsidR="005E3851" w:rsidP="005E3851">
      <w:pPr>
        <w:ind w:left="3969"/>
        <w:jc w:val="both"/>
        <w:rPr>
          <w:rFonts w:eastAsia="Calibri"/>
          <w:bCs/>
          <w:lang w:eastAsia="en-US"/>
        </w:rPr>
      </w:pPr>
    </w:p>
    <w:p w:rsidR="005E3851" w:rsidP="00975C2E">
      <w:pPr>
        <w:ind w:left="2832"/>
        <w:jc w:val="both"/>
        <w:rPr>
          <w:rFonts w:eastAsia="Calibri"/>
          <w:bCs/>
          <w:lang w:eastAsia="en-US"/>
        </w:rPr>
      </w:pPr>
      <w:r>
        <w:rPr>
          <w:rFonts w:eastAsia="Calibri"/>
          <w:bCs/>
          <w:lang w:eastAsia="en-US"/>
        </w:rPr>
        <w:t xml:space="preserve">Ide o legislatívno-technickú úpravu; ustanovenie sa terminologicky spresňuje v kontexte návrhu zákona. </w:t>
      </w:r>
    </w:p>
    <w:p w:rsidR="002049FA" w:rsidP="002049FA">
      <w:pPr>
        <w:ind w:left="2832" w:hanging="705"/>
        <w:jc w:val="both"/>
        <w:rPr>
          <w:b/>
        </w:rPr>
      </w:pPr>
    </w:p>
    <w:p w:rsidR="002049FA" w:rsidP="00975C2E">
      <w:pPr>
        <w:ind w:left="2832"/>
        <w:jc w:val="both"/>
        <w:rPr>
          <w:b/>
        </w:rPr>
      </w:pPr>
      <w:r w:rsidRPr="0085353E">
        <w:rPr>
          <w:b/>
        </w:rPr>
        <w:t>Výbor NR SR pre financie a</w:t>
      </w:r>
      <w:r w:rsidR="008F7238">
        <w:rPr>
          <w:b/>
        </w:rPr>
        <w:t> </w:t>
      </w:r>
      <w:r w:rsidRPr="0085353E">
        <w:rPr>
          <w:b/>
        </w:rPr>
        <w:t>rozpočet</w:t>
      </w:r>
    </w:p>
    <w:p w:rsidR="008F7238" w:rsidRPr="00327C8B" w:rsidP="00975C2E">
      <w:pPr>
        <w:ind w:left="2832"/>
        <w:jc w:val="both"/>
        <w:rPr>
          <w:b/>
        </w:rPr>
      </w:pPr>
      <w:r w:rsidRPr="00327C8B">
        <w:rPr>
          <w:b/>
        </w:rPr>
        <w:t xml:space="preserve">Ústavnoprávny výbor NR SR </w:t>
      </w:r>
    </w:p>
    <w:p w:rsidR="002049FA" w:rsidP="00975C2E">
      <w:pPr>
        <w:ind w:left="2832"/>
        <w:jc w:val="both"/>
      </w:pPr>
      <w:r>
        <w:rPr>
          <w:b/>
        </w:rPr>
        <w:t>Gestorský výbor odporúča schváliť.</w:t>
      </w:r>
    </w:p>
    <w:p w:rsidR="005E3851" w:rsidP="005E3851">
      <w:pPr>
        <w:ind w:left="3969"/>
        <w:jc w:val="both"/>
        <w:rPr>
          <w:rFonts w:eastAsia="Calibri"/>
          <w:bCs/>
          <w:lang w:eastAsia="en-US"/>
        </w:rPr>
      </w:pPr>
    </w:p>
    <w:p w:rsidR="005E3851" w:rsidP="005E3851">
      <w:pPr>
        <w:numPr>
          <w:ilvl w:val="1"/>
          <w:numId w:val="37"/>
        </w:numPr>
        <w:ind w:left="426" w:hanging="426"/>
        <w:rPr>
          <w:bCs/>
          <w:lang w:eastAsia="en-US"/>
        </w:rPr>
      </w:pPr>
      <w:r>
        <w:rPr>
          <w:b/>
          <w:bCs/>
          <w:lang w:eastAsia="en-US"/>
        </w:rPr>
        <w:t xml:space="preserve">V čl. I § 14 odsek 4 </w:t>
      </w:r>
      <w:r>
        <w:rPr>
          <w:bCs/>
          <w:lang w:eastAsia="en-US"/>
        </w:rPr>
        <w:t>znie:</w:t>
      </w:r>
    </w:p>
    <w:p w:rsidR="005E3851" w:rsidP="005E3851">
      <w:pPr>
        <w:rPr>
          <w:b/>
          <w:bCs/>
          <w:lang w:eastAsia="en-US"/>
        </w:rPr>
      </w:pPr>
    </w:p>
    <w:p w:rsidR="005E3851" w:rsidP="005E3851">
      <w:pPr>
        <w:jc w:val="both"/>
        <w:rPr>
          <w:bCs/>
          <w:lang w:eastAsia="en-US"/>
        </w:rPr>
      </w:pPr>
      <w:r>
        <w:rPr>
          <w:bCs/>
          <w:lang w:eastAsia="en-US"/>
        </w:rPr>
        <w:t>„(4) Konsolidácia pohľadávok štátu nemusí byť vykonaná, ak ide o pohľadávku štátu, ktorá sa vymáha v konaní podľa osobitných predpisov</w:t>
      </w:r>
      <w:r>
        <w:rPr>
          <w:bCs/>
          <w:vertAlign w:val="superscript"/>
          <w:lang w:eastAsia="en-US"/>
        </w:rPr>
        <w:t>10</w:t>
      </w:r>
      <w:r>
        <w:rPr>
          <w:bCs/>
          <w:lang w:eastAsia="en-US"/>
        </w:rPr>
        <w:t>) alebo prebieha výkon rozhodnutia na pohľadávku štátu podľa všeobecného predpisu o správnom konaní. Konsolidácia pohľadávok štátu sa nevykonáva, ak</w:t>
      </w:r>
    </w:p>
    <w:p w:rsidR="005E3851" w:rsidP="005E3851">
      <w:pPr>
        <w:rPr>
          <w:rFonts w:ascii="Calibri" w:hAnsi="Calibri"/>
          <w:bCs/>
          <w:sz w:val="22"/>
          <w:szCs w:val="22"/>
          <w:lang w:eastAsia="en-US"/>
        </w:rPr>
      </w:pPr>
      <w:r>
        <w:rPr>
          <w:bCs/>
          <w:lang w:eastAsia="en-US"/>
        </w:rPr>
        <w:t>a) ide o pohľadávku štátu, ktorej vymáhajúci orgán je ustan</w:t>
      </w:r>
      <w:r>
        <w:rPr>
          <w:bCs/>
          <w:lang w:eastAsia="en-US"/>
        </w:rPr>
        <w:t>ovený osobitným predpisom,</w:t>
      </w:r>
      <w:r>
        <w:rPr>
          <w:bCs/>
          <w:vertAlign w:val="superscript"/>
          <w:lang w:eastAsia="en-US"/>
        </w:rPr>
        <w:t>21</w:t>
      </w:r>
      <w:r>
        <w:rPr>
          <w:bCs/>
          <w:lang w:eastAsia="en-US"/>
        </w:rPr>
        <w:t>)</w:t>
      </w:r>
    </w:p>
    <w:p w:rsidR="005E3851" w:rsidP="005E3851">
      <w:pPr>
        <w:rPr>
          <w:rFonts w:ascii="Calibri" w:hAnsi="Calibri"/>
          <w:bCs/>
          <w:sz w:val="22"/>
          <w:szCs w:val="22"/>
          <w:lang w:eastAsia="en-US"/>
        </w:rPr>
      </w:pPr>
      <w:r>
        <w:rPr>
          <w:bCs/>
          <w:lang w:eastAsia="en-US"/>
        </w:rPr>
        <w:t xml:space="preserve">b) od vymáhania pohľadávky štátu správca trvale upustil, </w:t>
      </w:r>
    </w:p>
    <w:p w:rsidR="005E3851" w:rsidP="005E3851">
      <w:pPr>
        <w:ind w:left="284" w:hanging="284"/>
        <w:rPr>
          <w:bCs/>
          <w:lang w:eastAsia="en-US"/>
        </w:rPr>
      </w:pPr>
      <w:r>
        <w:rPr>
          <w:bCs/>
          <w:lang w:eastAsia="en-US"/>
        </w:rPr>
        <w:t>c) ide o pohľadávku štátu, ku ktorej je uzavretá dohoda o splátkach alebo dohoda o odklade platenia, a § 17 neustanovuje inak,</w:t>
      </w:r>
    </w:p>
    <w:p w:rsidR="005E3851" w:rsidP="005E3851">
      <w:pPr>
        <w:rPr>
          <w:bCs/>
          <w:lang w:eastAsia="en-US"/>
        </w:rPr>
      </w:pPr>
      <w:r>
        <w:rPr>
          <w:bCs/>
          <w:lang w:eastAsia="en-US"/>
        </w:rPr>
        <w:t>d) ide o pohľadávku štátu z trvajúceho zmluvného vzťahu,</w:t>
      </w:r>
    </w:p>
    <w:p w:rsidR="005E3851" w:rsidP="005E3851">
      <w:pPr>
        <w:rPr>
          <w:bCs/>
          <w:lang w:eastAsia="en-US"/>
        </w:rPr>
      </w:pPr>
      <w:r>
        <w:rPr>
          <w:bCs/>
          <w:lang w:eastAsia="en-US"/>
        </w:rPr>
        <w:t>e) dlžníkom je správca,</w:t>
      </w:r>
    </w:p>
    <w:p w:rsidR="005E3851" w:rsidP="005E3851">
      <w:pPr>
        <w:rPr>
          <w:bCs/>
          <w:lang w:eastAsia="en-US"/>
        </w:rPr>
      </w:pPr>
      <w:r>
        <w:rPr>
          <w:bCs/>
          <w:lang w:eastAsia="en-US"/>
        </w:rPr>
        <w:t>f) dlžníkom je poverená osoba.“.</w:t>
      </w:r>
    </w:p>
    <w:p w:rsidR="005E3851" w:rsidP="005E3851">
      <w:pPr>
        <w:ind w:left="3969"/>
        <w:jc w:val="both"/>
        <w:rPr>
          <w:rFonts w:eastAsia="Calibri"/>
          <w:bCs/>
          <w:lang w:eastAsia="en-US"/>
        </w:rPr>
      </w:pPr>
    </w:p>
    <w:p w:rsidR="005E3851" w:rsidP="00975C2E">
      <w:pPr>
        <w:ind w:left="2832"/>
        <w:jc w:val="both"/>
        <w:rPr>
          <w:rFonts w:eastAsia="Calibri"/>
          <w:bCs/>
          <w:lang w:eastAsia="en-US"/>
        </w:rPr>
      </w:pPr>
      <w:r>
        <w:rPr>
          <w:rFonts w:eastAsia="Calibri"/>
          <w:bCs/>
          <w:lang w:eastAsia="en-US"/>
        </w:rPr>
        <w:t>Na právnickú osobu so 100% majetkovou účasťou štátu sa na základe tejto zmeny nebude postupovať právo uplatnenia a vymáhania pohľadávok štátu, ak bude dlžníkom rozpočtová organizácia štátu alebo príspevková organizácia štátu, prípadne dlžníkom bude samotná poverená organizácia. Takisto je potrebné z možnosti postupovať právo vymáhania vylúčiť aj prípady, keď je kompetencia na vymáhanie pohľadávok štátu ustanovená priamo niektorým zákonom. Ak prebieha voči dlžníkovi exekučné konanie, výkon rozhodnutia podľa Správneho poriadku a podľa Občianskeho súdneho poriadku, prípadne dobrovoľná dražba, je dôvodné ponechať správcovi možnosť postúpenia práva ich vymáhania na túto právnickú osobu, a to z dôvodu, že pre vysoký počet takýchto pohľadávok môže byť efektívnejšie a hospodárnejšie ich vymáhanie touto právnickou osobou.</w:t>
      </w:r>
    </w:p>
    <w:p w:rsidR="002049FA" w:rsidP="002049FA">
      <w:pPr>
        <w:ind w:left="2832" w:hanging="705"/>
        <w:jc w:val="both"/>
        <w:rPr>
          <w:b/>
        </w:rPr>
      </w:pPr>
    </w:p>
    <w:p w:rsidR="002049FA" w:rsidP="00975C2E">
      <w:pPr>
        <w:ind w:left="2832"/>
        <w:jc w:val="both"/>
        <w:rPr>
          <w:b/>
        </w:rPr>
      </w:pPr>
      <w:r w:rsidRPr="0085353E">
        <w:rPr>
          <w:b/>
        </w:rPr>
        <w:t>Výbor NR SR pre financie a</w:t>
      </w:r>
      <w:r>
        <w:rPr>
          <w:b/>
        </w:rPr>
        <w:t> </w:t>
      </w:r>
      <w:r w:rsidRPr="0085353E">
        <w:rPr>
          <w:b/>
        </w:rPr>
        <w:t>rozpočet</w:t>
      </w:r>
    </w:p>
    <w:p w:rsidR="002049FA" w:rsidP="00975C2E">
      <w:pPr>
        <w:ind w:left="2832"/>
        <w:jc w:val="both"/>
      </w:pPr>
      <w:r>
        <w:rPr>
          <w:b/>
        </w:rPr>
        <w:t>Gestorský výbor odporúča schváliť.</w:t>
      </w:r>
    </w:p>
    <w:p w:rsidR="005E3851" w:rsidP="005E3851">
      <w:pPr>
        <w:ind w:left="3969"/>
        <w:jc w:val="both"/>
        <w:rPr>
          <w:rFonts w:eastAsia="Calibri"/>
          <w:bCs/>
          <w:lang w:eastAsia="en-US"/>
        </w:rPr>
      </w:pPr>
    </w:p>
    <w:p w:rsidR="005E3851" w:rsidP="005E3851">
      <w:pPr>
        <w:numPr>
          <w:ilvl w:val="1"/>
          <w:numId w:val="37"/>
        </w:numPr>
        <w:tabs>
          <w:tab w:val="left" w:pos="426"/>
        </w:tabs>
        <w:ind w:left="426" w:hanging="426"/>
        <w:jc w:val="both"/>
        <w:rPr>
          <w:rFonts w:eastAsia="Calibri"/>
          <w:bCs/>
          <w:lang w:eastAsia="en-US"/>
        </w:rPr>
      </w:pPr>
      <w:r>
        <w:rPr>
          <w:rFonts w:eastAsia="Calibri"/>
          <w:b/>
          <w:bCs/>
          <w:lang w:eastAsia="en-US"/>
        </w:rPr>
        <w:t>V čl. I, § 14 ods. 5</w:t>
      </w:r>
      <w:r>
        <w:rPr>
          <w:rFonts w:eastAsia="Calibri"/>
          <w:bCs/>
          <w:lang w:eastAsia="en-US"/>
        </w:rPr>
        <w:t xml:space="preserve"> </w:t>
      </w:r>
      <w:r w:rsidRPr="00472BA9">
        <w:rPr>
          <w:rFonts w:eastAsia="Calibri"/>
          <w:b/>
          <w:bCs/>
          <w:lang w:eastAsia="en-US"/>
        </w:rPr>
        <w:t>písm. a)</w:t>
      </w:r>
      <w:r>
        <w:rPr>
          <w:rFonts w:eastAsia="Calibri"/>
          <w:bCs/>
          <w:lang w:eastAsia="en-US"/>
        </w:rPr>
        <w:t xml:space="preserve"> sa slovo „zmenšeniu“ nahrádza slovom „zníženiu“ a za slovo „pristúpiť“ sa vkladajú slová „poverená osoba“.</w:t>
      </w:r>
    </w:p>
    <w:p w:rsidR="005E3851" w:rsidP="005E3851">
      <w:pPr>
        <w:ind w:left="3969"/>
        <w:jc w:val="both"/>
        <w:rPr>
          <w:rFonts w:eastAsia="Calibri"/>
          <w:bCs/>
          <w:lang w:eastAsia="en-US"/>
        </w:rPr>
      </w:pPr>
    </w:p>
    <w:p w:rsidR="005E3851" w:rsidP="00975C2E">
      <w:pPr>
        <w:ind w:left="2832"/>
        <w:jc w:val="both"/>
        <w:rPr>
          <w:rFonts w:eastAsia="Calibri"/>
          <w:bCs/>
          <w:lang w:eastAsia="en-US"/>
        </w:rPr>
      </w:pPr>
      <w:r>
        <w:rPr>
          <w:rFonts w:eastAsia="Calibri"/>
          <w:bCs/>
          <w:lang w:eastAsia="en-US"/>
        </w:rPr>
        <w:t xml:space="preserve">Ide o legislatívno-technickú úpravu; ustanovenie sa terminologicky spresňuje. </w:t>
      </w:r>
    </w:p>
    <w:p w:rsidR="002049FA" w:rsidP="002049FA">
      <w:pPr>
        <w:ind w:left="2832" w:hanging="705"/>
        <w:jc w:val="both"/>
        <w:rPr>
          <w:b/>
        </w:rPr>
      </w:pPr>
    </w:p>
    <w:p w:rsidR="002049FA" w:rsidP="00975C2E">
      <w:pPr>
        <w:ind w:left="2832"/>
        <w:jc w:val="both"/>
        <w:rPr>
          <w:b/>
        </w:rPr>
      </w:pPr>
      <w:r w:rsidRPr="0085353E">
        <w:rPr>
          <w:b/>
        </w:rPr>
        <w:t>Výbor NR SR pre financie a</w:t>
      </w:r>
      <w:r w:rsidR="008F7238">
        <w:rPr>
          <w:b/>
        </w:rPr>
        <w:t> </w:t>
      </w:r>
      <w:r w:rsidRPr="0085353E">
        <w:rPr>
          <w:b/>
        </w:rPr>
        <w:t>rozpočet</w:t>
      </w:r>
    </w:p>
    <w:p w:rsidR="008F7238" w:rsidRPr="00327C8B" w:rsidP="00975C2E">
      <w:pPr>
        <w:ind w:left="2832"/>
        <w:jc w:val="both"/>
        <w:rPr>
          <w:b/>
        </w:rPr>
      </w:pPr>
      <w:r w:rsidRPr="00327C8B">
        <w:rPr>
          <w:b/>
        </w:rPr>
        <w:t xml:space="preserve">Ústavnoprávny výbor NR SR </w:t>
      </w:r>
    </w:p>
    <w:p w:rsidR="002049FA" w:rsidP="00975C2E">
      <w:pPr>
        <w:ind w:left="2832"/>
        <w:jc w:val="both"/>
      </w:pPr>
      <w:r>
        <w:rPr>
          <w:b/>
        </w:rPr>
        <w:t>Gestorský výbor odporúča schváliť.</w:t>
      </w:r>
    </w:p>
    <w:p w:rsidR="005E3851" w:rsidP="005E3851">
      <w:pPr>
        <w:ind w:left="3969"/>
        <w:jc w:val="both"/>
        <w:rPr>
          <w:rFonts w:eastAsia="Calibri"/>
          <w:bCs/>
          <w:lang w:eastAsia="en-US"/>
        </w:rPr>
      </w:pPr>
    </w:p>
    <w:p w:rsidR="005E3851" w:rsidP="005E3851">
      <w:pPr>
        <w:numPr>
          <w:ilvl w:val="1"/>
          <w:numId w:val="37"/>
        </w:numPr>
        <w:tabs>
          <w:tab w:val="left" w:pos="426"/>
        </w:tabs>
        <w:ind w:left="426" w:hanging="426"/>
        <w:jc w:val="both"/>
        <w:rPr>
          <w:rFonts w:eastAsia="Calibri"/>
          <w:bCs/>
          <w:lang w:eastAsia="en-US"/>
        </w:rPr>
      </w:pPr>
      <w:r>
        <w:rPr>
          <w:rFonts w:eastAsia="Calibri"/>
          <w:bCs/>
          <w:lang w:eastAsia="en-US"/>
        </w:rPr>
        <w:t xml:space="preserve"> </w:t>
      </w:r>
      <w:r>
        <w:rPr>
          <w:rFonts w:eastAsia="Calibri"/>
          <w:b/>
          <w:bCs/>
          <w:lang w:eastAsia="en-US"/>
        </w:rPr>
        <w:t>V čl. I, § 14 ods. 5</w:t>
      </w:r>
      <w:r>
        <w:rPr>
          <w:rFonts w:eastAsia="Calibri"/>
          <w:bCs/>
          <w:lang w:eastAsia="en-US"/>
        </w:rPr>
        <w:t xml:space="preserve"> </w:t>
      </w:r>
      <w:r w:rsidRPr="00472BA9">
        <w:rPr>
          <w:rFonts w:eastAsia="Calibri"/>
          <w:b/>
          <w:bCs/>
          <w:lang w:eastAsia="en-US"/>
        </w:rPr>
        <w:t>písm. b)</w:t>
      </w:r>
      <w:r>
        <w:rPr>
          <w:rFonts w:eastAsia="Calibri"/>
          <w:bCs/>
          <w:lang w:eastAsia="en-US"/>
        </w:rPr>
        <w:t xml:space="preserve"> sa čiarka za slovami „v záujme správcu“ nahrádza slovom „a“.</w:t>
      </w:r>
    </w:p>
    <w:p w:rsidR="005E3851" w:rsidP="005E3851">
      <w:pPr>
        <w:ind w:left="3969"/>
        <w:jc w:val="both"/>
        <w:rPr>
          <w:rFonts w:eastAsia="Calibri"/>
          <w:bCs/>
          <w:lang w:eastAsia="en-US"/>
        </w:rPr>
      </w:pPr>
    </w:p>
    <w:p w:rsidR="005E3851" w:rsidP="00975C2E">
      <w:pPr>
        <w:ind w:left="2832"/>
        <w:jc w:val="both"/>
        <w:rPr>
          <w:rFonts w:eastAsia="Calibri"/>
          <w:bCs/>
          <w:lang w:eastAsia="en-US"/>
        </w:rPr>
      </w:pPr>
      <w:r>
        <w:rPr>
          <w:rFonts w:eastAsia="Calibri"/>
          <w:bCs/>
          <w:lang w:eastAsia="en-US"/>
        </w:rPr>
        <w:t>Ide o legislatívno-technickú úpravu; ustanovenie sa precizuje s ohľadom na kumulatívnosť podmienok, keď sa poverená osoba môže odchýliť od pokynov správcu</w:t>
      </w:r>
      <w:r>
        <w:rPr>
          <w:rFonts w:eastAsia="Calibri"/>
          <w:bCs/>
          <w:lang w:eastAsia="en-US"/>
        </w:rPr>
        <w:t xml:space="preserve">. </w:t>
      </w:r>
    </w:p>
    <w:p w:rsidR="005E3851" w:rsidP="005E3851">
      <w:pPr>
        <w:ind w:left="3969"/>
        <w:jc w:val="both"/>
        <w:rPr>
          <w:rFonts w:eastAsia="Calibri"/>
          <w:bCs/>
          <w:lang w:eastAsia="en-US"/>
        </w:rPr>
      </w:pPr>
    </w:p>
    <w:p w:rsidR="002049FA" w:rsidP="00975C2E">
      <w:pPr>
        <w:ind w:left="2832"/>
        <w:jc w:val="both"/>
        <w:rPr>
          <w:b/>
        </w:rPr>
      </w:pPr>
      <w:r w:rsidRPr="0085353E">
        <w:rPr>
          <w:b/>
        </w:rPr>
        <w:t>Výbor NR SR pre financie a</w:t>
      </w:r>
      <w:r w:rsidR="008F7238">
        <w:rPr>
          <w:b/>
        </w:rPr>
        <w:t> </w:t>
      </w:r>
      <w:r w:rsidRPr="0085353E">
        <w:rPr>
          <w:b/>
        </w:rPr>
        <w:t>rozpočet</w:t>
      </w:r>
    </w:p>
    <w:p w:rsidR="008F7238" w:rsidRPr="00327C8B" w:rsidP="00975C2E">
      <w:pPr>
        <w:ind w:left="2832"/>
        <w:jc w:val="both"/>
        <w:rPr>
          <w:b/>
        </w:rPr>
      </w:pPr>
      <w:r w:rsidRPr="00327C8B">
        <w:rPr>
          <w:b/>
        </w:rPr>
        <w:t xml:space="preserve">Ústavnoprávny výbor NR SR </w:t>
      </w:r>
    </w:p>
    <w:p w:rsidR="002049FA" w:rsidP="00975C2E">
      <w:pPr>
        <w:ind w:left="2832"/>
        <w:jc w:val="both"/>
      </w:pPr>
      <w:r>
        <w:rPr>
          <w:b/>
        </w:rPr>
        <w:t>Gestorský výbor odporúča schváliť.</w:t>
      </w:r>
    </w:p>
    <w:p w:rsidR="005E3851" w:rsidP="005E3851">
      <w:pPr>
        <w:ind w:left="3969"/>
        <w:jc w:val="both"/>
        <w:rPr>
          <w:rFonts w:eastAsia="Calibri"/>
          <w:bCs/>
          <w:lang w:eastAsia="en-US"/>
        </w:rPr>
      </w:pPr>
    </w:p>
    <w:p w:rsidR="005E3851" w:rsidP="005E3851">
      <w:pPr>
        <w:numPr>
          <w:ilvl w:val="1"/>
          <w:numId w:val="37"/>
        </w:numPr>
        <w:tabs>
          <w:tab w:val="left" w:pos="426"/>
        </w:tabs>
        <w:ind w:left="426" w:hanging="426"/>
        <w:jc w:val="both"/>
        <w:rPr>
          <w:rFonts w:eastAsia="Calibri"/>
          <w:bCs/>
          <w:lang w:eastAsia="en-US"/>
        </w:rPr>
      </w:pPr>
      <w:r>
        <w:rPr>
          <w:rFonts w:eastAsia="Calibri"/>
          <w:b/>
          <w:bCs/>
          <w:lang w:eastAsia="en-US"/>
        </w:rPr>
        <w:t>V čl. I, § 15 ods. 1</w:t>
      </w:r>
      <w:r>
        <w:rPr>
          <w:rFonts w:eastAsia="Calibri"/>
          <w:bCs/>
          <w:lang w:eastAsia="en-US"/>
        </w:rPr>
        <w:t xml:space="preserve"> </w:t>
      </w:r>
      <w:r w:rsidRPr="00472BA9">
        <w:rPr>
          <w:rFonts w:eastAsia="Calibri"/>
          <w:b/>
          <w:bCs/>
          <w:lang w:eastAsia="en-US"/>
        </w:rPr>
        <w:t>písm. b)</w:t>
      </w:r>
      <w:r>
        <w:rPr>
          <w:rFonts w:eastAsia="Calibri"/>
          <w:bCs/>
          <w:lang w:eastAsia="en-US"/>
        </w:rPr>
        <w:t xml:space="preserve"> sa slová „jej vymoženie“ nahrádzajú slovami „vymoženie pohľadávky štátu“.  </w:t>
      </w:r>
    </w:p>
    <w:p w:rsidR="005E3851" w:rsidP="005E3851">
      <w:pPr>
        <w:jc w:val="both"/>
        <w:rPr>
          <w:rFonts w:eastAsia="Calibri"/>
          <w:bCs/>
          <w:lang w:eastAsia="en-US"/>
        </w:rPr>
      </w:pPr>
    </w:p>
    <w:p w:rsidR="005E3851" w:rsidP="00975C2E">
      <w:pPr>
        <w:ind w:left="2832"/>
        <w:jc w:val="both"/>
        <w:rPr>
          <w:rFonts w:eastAsia="Calibri"/>
          <w:bCs/>
          <w:lang w:eastAsia="en-US"/>
        </w:rPr>
      </w:pPr>
      <w:r>
        <w:rPr>
          <w:rFonts w:eastAsia="Calibri"/>
          <w:bCs/>
          <w:lang w:eastAsia="en-US"/>
        </w:rPr>
        <w:t xml:space="preserve">Ide o legislatívno-technickú úpravu; ustanovenie sa terminologicky spresňuje.  </w:t>
      </w:r>
    </w:p>
    <w:p w:rsidR="002049FA" w:rsidP="002049FA">
      <w:pPr>
        <w:ind w:left="2832" w:hanging="705"/>
        <w:jc w:val="both"/>
        <w:rPr>
          <w:b/>
        </w:rPr>
      </w:pPr>
    </w:p>
    <w:p w:rsidR="002049FA" w:rsidP="00975C2E">
      <w:pPr>
        <w:ind w:left="2832"/>
        <w:jc w:val="both"/>
        <w:rPr>
          <w:b/>
        </w:rPr>
      </w:pPr>
      <w:r w:rsidRPr="0085353E">
        <w:rPr>
          <w:b/>
        </w:rPr>
        <w:t>Výbor NR SR pre financie a</w:t>
      </w:r>
      <w:r w:rsidR="008F7238">
        <w:rPr>
          <w:b/>
        </w:rPr>
        <w:t> </w:t>
      </w:r>
      <w:r w:rsidRPr="0085353E">
        <w:rPr>
          <w:b/>
        </w:rPr>
        <w:t>rozpočet</w:t>
      </w:r>
    </w:p>
    <w:p w:rsidR="008F7238" w:rsidRPr="00327C8B" w:rsidP="00975C2E">
      <w:pPr>
        <w:ind w:left="2832"/>
        <w:jc w:val="both"/>
        <w:rPr>
          <w:b/>
        </w:rPr>
      </w:pPr>
      <w:r w:rsidRPr="00327C8B">
        <w:rPr>
          <w:b/>
        </w:rPr>
        <w:t xml:space="preserve">Ústavnoprávny výbor NR SR </w:t>
      </w:r>
    </w:p>
    <w:p w:rsidR="002049FA" w:rsidP="00975C2E">
      <w:pPr>
        <w:ind w:left="2832"/>
        <w:jc w:val="both"/>
      </w:pPr>
      <w:r>
        <w:rPr>
          <w:b/>
        </w:rPr>
        <w:t>Gestorský výbor odporúča schváliť.</w:t>
      </w:r>
    </w:p>
    <w:p w:rsidR="005E3851" w:rsidP="005E3851">
      <w:pPr>
        <w:ind w:left="3969"/>
        <w:jc w:val="both"/>
        <w:rPr>
          <w:rFonts w:eastAsia="Calibri"/>
          <w:bCs/>
          <w:lang w:eastAsia="en-US"/>
        </w:rPr>
      </w:pPr>
    </w:p>
    <w:p w:rsidR="005E3851" w:rsidP="005E3851">
      <w:pPr>
        <w:numPr>
          <w:ilvl w:val="1"/>
          <w:numId w:val="37"/>
        </w:numPr>
        <w:tabs>
          <w:tab w:val="left" w:pos="426"/>
        </w:tabs>
        <w:ind w:left="426" w:hanging="426"/>
        <w:jc w:val="both"/>
        <w:rPr>
          <w:rFonts w:eastAsia="Calibri"/>
          <w:bCs/>
          <w:lang w:eastAsia="en-US"/>
        </w:rPr>
      </w:pPr>
      <w:r>
        <w:rPr>
          <w:rFonts w:eastAsia="Calibri"/>
          <w:b/>
          <w:bCs/>
          <w:lang w:eastAsia="en-US"/>
        </w:rPr>
        <w:t>V čl. I, § 16 ods. 1 a 2</w:t>
      </w:r>
      <w:r>
        <w:rPr>
          <w:rFonts w:eastAsia="Calibri"/>
          <w:bCs/>
          <w:lang w:eastAsia="en-US"/>
        </w:rPr>
        <w:t xml:space="preserve"> sa pred slová „jej splatnosti“ vkladá slovo „dátumu“ a v odseku 4 sa pred slová „ich splatnosti“ </w:t>
      </w:r>
      <w:r>
        <w:rPr>
          <w:rFonts w:eastAsia="Calibri"/>
          <w:bCs/>
          <w:lang w:eastAsia="en-US"/>
        </w:rPr>
        <w:t xml:space="preserve">vkladá slovo „dátumu“. </w:t>
      </w:r>
    </w:p>
    <w:p w:rsidR="005E3851" w:rsidP="005E3851">
      <w:pPr>
        <w:ind w:left="3969"/>
        <w:jc w:val="both"/>
        <w:rPr>
          <w:rFonts w:eastAsia="Calibri"/>
          <w:bCs/>
          <w:lang w:eastAsia="en-US"/>
        </w:rPr>
      </w:pPr>
    </w:p>
    <w:p w:rsidR="005E3851" w:rsidP="00975C2E">
      <w:pPr>
        <w:ind w:left="2832"/>
        <w:jc w:val="both"/>
        <w:rPr>
          <w:rFonts w:eastAsia="Calibri"/>
          <w:bCs/>
          <w:lang w:eastAsia="en-US"/>
        </w:rPr>
      </w:pPr>
      <w:r>
        <w:rPr>
          <w:rFonts w:eastAsia="Calibri"/>
          <w:bCs/>
          <w:lang w:eastAsia="en-US"/>
        </w:rPr>
        <w:t xml:space="preserve">Ide o legislatívno-technickú úpravu; ustanovenie sa terminologicky spresňuje. </w:t>
      </w:r>
    </w:p>
    <w:p w:rsidR="002049FA" w:rsidP="002049FA">
      <w:pPr>
        <w:ind w:left="2832" w:hanging="705"/>
        <w:jc w:val="both"/>
        <w:rPr>
          <w:b/>
        </w:rPr>
      </w:pPr>
    </w:p>
    <w:p w:rsidR="002049FA" w:rsidP="00975C2E">
      <w:pPr>
        <w:ind w:left="2832"/>
        <w:jc w:val="both"/>
        <w:rPr>
          <w:b/>
        </w:rPr>
      </w:pPr>
      <w:r w:rsidRPr="0085353E">
        <w:rPr>
          <w:b/>
        </w:rPr>
        <w:t>Výbor NR SR pre financie a</w:t>
      </w:r>
      <w:r w:rsidR="008F7238">
        <w:rPr>
          <w:b/>
        </w:rPr>
        <w:t> </w:t>
      </w:r>
      <w:r w:rsidRPr="0085353E">
        <w:rPr>
          <w:b/>
        </w:rPr>
        <w:t>rozpočet</w:t>
      </w:r>
    </w:p>
    <w:p w:rsidR="008F7238" w:rsidRPr="00327C8B" w:rsidP="00975C2E">
      <w:pPr>
        <w:ind w:left="2832"/>
        <w:jc w:val="both"/>
        <w:rPr>
          <w:b/>
        </w:rPr>
      </w:pPr>
      <w:r w:rsidRPr="00327C8B">
        <w:rPr>
          <w:b/>
        </w:rPr>
        <w:t xml:space="preserve">Ústavnoprávny výbor NR SR </w:t>
      </w:r>
    </w:p>
    <w:p w:rsidR="002049FA" w:rsidP="00975C2E">
      <w:pPr>
        <w:ind w:left="2832"/>
        <w:jc w:val="both"/>
      </w:pPr>
      <w:r>
        <w:rPr>
          <w:b/>
        </w:rPr>
        <w:t>Gestorský výbor odporúča schváliť.</w:t>
      </w:r>
    </w:p>
    <w:p w:rsidR="005E3851" w:rsidP="005E3851">
      <w:pPr>
        <w:tabs>
          <w:tab w:val="left" w:pos="426"/>
        </w:tabs>
        <w:ind w:left="426"/>
        <w:jc w:val="both"/>
        <w:rPr>
          <w:rFonts w:eastAsia="Calibri"/>
          <w:bCs/>
          <w:lang w:eastAsia="en-US"/>
        </w:rPr>
      </w:pPr>
    </w:p>
    <w:p w:rsidR="005E3851" w:rsidP="005E3851">
      <w:pPr>
        <w:numPr>
          <w:ilvl w:val="1"/>
          <w:numId w:val="37"/>
        </w:numPr>
        <w:tabs>
          <w:tab w:val="left" w:pos="426"/>
        </w:tabs>
        <w:ind w:left="426" w:hanging="426"/>
        <w:jc w:val="both"/>
        <w:rPr>
          <w:rFonts w:eastAsia="Calibri"/>
          <w:bCs/>
          <w:lang w:eastAsia="en-US"/>
        </w:rPr>
      </w:pPr>
      <w:r>
        <w:rPr>
          <w:rFonts w:eastAsia="Calibri"/>
          <w:b/>
          <w:bCs/>
          <w:lang w:eastAsia="en-US"/>
        </w:rPr>
        <w:t>V čl. I, § 16 ods. 4</w:t>
      </w:r>
      <w:r>
        <w:rPr>
          <w:rFonts w:eastAsia="Calibri"/>
          <w:bCs/>
          <w:lang w:eastAsia="en-US"/>
        </w:rPr>
        <w:t xml:space="preserve"> </w:t>
      </w:r>
      <w:r w:rsidRPr="00472BA9">
        <w:rPr>
          <w:rFonts w:eastAsia="Calibri"/>
          <w:b/>
          <w:bCs/>
          <w:lang w:eastAsia="en-US"/>
        </w:rPr>
        <w:t>a § 17 ods. 1</w:t>
      </w:r>
      <w:r>
        <w:rPr>
          <w:rFonts w:eastAsia="Calibri"/>
          <w:bCs/>
          <w:lang w:eastAsia="en-US"/>
        </w:rPr>
        <w:t xml:space="preserve"> sa slová „od spla</w:t>
      </w:r>
      <w:r>
        <w:rPr>
          <w:rFonts w:eastAsia="Calibri"/>
          <w:bCs/>
          <w:lang w:eastAsia="en-US"/>
        </w:rPr>
        <w:t xml:space="preserve">tnosti“ nahrádzajú slovami „od dátumu splatnosti“.  </w:t>
      </w:r>
    </w:p>
    <w:p w:rsidR="005E3851" w:rsidP="00975C2E">
      <w:pPr>
        <w:ind w:left="2832"/>
        <w:jc w:val="both"/>
        <w:rPr>
          <w:rFonts w:eastAsia="Calibri"/>
          <w:bCs/>
          <w:lang w:eastAsia="en-US"/>
        </w:rPr>
      </w:pPr>
      <w:r>
        <w:rPr>
          <w:rFonts w:eastAsia="Calibri"/>
          <w:bCs/>
          <w:lang w:eastAsia="en-US"/>
        </w:rPr>
        <w:t xml:space="preserve">Ide o legislatívno-technickú úpravu; ustanovenie sa terminologicky spresňuje. </w:t>
      </w:r>
    </w:p>
    <w:p w:rsidR="002049FA" w:rsidP="002049FA">
      <w:pPr>
        <w:ind w:left="2832" w:hanging="705"/>
        <w:jc w:val="both"/>
        <w:rPr>
          <w:b/>
        </w:rPr>
      </w:pPr>
    </w:p>
    <w:p w:rsidR="002049FA" w:rsidP="00975C2E">
      <w:pPr>
        <w:ind w:left="2832"/>
        <w:jc w:val="both"/>
        <w:rPr>
          <w:b/>
        </w:rPr>
      </w:pPr>
      <w:r w:rsidRPr="0085353E">
        <w:rPr>
          <w:b/>
        </w:rPr>
        <w:t>Výbor NR SR pre financie a</w:t>
      </w:r>
      <w:r w:rsidR="008F7238">
        <w:rPr>
          <w:b/>
        </w:rPr>
        <w:t> </w:t>
      </w:r>
      <w:r w:rsidRPr="0085353E">
        <w:rPr>
          <w:b/>
        </w:rPr>
        <w:t>rozpočet</w:t>
      </w:r>
    </w:p>
    <w:p w:rsidR="008F7238" w:rsidRPr="00327C8B" w:rsidP="00975C2E">
      <w:pPr>
        <w:ind w:left="2832"/>
        <w:jc w:val="both"/>
        <w:rPr>
          <w:b/>
        </w:rPr>
      </w:pPr>
      <w:r w:rsidRPr="00327C8B">
        <w:rPr>
          <w:b/>
        </w:rPr>
        <w:t xml:space="preserve">Ústavnoprávny výbor NR SR </w:t>
      </w:r>
    </w:p>
    <w:p w:rsidR="002049FA" w:rsidP="00975C2E">
      <w:pPr>
        <w:ind w:left="2832"/>
        <w:jc w:val="both"/>
      </w:pPr>
      <w:r>
        <w:rPr>
          <w:b/>
        </w:rPr>
        <w:t>Gestorský výbor odporúča schváliť.</w:t>
      </w:r>
    </w:p>
    <w:p w:rsidR="008F7238" w:rsidP="005E3851">
      <w:pPr>
        <w:ind w:left="3969"/>
        <w:jc w:val="both"/>
        <w:rPr>
          <w:rFonts w:eastAsia="Calibri"/>
          <w:bCs/>
          <w:lang w:eastAsia="en-US"/>
        </w:rPr>
      </w:pPr>
    </w:p>
    <w:p w:rsidR="005E3851" w:rsidP="005E3851">
      <w:pPr>
        <w:numPr>
          <w:ilvl w:val="1"/>
          <w:numId w:val="37"/>
        </w:numPr>
        <w:tabs>
          <w:tab w:val="left" w:pos="426"/>
        </w:tabs>
        <w:ind w:left="426" w:hanging="426"/>
        <w:jc w:val="both"/>
        <w:rPr>
          <w:rFonts w:eastAsia="Calibri"/>
          <w:bCs/>
          <w:lang w:eastAsia="en-US"/>
        </w:rPr>
      </w:pPr>
      <w:r>
        <w:rPr>
          <w:rFonts w:eastAsia="Calibri"/>
          <w:b/>
          <w:bCs/>
          <w:lang w:eastAsia="en-US"/>
        </w:rPr>
        <w:t>V čl. I, § 20 ods. 3</w:t>
      </w:r>
      <w:r>
        <w:rPr>
          <w:rFonts w:eastAsia="Calibri"/>
          <w:bCs/>
          <w:lang w:eastAsia="en-US"/>
        </w:rPr>
        <w:t xml:space="preserve"> sa za slovo „nakladaní“ vkladá čiarka a slovo „uplatnení“ a v odseku 5 </w:t>
      </w:r>
      <w:r w:rsidR="00B42D7E">
        <w:rPr>
          <w:rFonts w:eastAsia="Calibri"/>
          <w:bCs/>
          <w:lang w:eastAsia="en-US"/>
        </w:rPr>
        <w:t xml:space="preserve">sa </w:t>
      </w:r>
      <w:r>
        <w:rPr>
          <w:rFonts w:eastAsia="Calibri"/>
          <w:bCs/>
          <w:lang w:eastAsia="en-US"/>
        </w:rPr>
        <w:t xml:space="preserve">vypúšťa slovo „doby“.  </w:t>
      </w:r>
    </w:p>
    <w:p w:rsidR="005E3851" w:rsidP="005E3851">
      <w:pPr>
        <w:ind w:left="2124"/>
        <w:jc w:val="both"/>
        <w:rPr>
          <w:rFonts w:eastAsia="Calibri"/>
          <w:bCs/>
          <w:lang w:eastAsia="en-US"/>
        </w:rPr>
      </w:pPr>
    </w:p>
    <w:p w:rsidR="005E3851" w:rsidP="00975C2E">
      <w:pPr>
        <w:ind w:left="2124" w:firstLine="708"/>
        <w:jc w:val="both"/>
        <w:rPr>
          <w:rFonts w:eastAsia="Calibri"/>
          <w:bCs/>
          <w:lang w:eastAsia="en-US"/>
        </w:rPr>
      </w:pPr>
      <w:r>
        <w:rPr>
          <w:rFonts w:eastAsia="Calibri"/>
          <w:bCs/>
          <w:lang w:eastAsia="en-US"/>
        </w:rPr>
        <w:t xml:space="preserve">Ide o legislatívno-technickú úpravu; nadbytočné slovo sa vypúšťa.  </w:t>
      </w:r>
    </w:p>
    <w:p w:rsidR="002049FA" w:rsidP="002049FA">
      <w:pPr>
        <w:ind w:left="2832" w:hanging="705"/>
        <w:jc w:val="both"/>
        <w:rPr>
          <w:b/>
        </w:rPr>
      </w:pPr>
    </w:p>
    <w:p w:rsidR="002049FA" w:rsidP="00975C2E">
      <w:pPr>
        <w:ind w:left="2832"/>
        <w:jc w:val="both"/>
        <w:rPr>
          <w:b/>
        </w:rPr>
      </w:pPr>
      <w:r w:rsidRPr="0085353E">
        <w:rPr>
          <w:b/>
        </w:rPr>
        <w:t>Výbor NR SR pre financie a</w:t>
      </w:r>
      <w:r w:rsidR="008F7238">
        <w:rPr>
          <w:b/>
        </w:rPr>
        <w:t> </w:t>
      </w:r>
      <w:r w:rsidRPr="0085353E">
        <w:rPr>
          <w:b/>
        </w:rPr>
        <w:t>rozpočet</w:t>
      </w:r>
    </w:p>
    <w:p w:rsidR="008F7238" w:rsidRPr="00327C8B" w:rsidP="00975C2E">
      <w:pPr>
        <w:ind w:left="2832"/>
        <w:jc w:val="both"/>
        <w:rPr>
          <w:b/>
        </w:rPr>
      </w:pPr>
      <w:r w:rsidRPr="00327C8B">
        <w:rPr>
          <w:b/>
        </w:rPr>
        <w:t xml:space="preserve">Ústavnoprávny výbor NR SR </w:t>
      </w:r>
    </w:p>
    <w:p w:rsidR="002049FA" w:rsidP="00975C2E">
      <w:pPr>
        <w:ind w:left="2832"/>
        <w:jc w:val="both"/>
      </w:pPr>
      <w:r>
        <w:rPr>
          <w:b/>
        </w:rPr>
        <w:t>Gestorský výbor odporúča schváliť.</w:t>
      </w:r>
    </w:p>
    <w:p w:rsidR="005E3851" w:rsidP="005E3851">
      <w:pPr>
        <w:ind w:left="3969"/>
        <w:jc w:val="both"/>
        <w:rPr>
          <w:rFonts w:eastAsia="Calibri"/>
          <w:bCs/>
          <w:lang w:eastAsia="en-US"/>
        </w:rPr>
      </w:pPr>
    </w:p>
    <w:p w:rsidR="005E3851" w:rsidP="005E3851">
      <w:pPr>
        <w:numPr>
          <w:ilvl w:val="1"/>
          <w:numId w:val="37"/>
        </w:numPr>
        <w:tabs>
          <w:tab w:val="left" w:pos="426"/>
        </w:tabs>
        <w:ind w:left="426" w:hanging="426"/>
        <w:jc w:val="both"/>
        <w:rPr>
          <w:rFonts w:eastAsia="Calibri"/>
          <w:bCs/>
          <w:lang w:eastAsia="en-US"/>
        </w:rPr>
      </w:pPr>
      <w:r>
        <w:rPr>
          <w:rFonts w:eastAsia="Calibri"/>
          <w:b/>
          <w:bCs/>
          <w:lang w:eastAsia="en-US"/>
        </w:rPr>
        <w:t>V čl. I, § 21 ods. 5</w:t>
      </w:r>
      <w:r>
        <w:rPr>
          <w:rFonts w:eastAsia="Calibri"/>
          <w:bCs/>
          <w:lang w:eastAsia="en-US"/>
        </w:rPr>
        <w:t xml:space="preserve"> </w:t>
      </w:r>
      <w:r w:rsidRPr="00472BA9">
        <w:rPr>
          <w:rFonts w:eastAsia="Calibri"/>
          <w:b/>
          <w:bCs/>
          <w:lang w:eastAsia="en-US"/>
        </w:rPr>
        <w:t>písm. a) a b</w:t>
      </w:r>
      <w:r>
        <w:rPr>
          <w:rFonts w:eastAsia="Calibri"/>
          <w:bCs/>
          <w:lang w:eastAsia="en-US"/>
        </w:rPr>
        <w:t>) sa slová „</w:t>
      </w:r>
      <w:r>
        <w:rPr>
          <w:bCs/>
          <w:lang w:eastAsia="en-US"/>
        </w:rPr>
        <w:t xml:space="preserve">§ 4 ods. 1 písm. a) a d)“ nahrádzajú slovami „§ 4 ods. 1 písm. a) a c)“. </w:t>
      </w:r>
    </w:p>
    <w:p w:rsidR="005E3851" w:rsidP="005E3851">
      <w:pPr>
        <w:jc w:val="both"/>
        <w:rPr>
          <w:rFonts w:eastAsia="Calibri"/>
          <w:bCs/>
          <w:lang w:eastAsia="en-US"/>
        </w:rPr>
      </w:pPr>
    </w:p>
    <w:p w:rsidR="005E3851" w:rsidP="00975C2E">
      <w:pPr>
        <w:ind w:left="2832"/>
        <w:jc w:val="both"/>
        <w:rPr>
          <w:rFonts w:eastAsia="Calibri"/>
          <w:bCs/>
          <w:i/>
          <w:lang w:eastAsia="en-US"/>
        </w:rPr>
      </w:pPr>
      <w:r>
        <w:rPr>
          <w:rFonts w:eastAsia="Calibri"/>
          <w:bCs/>
          <w:lang w:eastAsia="en-US"/>
        </w:rPr>
        <w:t xml:space="preserve">Ide o legislatívno-technickú úpravu; odkazovacie ustanovenia § 21 sa upravujú s ohľadom na znenie § 4, ktorého odsek 1 neobsahuje písmeno d). Keďže v § 4 písm. c) sa ustanovuje povinnosť správcu „vykonávať ďalšie činnosti nevyhnutné na dosiahnutie úhrady pohľadávky štátu“ je zrejmé, že v predmetnom § 21 ods. 5, ktorý sa týka pohľadávok štátu podľa osobitných predpisov z realizácie </w:t>
      </w:r>
      <w:r>
        <w:rPr>
          <w:rFonts w:eastAsia="Calibri"/>
          <w:bCs/>
          <w:lang w:eastAsia="en-US"/>
        </w:rPr>
        <w:t xml:space="preserve">programov SR a EÚ, sa odkazuje na písmeno c) </w:t>
      </w:r>
      <w:r>
        <w:rPr>
          <w:rFonts w:eastAsia="Calibri"/>
          <w:bCs/>
          <w:i/>
          <w:lang w:eastAsia="en-US"/>
        </w:rPr>
        <w:t xml:space="preserve">[písmeno d) neexistuje a písmeno b) sa týka vedenia evidencie, ktoré je upravená v osobitných predpisoch ]. </w:t>
      </w:r>
    </w:p>
    <w:p w:rsidR="002049FA" w:rsidP="002049FA">
      <w:pPr>
        <w:ind w:left="2832" w:hanging="705"/>
        <w:jc w:val="both"/>
        <w:rPr>
          <w:b/>
        </w:rPr>
      </w:pPr>
    </w:p>
    <w:p w:rsidR="002049FA" w:rsidP="00975C2E">
      <w:pPr>
        <w:ind w:left="2832"/>
        <w:jc w:val="both"/>
        <w:rPr>
          <w:b/>
        </w:rPr>
      </w:pPr>
      <w:r w:rsidRPr="0085353E">
        <w:rPr>
          <w:b/>
        </w:rPr>
        <w:t>Výbor NR SR pre financie a</w:t>
      </w:r>
      <w:r w:rsidR="008F7238">
        <w:rPr>
          <w:b/>
        </w:rPr>
        <w:t> </w:t>
      </w:r>
      <w:r w:rsidRPr="0085353E">
        <w:rPr>
          <w:b/>
        </w:rPr>
        <w:t>rozpočet</w:t>
      </w:r>
    </w:p>
    <w:p w:rsidR="008F7238" w:rsidRPr="00327C8B" w:rsidP="00975C2E">
      <w:pPr>
        <w:ind w:left="2832"/>
        <w:jc w:val="both"/>
        <w:rPr>
          <w:b/>
        </w:rPr>
      </w:pPr>
      <w:r w:rsidRPr="00327C8B">
        <w:rPr>
          <w:b/>
        </w:rPr>
        <w:t xml:space="preserve">Ústavnoprávny výbor NR SR </w:t>
      </w:r>
    </w:p>
    <w:p w:rsidR="002049FA" w:rsidP="00975C2E">
      <w:pPr>
        <w:ind w:left="2832"/>
        <w:jc w:val="both"/>
      </w:pPr>
      <w:r>
        <w:rPr>
          <w:b/>
        </w:rPr>
        <w:t>Gestorský výbor odporúča schváliť.</w:t>
      </w:r>
    </w:p>
    <w:p w:rsidR="005E3851" w:rsidP="005E3851">
      <w:pPr>
        <w:rPr>
          <w:b/>
          <w:bCs/>
        </w:rPr>
      </w:pPr>
    </w:p>
    <w:p w:rsidR="005E3851" w:rsidP="005E3851">
      <w:pPr>
        <w:numPr>
          <w:ilvl w:val="1"/>
          <w:numId w:val="37"/>
        </w:numPr>
        <w:tabs>
          <w:tab w:val="left" w:pos="426"/>
        </w:tabs>
        <w:spacing w:line="276" w:lineRule="auto"/>
        <w:ind w:hanging="1440"/>
        <w:rPr>
          <w:b/>
          <w:bCs/>
          <w:lang w:eastAsia="en-US"/>
        </w:rPr>
      </w:pPr>
      <w:r>
        <w:rPr>
          <w:b/>
          <w:bCs/>
          <w:lang w:eastAsia="en-US"/>
        </w:rPr>
        <w:t>V čl. I, § 21 ods. 5</w:t>
      </w:r>
      <w:r>
        <w:rPr>
          <w:bCs/>
          <w:lang w:eastAsia="en-US"/>
        </w:rPr>
        <w:t xml:space="preserve"> sa v písmenách a) a b) slová „ods. 2 a 3“ nahrádzajú slovami „ods. 2“.</w:t>
      </w:r>
    </w:p>
    <w:p w:rsidR="005E3851" w:rsidP="005E3851">
      <w:pPr>
        <w:tabs>
          <w:tab w:val="left" w:pos="3119"/>
        </w:tabs>
        <w:spacing w:line="276" w:lineRule="auto"/>
        <w:ind w:left="3119"/>
        <w:rPr>
          <w:i/>
          <w:iCs/>
          <w:lang w:eastAsia="en-US"/>
        </w:rPr>
      </w:pPr>
    </w:p>
    <w:p w:rsidR="005E3851" w:rsidP="00975C2E">
      <w:pPr>
        <w:tabs>
          <w:tab w:val="left" w:pos="2127"/>
          <w:tab w:val="left" w:pos="2835"/>
        </w:tabs>
        <w:ind w:left="2832"/>
        <w:jc w:val="both"/>
        <w:rPr>
          <w:bCs/>
          <w:lang w:eastAsia="en-US"/>
        </w:rPr>
      </w:pPr>
      <w:r>
        <w:rPr>
          <w:bCs/>
          <w:iCs/>
          <w:lang w:eastAsia="en-US"/>
        </w:rPr>
        <w:tab/>
        <w:t>Podľa čl. 72 písm. h) nariadenia EP a Rady (EÚ) č. 1303/2013 zo 17. decembra 2013 by jednou zo všeobecných zásad systémov riadenia a kontroly malo byť aj predchádzanie, zisťovanie a opravy nezrovnalostí vrátane podvodu a vymáhania neoprávnene vyplatených súm, a to vrátane všetkých úrokov z omeškania.  Z uvedených dôvodov je potrebné, aby sa na vyúčtovanie a uplatňovanie príslušenstva pohľadávok štátu vzniknutých z realizácie spoločných programov Slovenskej republiky a Európskej únie financovaných z fondov Európskej únie a prostriedkov štátneho rozpočtu nevzťahoval zákon o pohľadávkach štátu.</w:t>
      </w:r>
    </w:p>
    <w:p w:rsidR="002049FA" w:rsidP="002049FA">
      <w:pPr>
        <w:ind w:left="2832" w:hanging="705"/>
        <w:jc w:val="both"/>
        <w:rPr>
          <w:b/>
        </w:rPr>
      </w:pPr>
    </w:p>
    <w:p w:rsidR="002049FA" w:rsidP="00975C2E">
      <w:pPr>
        <w:ind w:left="2832"/>
        <w:jc w:val="both"/>
        <w:rPr>
          <w:b/>
        </w:rPr>
      </w:pPr>
      <w:r w:rsidRPr="0085353E">
        <w:rPr>
          <w:b/>
        </w:rPr>
        <w:t>Výbor NR SR pre financie a</w:t>
      </w:r>
      <w:r>
        <w:rPr>
          <w:b/>
        </w:rPr>
        <w:t> </w:t>
      </w:r>
      <w:r w:rsidRPr="0085353E">
        <w:rPr>
          <w:b/>
        </w:rPr>
        <w:t>rozpočet</w:t>
      </w:r>
    </w:p>
    <w:p w:rsidR="002049FA" w:rsidP="00975C2E">
      <w:pPr>
        <w:ind w:left="2832"/>
        <w:jc w:val="both"/>
      </w:pPr>
      <w:r>
        <w:rPr>
          <w:b/>
        </w:rPr>
        <w:t>Gestorský výbor odporúča schváliť.</w:t>
      </w:r>
    </w:p>
    <w:p w:rsidR="005E3851" w:rsidP="005E3851">
      <w:pPr>
        <w:rPr>
          <w:b/>
          <w:bCs/>
        </w:rPr>
      </w:pPr>
    </w:p>
    <w:p w:rsidR="005E3851" w:rsidP="005E3851">
      <w:pPr>
        <w:numPr>
          <w:ilvl w:val="1"/>
          <w:numId w:val="37"/>
        </w:numPr>
        <w:tabs>
          <w:tab w:val="left" w:pos="426"/>
        </w:tabs>
        <w:spacing w:line="276" w:lineRule="auto"/>
        <w:ind w:hanging="1440"/>
        <w:rPr>
          <w:bCs/>
          <w:lang w:eastAsia="en-US"/>
        </w:rPr>
      </w:pPr>
      <w:r>
        <w:rPr>
          <w:b/>
          <w:bCs/>
          <w:lang w:eastAsia="en-US"/>
        </w:rPr>
        <w:t>V čl</w:t>
      </w:r>
      <w:r>
        <w:rPr>
          <w:b/>
          <w:bCs/>
          <w:lang w:eastAsia="en-US"/>
        </w:rPr>
        <w:t>. I, § 22 odsek 1 znie</w:t>
      </w:r>
      <w:r>
        <w:rPr>
          <w:bCs/>
          <w:lang w:eastAsia="en-US"/>
        </w:rPr>
        <w:t>:</w:t>
      </w:r>
    </w:p>
    <w:p w:rsidR="005E3851" w:rsidP="005E3851">
      <w:pPr>
        <w:ind w:left="426"/>
        <w:jc w:val="both"/>
        <w:rPr>
          <w:bCs/>
          <w:lang w:eastAsia="en-US"/>
        </w:rPr>
      </w:pPr>
      <w:r>
        <w:rPr>
          <w:bCs/>
          <w:lang w:eastAsia="en-US"/>
        </w:rPr>
        <w:t>„(1) Správca je povinný do 31. decembra 2015 odplatne postúpiť písomnou zmluvou</w:t>
      </w:r>
      <w:r>
        <w:rPr>
          <w:bCs/>
          <w:color w:val="FF0000"/>
          <w:lang w:eastAsia="en-US"/>
        </w:rPr>
        <w:t xml:space="preserve"> </w:t>
      </w:r>
      <w:r>
        <w:rPr>
          <w:bCs/>
          <w:lang w:eastAsia="en-US"/>
        </w:rPr>
        <w:t>na poverenú osobu splatné pohľadávky štátu, ktoré vznikli do 31. decembra 2013. Poverená osoba je povinná v tejto lehote postúpenie pohľadávky štátu prijať. Na postúpenie pohľadávky štátu sa vzťahujú ustanovenia Občianskeho zákonníka, ak odsek 2 neustanovuje inak. Pohľadávku štátu nie je správca povinný postúpiť, ak ide o pohľadávku štátu, ktorá sa vymáha v konaní podľa osobitných predpisov</w:t>
      </w:r>
      <w:r>
        <w:rPr>
          <w:bCs/>
          <w:vertAlign w:val="superscript"/>
          <w:lang w:eastAsia="en-US"/>
        </w:rPr>
        <w:t>10</w:t>
      </w:r>
      <w:r>
        <w:rPr>
          <w:bCs/>
          <w:lang w:eastAsia="en-US"/>
        </w:rPr>
        <w:t>) alebo prebieha výkon rozhodnutia na pohľadávku štátu podľa všeobecného predpisu o správnom konaní. Postúpiť nemožno pohľadávku štátu, ak</w:t>
      </w:r>
    </w:p>
    <w:p w:rsidR="005E3851" w:rsidP="00B42D7E">
      <w:pPr>
        <w:ind w:left="709" w:hanging="283"/>
        <w:rPr>
          <w:rFonts w:ascii="Calibri" w:hAnsi="Calibri"/>
          <w:bCs/>
          <w:sz w:val="22"/>
          <w:szCs w:val="22"/>
          <w:lang w:eastAsia="en-US"/>
        </w:rPr>
      </w:pPr>
      <w:r>
        <w:rPr>
          <w:bCs/>
          <w:lang w:eastAsia="en-US"/>
        </w:rPr>
        <w:t>a) ide o pohľadávku štátu, ktorej vymáhajúci orgán je ustanovený osobitným predpisom,</w:t>
      </w:r>
      <w:r>
        <w:rPr>
          <w:bCs/>
          <w:vertAlign w:val="superscript"/>
          <w:lang w:eastAsia="en-US"/>
        </w:rPr>
        <w:t>21</w:t>
      </w:r>
      <w:r>
        <w:rPr>
          <w:bCs/>
          <w:lang w:eastAsia="en-US"/>
        </w:rPr>
        <w:t>)</w:t>
      </w:r>
    </w:p>
    <w:p w:rsidR="005E3851" w:rsidP="00B42D7E">
      <w:pPr>
        <w:ind w:left="709" w:hanging="283"/>
        <w:rPr>
          <w:rFonts w:ascii="Calibri" w:hAnsi="Calibri"/>
          <w:bCs/>
          <w:sz w:val="22"/>
          <w:szCs w:val="22"/>
          <w:lang w:eastAsia="en-US"/>
        </w:rPr>
      </w:pPr>
      <w:r>
        <w:rPr>
          <w:bCs/>
          <w:lang w:eastAsia="en-US"/>
        </w:rPr>
        <w:t xml:space="preserve">b) od vymáhania pohľadávky štátu správca trvale upustil, </w:t>
      </w:r>
    </w:p>
    <w:p w:rsidR="005E3851" w:rsidP="00B42D7E">
      <w:pPr>
        <w:ind w:left="709" w:hanging="283"/>
        <w:rPr>
          <w:bCs/>
          <w:lang w:eastAsia="en-US"/>
        </w:rPr>
      </w:pPr>
      <w:r>
        <w:rPr>
          <w:bCs/>
          <w:lang w:eastAsia="en-US"/>
        </w:rPr>
        <w:t>c) ide o pohľadávku štátu, ku ktorej je uzavretá dohoda o splátkach alebo dohoda o odklade platenia, ak § 17 neustanovuje inak,</w:t>
      </w:r>
    </w:p>
    <w:p w:rsidR="005E3851" w:rsidP="00B42D7E">
      <w:pPr>
        <w:ind w:left="709" w:hanging="283"/>
        <w:rPr>
          <w:bCs/>
          <w:lang w:eastAsia="en-US"/>
        </w:rPr>
      </w:pPr>
      <w:r>
        <w:rPr>
          <w:bCs/>
          <w:lang w:eastAsia="en-US"/>
        </w:rPr>
        <w:t>d) ide o pohľadávku štátu z trvajúceho zmluvného vzťahu,</w:t>
      </w:r>
    </w:p>
    <w:p w:rsidR="005E3851" w:rsidP="00B42D7E">
      <w:pPr>
        <w:ind w:left="709" w:hanging="283"/>
        <w:rPr>
          <w:bCs/>
          <w:lang w:eastAsia="en-US"/>
        </w:rPr>
      </w:pPr>
      <w:r>
        <w:rPr>
          <w:bCs/>
          <w:lang w:eastAsia="en-US"/>
        </w:rPr>
        <w:t>e) dlžníkom je správca,</w:t>
      </w:r>
    </w:p>
    <w:p w:rsidR="005E3851" w:rsidP="00B42D7E">
      <w:pPr>
        <w:ind w:left="709" w:hanging="283"/>
        <w:rPr>
          <w:bCs/>
          <w:lang w:eastAsia="en-US"/>
        </w:rPr>
      </w:pPr>
      <w:r>
        <w:rPr>
          <w:bCs/>
          <w:lang w:eastAsia="en-US"/>
        </w:rPr>
        <w:t>f) dlžníkom je poverená osoba.“.</w:t>
      </w:r>
    </w:p>
    <w:p w:rsidR="005E3851" w:rsidP="005E3851">
      <w:pPr>
        <w:spacing w:line="276" w:lineRule="auto"/>
        <w:ind w:left="3119"/>
        <w:jc w:val="both"/>
        <w:rPr>
          <w:bCs/>
          <w:i/>
          <w:lang w:eastAsia="en-US"/>
        </w:rPr>
      </w:pPr>
    </w:p>
    <w:p w:rsidR="005E3851" w:rsidP="00975C2E">
      <w:pPr>
        <w:ind w:left="2832"/>
        <w:jc w:val="both"/>
        <w:rPr>
          <w:bCs/>
          <w:lang w:eastAsia="en-US"/>
        </w:rPr>
      </w:pPr>
      <w:r>
        <w:rPr>
          <w:bCs/>
          <w:lang w:eastAsia="en-US"/>
        </w:rPr>
        <w:t>Na právnickú osobu so 100% majetkovou účasťou štátu bude možné na základe tejto zmeny postúpiť aj pohľadávky štátu, ktoré vznikli do 31. decembra 2013,</w:t>
      </w:r>
      <w:r>
        <w:rPr>
          <w:rFonts w:ascii="Calibri" w:hAnsi="Calibri"/>
          <w:bCs/>
          <w:sz w:val="22"/>
          <w:szCs w:val="22"/>
          <w:lang w:eastAsia="en-US"/>
        </w:rPr>
        <w:t xml:space="preserve"> </w:t>
      </w:r>
      <w:r>
        <w:rPr>
          <w:bCs/>
          <w:lang w:eastAsia="en-US"/>
        </w:rPr>
        <w:t xml:space="preserve">z dôvodu usporiadania starých pohľadávok štátu,  a to podľa rovnakých princípov ako pri postupovaní práva vymáhania pohľadávok štátu na túto právnickú osobu. Postupovať bude možné pohľadávky štátu, ak bude dlžníkom rozpočtová organizácia štátu alebo príspevková organizácia štátu, prípadne dlžníkom bude samotná poverená organizácia. Takisto budú z možnosti postupovať pohľadávky štátu vylúčené aj prípady, keď je kompetencia na vymáhanie pohľadávok štátu ustanovená priamo niektorým zákonom. Ak prebieha voči dlžníkovi exekučné konanie, výkon rozhodnutia podľa Správneho poriadku a podľa Občianskeho súdneho poriadku, prípadne dobrovoľná dražba, je dôvodné ponechať správcovi možnosť postúpenia na túto právnickú osobu, a to z dôvodu, že pre vysoký počet takýchto pohľadávok môže byť efektívnejšie a hospodárnejšie ich vymáhanie touto právnickou osobou. </w:t>
      </w:r>
    </w:p>
    <w:p w:rsidR="002049FA" w:rsidP="002049FA">
      <w:pPr>
        <w:ind w:left="2832" w:hanging="705"/>
        <w:jc w:val="both"/>
        <w:rPr>
          <w:b/>
        </w:rPr>
      </w:pPr>
    </w:p>
    <w:p w:rsidR="002049FA" w:rsidP="00975C2E">
      <w:pPr>
        <w:ind w:left="2832"/>
        <w:jc w:val="both"/>
        <w:rPr>
          <w:b/>
        </w:rPr>
      </w:pPr>
      <w:r w:rsidRPr="0085353E">
        <w:rPr>
          <w:b/>
        </w:rPr>
        <w:t>Výbor NR SR pre financie a</w:t>
      </w:r>
      <w:r>
        <w:rPr>
          <w:b/>
        </w:rPr>
        <w:t> </w:t>
      </w:r>
      <w:r w:rsidRPr="0085353E">
        <w:rPr>
          <w:b/>
        </w:rPr>
        <w:t>rozpočet</w:t>
      </w:r>
    </w:p>
    <w:p w:rsidR="002049FA" w:rsidP="00975C2E">
      <w:pPr>
        <w:ind w:left="2832"/>
        <w:jc w:val="both"/>
      </w:pPr>
      <w:r>
        <w:rPr>
          <w:b/>
        </w:rPr>
        <w:t>Gestorský výbor odporúča schváliť.</w:t>
      </w:r>
    </w:p>
    <w:p w:rsidR="005E3851" w:rsidP="005E3851">
      <w:pPr>
        <w:spacing w:line="276" w:lineRule="auto"/>
        <w:jc w:val="both"/>
        <w:rPr>
          <w:bCs/>
          <w:lang w:eastAsia="en-US"/>
        </w:rPr>
      </w:pPr>
    </w:p>
    <w:p w:rsidR="005E3851" w:rsidP="005E3851">
      <w:pPr>
        <w:numPr>
          <w:ilvl w:val="1"/>
          <w:numId w:val="37"/>
        </w:numPr>
        <w:tabs>
          <w:tab w:val="left" w:pos="426"/>
        </w:tabs>
        <w:spacing w:line="276" w:lineRule="auto"/>
        <w:ind w:hanging="1440"/>
        <w:rPr>
          <w:bCs/>
          <w:lang w:eastAsia="en-US"/>
        </w:rPr>
      </w:pPr>
      <w:r>
        <w:rPr>
          <w:b/>
          <w:bCs/>
          <w:lang w:eastAsia="en-US"/>
        </w:rPr>
        <w:t>Čl. VIII znie</w:t>
      </w:r>
      <w:r>
        <w:rPr>
          <w:bCs/>
          <w:lang w:eastAsia="en-US"/>
        </w:rPr>
        <w:t>:</w:t>
      </w:r>
    </w:p>
    <w:p w:rsidR="005E3851" w:rsidP="005E3851">
      <w:pPr>
        <w:jc w:val="center"/>
        <w:rPr>
          <w:bCs/>
          <w:lang w:eastAsia="en-US"/>
        </w:rPr>
      </w:pPr>
      <w:r>
        <w:rPr>
          <w:bCs/>
          <w:lang w:eastAsia="en-US"/>
        </w:rPr>
        <w:t>„Čl. VIII</w:t>
      </w:r>
    </w:p>
    <w:p w:rsidR="005E3851" w:rsidP="005E3851">
      <w:pPr>
        <w:jc w:val="both"/>
        <w:rPr>
          <w:bCs/>
          <w:lang w:eastAsia="en-US"/>
        </w:rPr>
      </w:pPr>
      <w:r>
        <w:rPr>
          <w:bCs/>
          <w:lang w:eastAsia="en-US"/>
        </w:rPr>
        <w:tab/>
      </w:r>
    </w:p>
    <w:p w:rsidR="005E3851" w:rsidP="005E3851">
      <w:pPr>
        <w:jc w:val="both"/>
        <w:rPr>
          <w:bCs/>
          <w:lang w:eastAsia="en-US"/>
        </w:rPr>
      </w:pPr>
      <w:r>
        <w:rPr>
          <w:bCs/>
          <w:lang w:eastAsia="en-US"/>
        </w:rPr>
        <w:t xml:space="preserve"> </w:t>
        <w:tab/>
        <w:t>Zákon č. 291/2002 Z. z. o Štátnej pokladnici a o zmene a doplnení niektorých zákonov v znení zákona č. 386/2002 Z. z., zákona č. 428/2003 Z. z., zákona č. 523/2004 Z. z., zákona č. 581/2004 Z. z., zákona č. 747/2004 Z. z., zákona č. 68/2005 Z. z., zákona č. 659/2005 Z. z., zákona č. 238/2006 Z. z., zákona č. 198/2007 Z. z., zákona č. 659/2007 Z. z., zákona č. 70/2008 Z. z., zákona č. 465/2008 Z. z., zákona č. 492/2009 Z. z., zákona č. 381/2010 Z. z., nálezu Ústavného súdu Slovenskej republiky č. 217/2012 Z. z. a zákona č.132/2013 Z. z. sa mení a dopĺňa takto:</w:t>
      </w:r>
    </w:p>
    <w:p w:rsidR="005E3851" w:rsidP="005E3851">
      <w:pPr>
        <w:rPr>
          <w:bCs/>
          <w:lang w:eastAsia="en-US"/>
        </w:rPr>
      </w:pPr>
    </w:p>
    <w:p w:rsidR="005E3851" w:rsidP="005E3851">
      <w:pPr>
        <w:rPr>
          <w:bCs/>
          <w:lang w:eastAsia="en-US"/>
        </w:rPr>
      </w:pPr>
      <w:r>
        <w:rPr>
          <w:bCs/>
          <w:lang w:eastAsia="en-US"/>
        </w:rPr>
        <w:t>1. V § 6 ods. 1 písm. v) sa slovo „vymáha“ nahrádza slovom „spravuje“.</w:t>
      </w:r>
    </w:p>
    <w:p w:rsidR="005E3851" w:rsidP="005E3851">
      <w:pPr>
        <w:rPr>
          <w:bCs/>
          <w:lang w:eastAsia="en-US"/>
        </w:rPr>
      </w:pPr>
    </w:p>
    <w:p w:rsidR="005E3851" w:rsidP="005E3851">
      <w:pPr>
        <w:rPr>
          <w:bCs/>
          <w:lang w:eastAsia="en-US"/>
        </w:rPr>
      </w:pPr>
      <w:r>
        <w:rPr>
          <w:bCs/>
          <w:lang w:eastAsia="en-US"/>
        </w:rPr>
        <w:t>2. Za § 21a sa vkladá § 21b, ktorý znie:</w:t>
      </w:r>
    </w:p>
    <w:p w:rsidR="005E3851" w:rsidP="005E3851">
      <w:pPr>
        <w:jc w:val="center"/>
        <w:rPr>
          <w:bCs/>
          <w:lang w:eastAsia="en-US"/>
        </w:rPr>
      </w:pPr>
      <w:r>
        <w:rPr>
          <w:bCs/>
          <w:lang w:eastAsia="en-US"/>
        </w:rPr>
        <w:t>„§ 21b</w:t>
      </w:r>
    </w:p>
    <w:p w:rsidR="005E3851" w:rsidP="005E3851">
      <w:pPr>
        <w:jc w:val="both"/>
        <w:rPr>
          <w:bCs/>
          <w:lang w:eastAsia="en-US"/>
        </w:rPr>
      </w:pPr>
      <w:r>
        <w:rPr>
          <w:bCs/>
          <w:lang w:eastAsia="en-US"/>
        </w:rPr>
        <w:t>(1) Pri nakladaní s pohľadávkami Slovenskej republiky vzniknutými v rámci pôsobností Štátnej pokladnice podľa § 6, okrem § 6 ods. 1 písm. v), a agentúry podľa § 17 alebo pri činnostiach v súvislosti s týmito pôsobnosťami sa postupuje podľa právnych predpisov, vzťahujúcich sa na predmetné pôsobnosti alebo činnosti a pri vymáhaní týchto pohľadávok sa postupuje podľa osobitných predpisov.</w:t>
      </w:r>
      <w:r>
        <w:rPr>
          <w:bCs/>
          <w:vertAlign w:val="superscript"/>
          <w:lang w:eastAsia="en-US"/>
        </w:rPr>
        <w:t>29c</w:t>
      </w:r>
      <w:r>
        <w:rPr>
          <w:bCs/>
          <w:lang w:eastAsia="en-US"/>
        </w:rPr>
        <w:t xml:space="preserve">)  </w:t>
      </w:r>
    </w:p>
    <w:p w:rsidR="005E3851" w:rsidP="005E3851">
      <w:pPr>
        <w:jc w:val="both"/>
        <w:rPr>
          <w:bCs/>
          <w:lang w:eastAsia="en-US"/>
        </w:rPr>
      </w:pPr>
    </w:p>
    <w:p w:rsidR="005E3851" w:rsidP="005E3851">
      <w:pPr>
        <w:jc w:val="both"/>
        <w:rPr>
          <w:bCs/>
          <w:lang w:eastAsia="en-US"/>
        </w:rPr>
      </w:pPr>
      <w:r>
        <w:rPr>
          <w:bCs/>
          <w:lang w:eastAsia="en-US"/>
        </w:rPr>
        <w:t>(2) Na nakladanie s pohľadávkami podľa odseku 1 a na vymáhanie pohľadávok podľa odseku 1 sa osobitný predpis nevzťahuje.</w:t>
      </w:r>
      <w:r>
        <w:rPr>
          <w:bCs/>
          <w:vertAlign w:val="superscript"/>
          <w:lang w:eastAsia="en-US"/>
        </w:rPr>
        <w:t>29d</w:t>
      </w:r>
      <w:r>
        <w:rPr>
          <w:bCs/>
          <w:lang w:eastAsia="en-US"/>
        </w:rPr>
        <w:t>)“.</w:t>
      </w:r>
    </w:p>
    <w:p w:rsidR="005E3851" w:rsidP="005E3851">
      <w:pPr>
        <w:jc w:val="both"/>
        <w:rPr>
          <w:bCs/>
        </w:rPr>
      </w:pPr>
    </w:p>
    <w:p w:rsidR="005E3851" w:rsidP="005E3851">
      <w:pPr>
        <w:jc w:val="both"/>
      </w:pPr>
      <w:r>
        <w:t>Poznámky pod čiarou k odkazu 29c a 29d znejú:</w:t>
      </w:r>
    </w:p>
    <w:p w:rsidR="005E3851" w:rsidP="005E3851">
      <w:pPr>
        <w:ind w:left="426" w:hanging="426"/>
        <w:rPr>
          <w:lang w:eastAsia="en-US"/>
        </w:rPr>
      </w:pPr>
      <w:r>
        <w:rPr>
          <w:bCs/>
          <w:lang w:eastAsia="en-US"/>
        </w:rPr>
        <w:t>„</w:t>
      </w:r>
      <w:r>
        <w:rPr>
          <w:bCs/>
          <w:vertAlign w:val="superscript"/>
          <w:lang w:eastAsia="en-US"/>
        </w:rPr>
        <w:t>29c</w:t>
      </w:r>
      <w:r>
        <w:rPr>
          <w:bCs/>
          <w:lang w:eastAsia="en-US"/>
        </w:rPr>
        <w:t>) Napríklad Občiansky súdny poriadok v znení neskorších predpisov, zákon Národnej rady  Slovenskej republiky č. 233/1995 Z. z. o súdnych exekútoroch a exekučnej činnosti (Exekučný poriadok) a o zmene a doplnení ďalších zákonov v znení neskorších predpisov.</w:t>
      </w:r>
    </w:p>
    <w:p w:rsidR="005E3851" w:rsidP="005E3851">
      <w:pPr>
        <w:rPr>
          <w:bCs/>
          <w:lang w:eastAsia="en-US"/>
        </w:rPr>
      </w:pPr>
      <w:r>
        <w:rPr>
          <w:bCs/>
          <w:vertAlign w:val="superscript"/>
          <w:lang w:eastAsia="en-US"/>
        </w:rPr>
        <w:t>29d</w:t>
      </w:r>
      <w:r>
        <w:rPr>
          <w:bCs/>
          <w:lang w:eastAsia="en-US"/>
        </w:rPr>
        <w:t>) Zákon č. .../2014 Z. z.</w:t>
      </w:r>
      <w:r>
        <w:rPr>
          <w:rFonts w:ascii="Calibri" w:hAnsi="Calibri"/>
          <w:bCs/>
          <w:sz w:val="22"/>
          <w:szCs w:val="22"/>
          <w:lang w:eastAsia="en-US"/>
        </w:rPr>
        <w:t xml:space="preserve"> </w:t>
      </w:r>
      <w:r>
        <w:rPr>
          <w:bCs/>
          <w:lang w:eastAsia="en-US"/>
        </w:rPr>
        <w:t>o pohľadávkach štátu a o zmene a doplnení niektorých zákonov.“.</w:t>
      </w:r>
    </w:p>
    <w:p w:rsidR="005E3851" w:rsidP="005E3851">
      <w:pPr>
        <w:spacing w:line="276" w:lineRule="auto"/>
        <w:rPr>
          <w:bCs/>
          <w:lang w:eastAsia="en-US"/>
        </w:rPr>
      </w:pPr>
    </w:p>
    <w:p w:rsidR="005E3851" w:rsidP="00975C2E">
      <w:pPr>
        <w:ind w:left="2832"/>
        <w:jc w:val="both"/>
        <w:rPr>
          <w:bCs/>
          <w:lang w:eastAsia="en-US"/>
        </w:rPr>
      </w:pPr>
      <w:r>
        <w:rPr>
          <w:bCs/>
          <w:lang w:eastAsia="en-US"/>
        </w:rPr>
        <w:t xml:space="preserve">Z pôsobnosti zákona o pohľadávkach štátu je nutné vyňať nakladanie a vymáhanie pohľadávok štátu, ktoré vznikajú z činnosti Štátnej pokladnice vo vzťahoch voči centrálnym bankám v rámci Európskeho systému centrálnych bánk, alebo voči bankám, ktoré majú bankové povolenia podľa práva Európskej únie, a taktiež môže vzniknúť voči klientovi Štátnej pokladnice. Pohľadávky štátu môžu vzniknúť z činnosti Agentúry pre riadenie dlhu a likvidity napríklad pri vydávaní štátnych cenných papierov, finančných operáciách vykonávaných s finančnými nástrojmi vrátane operácií s finančnými derivátmi, usporiadaní obchodov s cennými papiermi a likviditou a riadením štátneho dlhu. Charakter týchto pohľadávok štátu si vyžaduje osobitný medzinárodne uznávaný spôsob nakladania a vymáhania, odlišný od spôsobu a inštitútov zavádzaných v zákone o pohľadávkach štátu. Pretože, ide o špecifické pohľadávky štátu, ktoré vznikajú len v rámci predmetu činností Štátnej pokladnice a Agentúry pre riadenie dlhu a likvidity alebo v súvislosti s nimi, upravenými v osobitnom právnom predpise </w:t>
      </w:r>
      <w:r w:rsidRPr="00472BA9">
        <w:rPr>
          <w:bCs/>
          <w:i/>
          <w:lang w:eastAsia="en-US"/>
        </w:rPr>
        <w:t>(zákon</w:t>
      </w:r>
      <w:r w:rsidRPr="00472BA9">
        <w:rPr>
          <w:rFonts w:ascii="Calibri" w:hAnsi="Calibri"/>
          <w:bCs/>
          <w:i/>
          <w:sz w:val="22"/>
          <w:szCs w:val="22"/>
          <w:lang w:eastAsia="en-US"/>
        </w:rPr>
        <w:t xml:space="preserve"> </w:t>
      </w:r>
      <w:r w:rsidRPr="00472BA9">
        <w:rPr>
          <w:bCs/>
          <w:i/>
          <w:lang w:eastAsia="en-US"/>
        </w:rPr>
        <w:t>č. 291/2002 Z. z. o Štátnej pokladnici a o zmene a doplnení niektorých zákonov v znení neskorších predpisov),</w:t>
      </w:r>
      <w:r>
        <w:rPr>
          <w:bCs/>
          <w:lang w:eastAsia="en-US"/>
        </w:rPr>
        <w:t xml:space="preserve"> navrhuje sa doplnenie predmetného zákona. </w:t>
      </w:r>
    </w:p>
    <w:p w:rsidR="002049FA" w:rsidP="002049FA">
      <w:pPr>
        <w:ind w:left="2832" w:hanging="705"/>
        <w:jc w:val="both"/>
        <w:rPr>
          <w:b/>
        </w:rPr>
      </w:pPr>
    </w:p>
    <w:p w:rsidR="002049FA" w:rsidP="00975C2E">
      <w:pPr>
        <w:ind w:left="2832"/>
        <w:jc w:val="both"/>
        <w:rPr>
          <w:b/>
        </w:rPr>
      </w:pPr>
      <w:r w:rsidRPr="0085353E">
        <w:rPr>
          <w:b/>
        </w:rPr>
        <w:t>Výbor NR SR pre financie a</w:t>
      </w:r>
      <w:r>
        <w:rPr>
          <w:b/>
        </w:rPr>
        <w:t> </w:t>
      </w:r>
      <w:r w:rsidRPr="0085353E">
        <w:rPr>
          <w:b/>
        </w:rPr>
        <w:t>rozpočet</w:t>
      </w:r>
    </w:p>
    <w:p w:rsidR="002049FA" w:rsidP="00975C2E">
      <w:pPr>
        <w:ind w:left="2832"/>
        <w:jc w:val="both"/>
      </w:pPr>
      <w:r>
        <w:rPr>
          <w:b/>
        </w:rPr>
        <w:t>Gestorský výbor odporúča schváliť.</w:t>
      </w:r>
    </w:p>
    <w:p w:rsidR="005E3851" w:rsidP="005E3851">
      <w:pPr>
        <w:spacing w:line="276" w:lineRule="auto"/>
        <w:rPr>
          <w:b/>
          <w:bCs/>
          <w:lang w:eastAsia="en-US"/>
        </w:rPr>
      </w:pPr>
    </w:p>
    <w:p w:rsidR="005E3851" w:rsidP="005E3851">
      <w:pPr>
        <w:numPr>
          <w:ilvl w:val="1"/>
          <w:numId w:val="37"/>
        </w:numPr>
        <w:tabs>
          <w:tab w:val="left" w:pos="426"/>
        </w:tabs>
        <w:ind w:hanging="1440"/>
        <w:jc w:val="both"/>
        <w:rPr>
          <w:bCs/>
          <w:lang w:eastAsia="en-US"/>
        </w:rPr>
      </w:pPr>
      <w:r>
        <w:rPr>
          <w:b/>
          <w:bCs/>
          <w:lang w:eastAsia="en-US"/>
        </w:rPr>
        <w:t>Za čl. XI sa vkladá nový čl. XII</w:t>
      </w:r>
      <w:r>
        <w:rPr>
          <w:bCs/>
          <w:lang w:eastAsia="en-US"/>
        </w:rPr>
        <w:t>, ktorý znie:</w:t>
      </w:r>
    </w:p>
    <w:p w:rsidR="005E3851" w:rsidP="005E3851">
      <w:pPr>
        <w:jc w:val="both"/>
        <w:rPr>
          <w:bCs/>
          <w:lang w:eastAsia="en-US"/>
        </w:rPr>
      </w:pPr>
    </w:p>
    <w:p w:rsidR="005E3851" w:rsidP="005E3851">
      <w:pPr>
        <w:jc w:val="center"/>
        <w:rPr>
          <w:bCs/>
          <w:lang w:eastAsia="en-US"/>
        </w:rPr>
      </w:pPr>
      <w:r>
        <w:rPr>
          <w:bCs/>
          <w:lang w:eastAsia="en-US"/>
        </w:rPr>
        <w:t>„Čl. XII</w:t>
      </w:r>
    </w:p>
    <w:p w:rsidR="005E3851" w:rsidP="005E3851">
      <w:pPr>
        <w:jc w:val="center"/>
        <w:rPr>
          <w:b/>
          <w:bCs/>
          <w:lang w:eastAsia="en-US"/>
        </w:rPr>
      </w:pPr>
    </w:p>
    <w:p w:rsidR="005E3851" w:rsidP="005E3851">
      <w:pPr>
        <w:jc w:val="both"/>
        <w:rPr>
          <w:bCs/>
          <w:lang w:eastAsia="en-US"/>
        </w:rPr>
      </w:pPr>
      <w:r>
        <w:rPr>
          <w:bCs/>
          <w:lang w:eastAsia="en-US"/>
        </w:rPr>
        <w:tab/>
        <w:t xml:space="preserve">Zákon č. 528/2008 Z. z. o pomoci a podpore poskytovanej z fondov Európskeho spoločenstva  v znení zákona č. 266/2009 Z. z., zákona č. 57/2010 Z. z., zákona č. 116/2011 Z. z., zákona č. 71/2012 Z. z., zákona č. 111/2012 Z. z. a zákona č. 292/2014 Z. z. sa dopĺňa takto: </w:t>
      </w:r>
    </w:p>
    <w:p w:rsidR="009A7EE6" w:rsidP="005E3851">
      <w:pPr>
        <w:jc w:val="both"/>
        <w:rPr>
          <w:bCs/>
          <w:lang w:eastAsia="en-US"/>
        </w:rPr>
      </w:pPr>
    </w:p>
    <w:p w:rsidR="005E3851" w:rsidP="005E3851">
      <w:pPr>
        <w:jc w:val="both"/>
        <w:rPr>
          <w:bCs/>
          <w:lang w:eastAsia="en-US"/>
        </w:rPr>
      </w:pPr>
      <w:r>
        <w:rPr>
          <w:bCs/>
          <w:lang w:eastAsia="en-US"/>
        </w:rPr>
        <w:t>V § 46af sa za slovo „právoplatnosť“ vkladá slovo „od“.“.</w:t>
      </w:r>
    </w:p>
    <w:p w:rsidR="005E3851" w:rsidP="005E3851">
      <w:pPr>
        <w:jc w:val="both"/>
        <w:rPr>
          <w:bCs/>
          <w:u w:val="single"/>
          <w:lang w:eastAsia="en-US"/>
        </w:rPr>
      </w:pPr>
    </w:p>
    <w:p w:rsidR="005E3851" w:rsidP="00975C2E">
      <w:pPr>
        <w:ind w:left="2832"/>
        <w:jc w:val="both"/>
        <w:rPr>
          <w:bCs/>
          <w:lang w:eastAsia="en-US"/>
        </w:rPr>
      </w:pPr>
      <w:r>
        <w:rPr>
          <w:bCs/>
          <w:lang w:eastAsia="en-US"/>
        </w:rPr>
        <w:t xml:space="preserve">Ide o </w:t>
      </w:r>
      <w:r w:rsidR="009A7EE6">
        <w:rPr>
          <w:bCs/>
          <w:lang w:eastAsia="en-US"/>
        </w:rPr>
        <w:t>l</w:t>
      </w:r>
      <w:r>
        <w:rPr>
          <w:bCs/>
          <w:lang w:eastAsia="en-US"/>
        </w:rPr>
        <w:t xml:space="preserve">egislatívno-technickú úpravu, ktorou sa  spresňuje znenie prechodného ustanovenia tak, aby bolo vecne a právne jednoznačné a aby nedochádzalo k jeho nesprávnym výkladom pri aplikácii v praxi. </w:t>
      </w:r>
    </w:p>
    <w:p w:rsidR="005E3851" w:rsidP="005E3851">
      <w:pPr>
        <w:rPr>
          <w:b/>
          <w:bCs/>
          <w:lang w:eastAsia="en-US"/>
        </w:rPr>
      </w:pPr>
    </w:p>
    <w:p w:rsidR="005E3851" w:rsidP="005E3851">
      <w:pPr>
        <w:jc w:val="both"/>
        <w:rPr>
          <w:bCs/>
          <w:lang w:eastAsia="en-US"/>
        </w:rPr>
      </w:pPr>
      <w:r>
        <w:rPr>
          <w:bCs/>
          <w:lang w:eastAsia="en-US"/>
        </w:rPr>
        <w:t>V nadväznosti na doplnenie nového článku č. XII sa nasledujúce články primerane prečíslujú.</w:t>
      </w:r>
    </w:p>
    <w:p w:rsidR="005E3851" w:rsidP="005E3851">
      <w:pPr>
        <w:rPr>
          <w:b/>
          <w:bCs/>
          <w:lang w:eastAsia="en-US"/>
        </w:rPr>
      </w:pPr>
    </w:p>
    <w:p w:rsidR="002049FA" w:rsidP="00975C2E">
      <w:pPr>
        <w:ind w:left="2832"/>
        <w:jc w:val="both"/>
        <w:rPr>
          <w:b/>
        </w:rPr>
      </w:pPr>
      <w:r w:rsidRPr="0085353E">
        <w:rPr>
          <w:b/>
        </w:rPr>
        <w:t>Výbor NR SR pre financie a</w:t>
      </w:r>
      <w:r>
        <w:rPr>
          <w:b/>
        </w:rPr>
        <w:t> </w:t>
      </w:r>
      <w:r w:rsidRPr="0085353E">
        <w:rPr>
          <w:b/>
        </w:rPr>
        <w:t>rozpočet</w:t>
      </w:r>
    </w:p>
    <w:p w:rsidR="002049FA" w:rsidP="00975C2E">
      <w:pPr>
        <w:ind w:left="2832"/>
        <w:jc w:val="both"/>
      </w:pPr>
      <w:r>
        <w:rPr>
          <w:b/>
        </w:rPr>
        <w:t>Gestorský výbor odporúča schváliť.</w:t>
      </w:r>
    </w:p>
    <w:p w:rsidR="005E3851" w:rsidP="005E3851">
      <w:pPr>
        <w:rPr>
          <w:b/>
          <w:bCs/>
          <w:lang w:eastAsia="en-US"/>
        </w:rPr>
      </w:pPr>
    </w:p>
    <w:p w:rsidR="00975C2E" w:rsidP="005E3851">
      <w:pPr>
        <w:rPr>
          <w:b/>
          <w:bCs/>
          <w:lang w:eastAsia="en-US"/>
        </w:rPr>
      </w:pPr>
    </w:p>
    <w:p w:rsidR="00975C2E" w:rsidP="005E3851">
      <w:pPr>
        <w:rPr>
          <w:b/>
          <w:bCs/>
          <w:lang w:eastAsia="en-US"/>
        </w:rPr>
      </w:pPr>
    </w:p>
    <w:p w:rsidR="00975C2E" w:rsidP="005E3851">
      <w:pPr>
        <w:rPr>
          <w:b/>
          <w:bCs/>
          <w:lang w:eastAsia="en-US"/>
        </w:rPr>
      </w:pPr>
    </w:p>
    <w:p w:rsidR="00975C2E" w:rsidP="005E3851">
      <w:pPr>
        <w:rPr>
          <w:b/>
          <w:bCs/>
          <w:lang w:eastAsia="en-US"/>
        </w:rPr>
      </w:pPr>
    </w:p>
    <w:p w:rsidR="00975C2E" w:rsidP="005E3851">
      <w:pPr>
        <w:rPr>
          <w:b/>
          <w:bCs/>
          <w:lang w:eastAsia="en-US"/>
        </w:rPr>
      </w:pPr>
    </w:p>
    <w:p w:rsidR="005E3851" w:rsidP="005E3851">
      <w:pPr>
        <w:numPr>
          <w:ilvl w:val="1"/>
          <w:numId w:val="37"/>
        </w:numPr>
        <w:tabs>
          <w:tab w:val="left" w:pos="426"/>
        </w:tabs>
        <w:ind w:hanging="1440"/>
        <w:rPr>
          <w:bCs/>
          <w:lang w:eastAsia="en-US"/>
        </w:rPr>
      </w:pPr>
      <w:r>
        <w:rPr>
          <w:b/>
          <w:bCs/>
          <w:lang w:eastAsia="en-US"/>
        </w:rPr>
        <w:t>Čl. XII znie</w:t>
      </w:r>
      <w:r>
        <w:rPr>
          <w:bCs/>
          <w:lang w:eastAsia="en-US"/>
        </w:rPr>
        <w:t>:</w:t>
      </w:r>
    </w:p>
    <w:p w:rsidR="005E3851" w:rsidP="005E3851">
      <w:pPr>
        <w:tabs>
          <w:tab w:val="left" w:pos="426"/>
        </w:tabs>
        <w:ind w:left="1440"/>
        <w:rPr>
          <w:bCs/>
          <w:lang w:eastAsia="en-US"/>
        </w:rPr>
      </w:pPr>
    </w:p>
    <w:p w:rsidR="005E3851" w:rsidP="005E3851">
      <w:pPr>
        <w:jc w:val="center"/>
        <w:rPr>
          <w:bCs/>
          <w:lang w:eastAsia="en-US"/>
        </w:rPr>
      </w:pPr>
      <w:r>
        <w:rPr>
          <w:bCs/>
          <w:lang w:eastAsia="en-US"/>
        </w:rPr>
        <w:t>„Čl. XII</w:t>
      </w:r>
    </w:p>
    <w:p w:rsidR="005E3851" w:rsidP="005E3851">
      <w:pPr>
        <w:jc w:val="both"/>
        <w:rPr>
          <w:bCs/>
          <w:lang w:eastAsia="en-US"/>
        </w:rPr>
      </w:pPr>
      <w:r>
        <w:rPr>
          <w:bCs/>
          <w:lang w:eastAsia="en-US"/>
        </w:rPr>
        <w:tab/>
      </w:r>
    </w:p>
    <w:p w:rsidR="005E3851" w:rsidP="005E3851">
      <w:pPr>
        <w:jc w:val="both"/>
        <w:rPr>
          <w:bCs/>
          <w:lang w:eastAsia="en-US"/>
        </w:rPr>
      </w:pPr>
      <w:r>
        <w:rPr>
          <w:bCs/>
          <w:lang w:eastAsia="en-US"/>
        </w:rPr>
        <w:t>Zákon č. 180/2013 Z. z. o organizácii miestnej štátnej správy a o zmene a doplnení niektorých zákonov v znení zákona č. 506/2013 Z. z. a zákona č. 115/2014 Z. z. sa mení takto:</w:t>
      </w:r>
    </w:p>
    <w:p w:rsidR="009A7EE6" w:rsidP="005E3851">
      <w:pPr>
        <w:rPr>
          <w:bCs/>
          <w:lang w:eastAsia="en-US"/>
        </w:rPr>
      </w:pPr>
    </w:p>
    <w:p w:rsidR="005E3851" w:rsidP="005E3851">
      <w:pPr>
        <w:rPr>
          <w:bCs/>
          <w:lang w:eastAsia="en-US"/>
        </w:rPr>
      </w:pPr>
      <w:r>
        <w:rPr>
          <w:bCs/>
          <w:lang w:eastAsia="en-US"/>
        </w:rPr>
        <w:t>§ 7 znie:</w:t>
      </w:r>
    </w:p>
    <w:p w:rsidR="005E3851" w:rsidP="005E3851">
      <w:pPr>
        <w:jc w:val="center"/>
        <w:rPr>
          <w:bCs/>
          <w:lang w:eastAsia="en-US"/>
        </w:rPr>
      </w:pPr>
    </w:p>
    <w:p w:rsidR="005E3851" w:rsidP="005E3851">
      <w:pPr>
        <w:jc w:val="center"/>
        <w:rPr>
          <w:bCs/>
          <w:lang w:eastAsia="en-US"/>
        </w:rPr>
      </w:pPr>
      <w:r>
        <w:rPr>
          <w:bCs/>
          <w:lang w:eastAsia="en-US"/>
        </w:rPr>
        <w:t>„§ 7</w:t>
      </w:r>
    </w:p>
    <w:p w:rsidR="005E3851" w:rsidP="005E3851">
      <w:pPr>
        <w:jc w:val="both"/>
        <w:rPr>
          <w:bCs/>
          <w:lang w:eastAsia="en-US"/>
        </w:rPr>
      </w:pPr>
      <w:r>
        <w:rPr>
          <w:bCs/>
          <w:lang w:eastAsia="en-US"/>
        </w:rPr>
        <w:tab/>
        <w:t>Výkon rozhodnutia okresného úradu uskutočňuje ministerstvo, ak osobitný zákon neustanovuje inak.</w:t>
      </w:r>
      <w:r>
        <w:rPr>
          <w:bCs/>
          <w:vertAlign w:val="superscript"/>
          <w:lang w:eastAsia="en-US"/>
        </w:rPr>
        <w:t>2</w:t>
      </w:r>
      <w:r>
        <w:rPr>
          <w:bCs/>
          <w:lang w:eastAsia="en-US"/>
        </w:rPr>
        <w:t>) Ministerstvo je oprávnené vykonať konsolidáciu pohľadávok štátu vzniknutých z rozhodnutia okresného úradu podľa osobitného predpisu.</w:t>
      </w:r>
      <w:r>
        <w:rPr>
          <w:bCs/>
          <w:vertAlign w:val="superscript"/>
          <w:lang w:eastAsia="en-US"/>
        </w:rPr>
        <w:t>2a</w:t>
      </w:r>
      <w:r>
        <w:rPr>
          <w:bCs/>
          <w:lang w:eastAsia="en-US"/>
        </w:rPr>
        <w:t>) Ministerstvo je oprávnené odplatne postúpiť písomnou zmluvou</w:t>
      </w:r>
      <w:r>
        <w:rPr>
          <w:bCs/>
          <w:color w:val="FF0000"/>
          <w:lang w:eastAsia="en-US"/>
        </w:rPr>
        <w:t xml:space="preserve"> </w:t>
      </w:r>
      <w:r>
        <w:rPr>
          <w:bCs/>
          <w:lang w:eastAsia="en-US"/>
        </w:rPr>
        <w:t>na právnickú osobu so 100% majetkovou účasťou štátu, ktorej predmetom podnikania je konsolidácia pohľadávok verejného sektora, splatné pohľadávky štátu, ktoré vznikli do 31. decembra 2013.“.</w:t>
      </w:r>
    </w:p>
    <w:p w:rsidR="005E3851" w:rsidP="005E3851">
      <w:pPr>
        <w:jc w:val="both"/>
        <w:rPr>
          <w:bCs/>
        </w:rPr>
      </w:pPr>
    </w:p>
    <w:p w:rsidR="005E3851" w:rsidP="005E3851">
      <w:pPr>
        <w:jc w:val="both"/>
      </w:pPr>
      <w:r>
        <w:t>Poznámka pod čiarou k odkazu 2a znie:</w:t>
      </w:r>
    </w:p>
    <w:p w:rsidR="005E3851" w:rsidP="005E3851">
      <w:pPr>
        <w:ind w:left="426" w:hanging="426"/>
        <w:rPr>
          <w:lang w:eastAsia="en-US"/>
        </w:rPr>
      </w:pPr>
      <w:r>
        <w:rPr>
          <w:bCs/>
          <w:lang w:eastAsia="en-US"/>
        </w:rPr>
        <w:t>„</w:t>
      </w:r>
      <w:r>
        <w:rPr>
          <w:bCs/>
          <w:vertAlign w:val="superscript"/>
          <w:lang w:eastAsia="en-US"/>
        </w:rPr>
        <w:t>2a</w:t>
      </w:r>
      <w:r>
        <w:rPr>
          <w:bCs/>
          <w:lang w:eastAsia="en-US"/>
        </w:rPr>
        <w:t>) § 14 zákona č. ... /2014 Z. z. o pohľadávkach štátu a o zmene a doplnení niektorých zákonov.“.“.</w:t>
      </w:r>
    </w:p>
    <w:p w:rsidR="005E3851" w:rsidP="005E3851">
      <w:pPr>
        <w:ind w:left="3119"/>
        <w:rPr>
          <w:bCs/>
          <w:i/>
          <w:lang w:eastAsia="en-US"/>
        </w:rPr>
      </w:pPr>
    </w:p>
    <w:p w:rsidR="005E3851" w:rsidP="00975C2E">
      <w:pPr>
        <w:ind w:left="2832"/>
        <w:jc w:val="both"/>
        <w:rPr>
          <w:bCs/>
          <w:lang w:eastAsia="en-US"/>
        </w:rPr>
      </w:pPr>
      <w:r>
        <w:rPr>
          <w:bCs/>
          <w:lang w:eastAsia="en-US"/>
        </w:rPr>
        <w:t xml:space="preserve">V súvislosti so zmenami podľa bodov 1 a 2 tohto pozmeňujúceho návrhu je potrebné upraviť možnosť konsolidácie pohľadávok štátu, resp. postupovanie tzv. „starých“ pohľadávok štátu, ktoré vznikli rozhodovacou činnosťou okresných úradov, ktoré vymáha Ministerstvo vnútra SR. Navrhovanou  úpravou  sa  ministerstvu umožňuje pri vymáhaní pohľadávok štátu vzniknutých z činnosti okresných úradov postupovať podľa zákona o pohľadávkach štátu, aj keď podľa zákona č. 180/2013 Z. z. uskutočňuje výkon rozhodnutia okresných úradov. </w:t>
      </w:r>
    </w:p>
    <w:p w:rsidR="002049FA" w:rsidP="002049FA">
      <w:pPr>
        <w:ind w:left="2832" w:hanging="705"/>
        <w:jc w:val="both"/>
        <w:rPr>
          <w:b/>
        </w:rPr>
      </w:pPr>
    </w:p>
    <w:p w:rsidR="002049FA" w:rsidP="00975C2E">
      <w:pPr>
        <w:ind w:left="2832"/>
        <w:jc w:val="both"/>
        <w:rPr>
          <w:b/>
        </w:rPr>
      </w:pPr>
      <w:r w:rsidRPr="0085353E">
        <w:rPr>
          <w:b/>
        </w:rPr>
        <w:t>Výbor NR SR pre financie a</w:t>
      </w:r>
      <w:r>
        <w:rPr>
          <w:b/>
        </w:rPr>
        <w:t> </w:t>
      </w:r>
      <w:r w:rsidRPr="0085353E">
        <w:rPr>
          <w:b/>
        </w:rPr>
        <w:t>rozpočet</w:t>
      </w:r>
    </w:p>
    <w:p w:rsidR="002049FA" w:rsidP="00975C2E">
      <w:pPr>
        <w:ind w:left="2832"/>
        <w:jc w:val="both"/>
      </w:pPr>
      <w:r>
        <w:rPr>
          <w:b/>
        </w:rPr>
        <w:t>Gestorský výbor odporúča schváliť.</w:t>
      </w:r>
    </w:p>
    <w:p w:rsidR="005E3851" w:rsidP="005E3851">
      <w:pPr>
        <w:jc w:val="both"/>
        <w:rPr>
          <w:rFonts w:ascii="Calibri" w:hAnsi="Calibri"/>
          <w:bCs/>
          <w:sz w:val="22"/>
          <w:szCs w:val="22"/>
          <w:lang w:eastAsia="en-US"/>
        </w:rPr>
      </w:pPr>
    </w:p>
    <w:p w:rsidR="005E3851" w:rsidP="005E3851">
      <w:pPr>
        <w:numPr>
          <w:ilvl w:val="1"/>
          <w:numId w:val="37"/>
        </w:numPr>
        <w:ind w:left="426" w:hanging="426"/>
        <w:jc w:val="both"/>
        <w:rPr>
          <w:rFonts w:eastAsia="Calibri"/>
          <w:b/>
          <w:bCs/>
          <w:lang w:eastAsia="en-US"/>
        </w:rPr>
      </w:pPr>
      <w:r>
        <w:rPr>
          <w:rFonts w:eastAsia="Calibri"/>
          <w:b/>
          <w:bCs/>
          <w:lang w:eastAsia="en-US"/>
        </w:rPr>
        <w:t xml:space="preserve">V čl. XII sa  doterajší text označuje ako bod 1 a dopĺňa sa bodom 2, ktorý znie: </w:t>
      </w:r>
    </w:p>
    <w:p w:rsidR="005E3851" w:rsidP="005E3851">
      <w:pPr>
        <w:jc w:val="both"/>
        <w:rPr>
          <w:rFonts w:eastAsia="Calibri"/>
          <w:bCs/>
          <w:lang w:eastAsia="en-US"/>
        </w:rPr>
      </w:pPr>
    </w:p>
    <w:p w:rsidR="005E3851" w:rsidP="005E3851">
      <w:pPr>
        <w:jc w:val="both"/>
        <w:rPr>
          <w:rFonts w:eastAsia="Calibri"/>
          <w:bCs/>
          <w:lang w:eastAsia="en-US"/>
        </w:rPr>
      </w:pPr>
      <w:r>
        <w:rPr>
          <w:rFonts w:eastAsia="Calibri"/>
          <w:bCs/>
          <w:lang w:eastAsia="en-US"/>
        </w:rPr>
        <w:t>„2. Za § 9a sa vkladá § 9b, ktorý znie:</w:t>
      </w:r>
    </w:p>
    <w:p w:rsidR="005E3851" w:rsidP="005E3851">
      <w:pPr>
        <w:jc w:val="center"/>
        <w:rPr>
          <w:rFonts w:eastAsia="Calibri"/>
          <w:bCs/>
          <w:lang w:eastAsia="en-US"/>
        </w:rPr>
      </w:pPr>
    </w:p>
    <w:p w:rsidR="005E3851" w:rsidP="005E3851">
      <w:pPr>
        <w:jc w:val="center"/>
        <w:rPr>
          <w:rFonts w:eastAsia="Calibri"/>
          <w:bCs/>
          <w:lang w:eastAsia="en-US"/>
        </w:rPr>
      </w:pPr>
      <w:r>
        <w:rPr>
          <w:rFonts w:eastAsia="Calibri"/>
          <w:bCs/>
          <w:lang w:eastAsia="en-US"/>
        </w:rPr>
        <w:t>„§ 9b</w:t>
      </w:r>
    </w:p>
    <w:p w:rsidR="005E3851" w:rsidP="005E3851">
      <w:pPr>
        <w:jc w:val="both"/>
        <w:rPr>
          <w:rFonts w:eastAsia="Calibri"/>
          <w:bCs/>
          <w:lang w:eastAsia="en-US"/>
        </w:rPr>
      </w:pPr>
    </w:p>
    <w:p w:rsidR="005E3851" w:rsidP="005E3851">
      <w:pPr>
        <w:ind w:firstLine="708"/>
        <w:jc w:val="both"/>
        <w:rPr>
          <w:rFonts w:eastAsia="Calibri"/>
          <w:bCs/>
          <w:lang w:eastAsia="en-US"/>
        </w:rPr>
      </w:pPr>
      <w:r>
        <w:rPr>
          <w:rFonts w:eastAsia="Calibri"/>
          <w:bCs/>
          <w:lang w:eastAsia="en-US"/>
        </w:rPr>
        <w:t>Pohľadávky, ktoré prešli na ministerstvo podľa § 9 alebo osobitného predpisu,</w:t>
      </w:r>
      <w:r>
        <w:rPr>
          <w:rFonts w:eastAsia="Calibri"/>
          <w:bCs/>
          <w:vertAlign w:val="superscript"/>
          <w:lang w:eastAsia="en-US"/>
        </w:rPr>
        <w:t>4</w:t>
      </w:r>
      <w:r>
        <w:rPr>
          <w:rFonts w:eastAsia="Calibri"/>
          <w:bCs/>
          <w:lang w:eastAsia="en-US"/>
        </w:rPr>
        <w:t>) alebo prešli na ministerstvo zrušením štátnych rozpočtových organizácií podľa osobitného predpisu</w:t>
      </w:r>
      <w:r>
        <w:rPr>
          <w:rFonts w:eastAsia="Calibri"/>
          <w:bCs/>
          <w:vertAlign w:val="superscript"/>
          <w:lang w:eastAsia="en-US"/>
        </w:rPr>
        <w:t>5)</w:t>
      </w:r>
      <w:r>
        <w:rPr>
          <w:rFonts w:eastAsia="Calibri"/>
          <w:bCs/>
          <w:lang w:eastAsia="en-US"/>
        </w:rPr>
        <w:t xml:space="preserve"> zanikajú 1. januára 2015, ak neboli uspokojené a jednotlivá výška pohľadávky je nižšia ako priemerné náklady na  vymoženie obdobných pohľadávok.“. </w:t>
      </w:r>
    </w:p>
    <w:p w:rsidR="005E3851" w:rsidP="005E3851">
      <w:pPr>
        <w:jc w:val="both"/>
        <w:rPr>
          <w:rFonts w:eastAsia="Calibri"/>
          <w:bCs/>
          <w:lang w:eastAsia="en-US"/>
        </w:rPr>
      </w:pPr>
    </w:p>
    <w:p w:rsidR="005E3851" w:rsidP="005E3851">
      <w:pPr>
        <w:jc w:val="both"/>
        <w:rPr>
          <w:rFonts w:eastAsia="Calibri"/>
          <w:bCs/>
          <w:lang w:eastAsia="en-US"/>
        </w:rPr>
      </w:pPr>
      <w:r>
        <w:rPr>
          <w:rFonts w:eastAsia="Calibri"/>
          <w:bCs/>
          <w:lang w:eastAsia="en-US"/>
        </w:rPr>
        <w:t>Poznámky pod čiarou k odkazom  4 a 5 znejú:</w:t>
      </w:r>
    </w:p>
    <w:p w:rsidR="005E3851" w:rsidP="005E3851">
      <w:pPr>
        <w:ind w:left="426" w:hanging="426"/>
        <w:jc w:val="both"/>
        <w:rPr>
          <w:rFonts w:eastAsia="Calibri"/>
          <w:bCs/>
          <w:lang w:eastAsia="en-US"/>
        </w:rPr>
      </w:pPr>
      <w:r>
        <w:rPr>
          <w:rFonts w:eastAsia="Calibri"/>
          <w:bCs/>
          <w:lang w:eastAsia="en-US"/>
        </w:rPr>
        <w:t>„4) Zákon č. 345/2012 Z. z. o niektorých opatreniach v miestnej štátnej správe a o zmene a doplnení niektorých zákonov.</w:t>
      </w:r>
    </w:p>
    <w:p w:rsidR="005E3851" w:rsidP="005E3851">
      <w:pPr>
        <w:ind w:left="426" w:hanging="426"/>
        <w:jc w:val="both"/>
        <w:rPr>
          <w:rFonts w:eastAsia="Calibri"/>
          <w:bCs/>
          <w:lang w:eastAsia="en-US"/>
        </w:rPr>
      </w:pPr>
      <w:r>
        <w:rPr>
          <w:rFonts w:eastAsia="Calibri"/>
          <w:bCs/>
          <w:lang w:eastAsia="en-US"/>
        </w:rPr>
        <w:t xml:space="preserve"> 5) § 21 ods. 13 zákona č. 523/2004 Z. z. o rozpočtových pravidlách verejnej správy a o zmene a doplnení niektorých zákonov v znení neskorších predpisov.“. </w:t>
      </w:r>
    </w:p>
    <w:p w:rsidR="005E3851" w:rsidP="005E3851">
      <w:pPr>
        <w:rPr>
          <w:rFonts w:eastAsia="Calibri"/>
          <w:bCs/>
          <w:lang w:eastAsia="en-US"/>
        </w:rPr>
      </w:pPr>
    </w:p>
    <w:p w:rsidR="005E3851" w:rsidP="00975C2E">
      <w:pPr>
        <w:ind w:left="2832"/>
        <w:jc w:val="both"/>
        <w:rPr>
          <w:rFonts w:eastAsia="Calibri"/>
          <w:bCs/>
          <w:lang w:eastAsia="en-US"/>
        </w:rPr>
      </w:pPr>
      <w:r>
        <w:rPr>
          <w:rFonts w:eastAsia="Calibri"/>
          <w:bCs/>
          <w:lang w:eastAsia="en-US"/>
        </w:rPr>
        <w:t xml:space="preserve">V súvislosti s legislatívnymi zmenami v organizácii miestnej štátnej správy </w:t>
      </w:r>
      <w:r w:rsidRPr="00472BA9">
        <w:rPr>
          <w:rFonts w:eastAsia="Calibri"/>
          <w:bCs/>
          <w:i/>
          <w:lang w:eastAsia="en-US"/>
        </w:rPr>
        <w:t>(zákon č. 180/2013 Z. z.),</w:t>
      </w:r>
      <w:r>
        <w:rPr>
          <w:rFonts w:eastAsia="Calibri"/>
          <w:bCs/>
          <w:lang w:eastAsia="en-US"/>
        </w:rPr>
        <w:t xml:space="preserve"> zrušením právnej subjektivity správcov pohľadávok štátu a zrušením orgánov miestnej štátnej správy podľa tohto zákona a zákonov  uvedených v poznámke pod čiarou, prešli pohľadávky štátu na jediného správcu, ktorým je Ministerstvo vnútra Slovenskej republiky. Tento správca prevzal rozsiahly objem pohľadávok (cca 600 tisíc kusov), pri ktorých bolo analýzou zistené alebo je odôvodnené predpokladať, že nebudú splnené. Dôvodom pre ich nevymoženie je skutočnosť, že náklady na vymáhanie alebo náklady súvisiace s administratívou v prípade ich postupovania na právnickú osobu so 100 % majetkovou účasťou štátu by vo výraznej miere prevýšili ich výšku, čo je v rozpore s ustanovením § 19 zákona č. 523/2004 Z. z. o rozpočtových pravidlách verejnej správy a o zmene a doplnení niektorých zákonov v znení neskorších predpisov. Zároveň bolo zistené, že tieto pohľadávky nebude môcť správca vymôcť efektívnym a hospodárnym spôsobom ani podľa novo navrhovaného zákona o pohľadávkach štátu. Podľa doterajšej praxe tvoria náklady na vymoženie sumu od 68 eur do 139 eur. To znamená, že 35 eurová pohľadávka a jej vymoženie ak bolo úspešné, znamenala stratu, ktorú tvorí rozdiel medzi vymoženou sumou a nákladmi. Pri nevymožených pohľadávkach by celá táto suma išla na ťarchu štátneho rozpočtu.  </w:t>
      </w:r>
    </w:p>
    <w:p w:rsidR="005E3851" w:rsidP="00975C2E">
      <w:pPr>
        <w:ind w:left="2832"/>
        <w:jc w:val="both"/>
        <w:rPr>
          <w:rFonts w:ascii="Calibri" w:eastAsia="Calibri" w:hAnsi="Calibri"/>
          <w:bCs/>
          <w:sz w:val="22"/>
          <w:szCs w:val="22"/>
          <w:lang w:eastAsia="en-US"/>
        </w:rPr>
      </w:pPr>
      <w:r>
        <w:rPr>
          <w:rFonts w:eastAsia="Calibri"/>
          <w:bCs/>
          <w:lang w:eastAsia="en-US"/>
        </w:rPr>
        <w:t xml:space="preserve">Navrhovaná úprava odbúra administratívnu prácnosť a náklady štátu na vymoženie takýchto pohľadávok, čím sa zabezpečí úspora finančných prostriedkov, ktoré by inak museli byť vynaložené zo štátneho rozpočtu. Pre správcu sa zavádza kritérium, aby posúdil každú pohľadávku jednotlivo a preukázal nehospodárnosť vymáhania. V praxi pôjde o pohľadávky, ktorých výška nepresahuje 35 eur. Keďže tieto pohľadávky sú vedené v účtovníctve, zároveň bude potrebné podľa predpisov o účtovníctve vykonať o zániku pohľadávky podľa tohto ustanovenia účtovný záznam. </w:t>
      </w:r>
    </w:p>
    <w:p w:rsidR="00975C2E" w:rsidP="002049FA">
      <w:pPr>
        <w:ind w:left="2832" w:hanging="705"/>
        <w:jc w:val="both"/>
        <w:rPr>
          <w:b/>
        </w:rPr>
      </w:pPr>
    </w:p>
    <w:p w:rsidR="002049FA" w:rsidP="00975C2E">
      <w:pPr>
        <w:ind w:left="2832"/>
        <w:jc w:val="both"/>
        <w:rPr>
          <w:b/>
        </w:rPr>
      </w:pPr>
      <w:r w:rsidRPr="0085353E">
        <w:rPr>
          <w:b/>
        </w:rPr>
        <w:t>Výbor NR SR pre financie a</w:t>
      </w:r>
      <w:r>
        <w:rPr>
          <w:b/>
        </w:rPr>
        <w:t> </w:t>
      </w:r>
      <w:r w:rsidRPr="0085353E">
        <w:rPr>
          <w:b/>
        </w:rPr>
        <w:t>rozpočet</w:t>
      </w:r>
    </w:p>
    <w:p w:rsidR="002049FA" w:rsidP="00975C2E">
      <w:pPr>
        <w:ind w:left="2832"/>
        <w:jc w:val="both"/>
      </w:pPr>
      <w:r>
        <w:rPr>
          <w:b/>
        </w:rPr>
        <w:t>Gestorský výbor odporúča schváliť.</w:t>
      </w:r>
    </w:p>
    <w:p w:rsidR="005E3851" w:rsidP="006F36E1">
      <w:pPr>
        <w:contextualSpacing/>
        <w:jc w:val="both"/>
      </w:pPr>
    </w:p>
    <w:p w:rsidR="00445EE1" w:rsidP="00C93752">
      <w:pPr>
        <w:pStyle w:val="BodyText2"/>
        <w:ind w:firstLine="708"/>
      </w:pPr>
      <w:r>
        <w:t xml:space="preserve">Gestorský </w:t>
      </w:r>
      <w:r w:rsidR="004E4443">
        <w:t>výbor odporúča o návrhoch výborov</w:t>
      </w:r>
      <w:r>
        <w:t xml:space="preserve"> Národnej rady Slovenskej republiky, ktoré sú uvedené v spoločnej správe hlasovať takto :</w:t>
      </w:r>
    </w:p>
    <w:p w:rsidR="00445EE1" w:rsidP="00C93752">
      <w:pPr>
        <w:pStyle w:val="BodyText2"/>
      </w:pPr>
    </w:p>
    <w:p w:rsidR="00562F0E" w:rsidP="008F7238">
      <w:pPr>
        <w:pStyle w:val="BodyText2"/>
        <w:ind w:firstLine="708"/>
      </w:pPr>
      <w:r w:rsidR="00740C06">
        <w:t xml:space="preserve">O bodoch spoločnej správy </w:t>
      </w:r>
      <w:r w:rsidRPr="006D1262" w:rsidR="00740C06">
        <w:rPr>
          <w:b/>
        </w:rPr>
        <w:t>č.</w:t>
      </w:r>
      <w:r w:rsidRPr="006D1262" w:rsidR="00141A76">
        <w:rPr>
          <w:b/>
        </w:rPr>
        <w:t xml:space="preserve"> </w:t>
      </w:r>
      <w:r w:rsidR="008F7238">
        <w:rPr>
          <w:b/>
        </w:rPr>
        <w:t>1 - 23</w:t>
      </w:r>
      <w:r w:rsidR="0031063E">
        <w:t xml:space="preserve"> </w:t>
      </w:r>
      <w:r w:rsidR="00445EE1">
        <w:t xml:space="preserve">hlasovať </w:t>
      </w:r>
      <w:r w:rsidR="0031063E">
        <w:t xml:space="preserve">spoločne </w:t>
      </w:r>
      <w:r w:rsidR="00445EE1">
        <w:t xml:space="preserve">s návrhom gestorského výboru </w:t>
      </w:r>
      <w:r w:rsidRPr="00AF1636" w:rsidR="00445EE1">
        <w:rPr>
          <w:b/>
        </w:rPr>
        <w:t>sc</w:t>
      </w:r>
      <w:r w:rsidRPr="00B057B4" w:rsidR="00445EE1">
        <w:rPr>
          <w:b/>
        </w:rPr>
        <w:t>hváliť</w:t>
      </w:r>
      <w:r w:rsidR="00445EE1">
        <w:t>.</w:t>
      </w:r>
    </w:p>
    <w:p w:rsidR="00EE742A" w:rsidP="00C93752">
      <w:pPr>
        <w:pStyle w:val="BodyText2"/>
        <w:jc w:val="center"/>
        <w:rPr>
          <w:b/>
        </w:rPr>
      </w:pPr>
    </w:p>
    <w:p w:rsidR="00233A93" w:rsidP="00C93752">
      <w:pPr>
        <w:pStyle w:val="BodyText2"/>
        <w:jc w:val="center"/>
        <w:rPr>
          <w:b/>
        </w:rPr>
      </w:pPr>
      <w:r>
        <w:rPr>
          <w:b/>
        </w:rPr>
        <w:t>V.</w:t>
      </w:r>
    </w:p>
    <w:p w:rsidR="00D219D3" w:rsidP="00C93752">
      <w:pPr>
        <w:pStyle w:val="BodyText2"/>
        <w:jc w:val="center"/>
        <w:rPr>
          <w:b/>
        </w:rPr>
      </w:pPr>
    </w:p>
    <w:p w:rsidR="00233A93" w:rsidRPr="00791F4B" w:rsidP="00C93752">
      <w:pPr>
        <w:tabs>
          <w:tab w:val="left" w:pos="5040"/>
        </w:tabs>
        <w:jc w:val="both"/>
      </w:pPr>
      <w:r w:rsidRPr="00791F4B">
        <w:t>Gestorský výbor na základe stanovísk výborov k</w:t>
      </w:r>
      <w:r w:rsidRPr="00345BFB" w:rsidR="00345BFB">
        <w:t xml:space="preserve"> </w:t>
      </w:r>
      <w:r w:rsidR="00BA255D">
        <w:t>v</w:t>
      </w:r>
      <w:r w:rsidRPr="00843C37" w:rsidR="00BA255D">
        <w:t>ládn</w:t>
      </w:r>
      <w:r w:rsidR="00BA255D">
        <w:t xml:space="preserve">emu </w:t>
      </w:r>
      <w:r w:rsidRPr="00843C37" w:rsidR="00BA255D">
        <w:t>návrh</w:t>
      </w:r>
      <w:r w:rsidR="00BA255D">
        <w:t>u</w:t>
      </w:r>
      <w:r w:rsidRPr="00843C37" w:rsidR="00BA255D">
        <w:t xml:space="preserve"> </w:t>
      </w:r>
      <w:r w:rsidRPr="00A45BBA" w:rsidR="00BA255D">
        <w:t>zákona o pohľadávkach štátu a o zmene a doplnení niektorých zákonov (tlač 1213)</w:t>
      </w:r>
      <w:r w:rsidR="00BA255D">
        <w:t xml:space="preserve"> </w:t>
      </w:r>
      <w:r w:rsidR="00D24BC0">
        <w:rPr>
          <w:bCs/>
        </w:rPr>
        <w:t>v</w:t>
      </w:r>
      <w:r w:rsidRPr="00791F4B">
        <w:t xml:space="preserve">yjadrených v uzneseniach uvedených pod bodom III. tejto správy a v stanoviskách poslancov gestorského výboru vyjadrených v rozprave k tomuto návrhu zákona v súlade s § 79 ods. </w:t>
      </w:r>
      <w:smartTag w:uri="urn:schemas-microsoft-com:office:smarttags" w:element="metricconverter">
        <w:smartTagPr>
          <w:attr w:name="ProductID" w:val="4 a"/>
        </w:smartTagPr>
        <w:r w:rsidRPr="00791F4B">
          <w:t>4 a</w:t>
        </w:r>
      </w:smartTag>
      <w:r w:rsidRPr="00791F4B">
        <w:t xml:space="preserve"> § 83 zákona Národnej rady Slovenskej republiky č. 350/1996 Z. z. o rokovacom poriadku Národnej rady Slovenskej republiky v znení neskorších predpisov</w:t>
      </w:r>
    </w:p>
    <w:p w:rsidR="008F7238" w:rsidP="00C93752">
      <w:pPr>
        <w:pStyle w:val="BodyText2"/>
        <w:ind w:firstLine="708"/>
      </w:pPr>
    </w:p>
    <w:p w:rsidR="00233A93" w:rsidP="00C93752">
      <w:pPr>
        <w:pStyle w:val="BodyText2"/>
        <w:ind w:firstLine="708"/>
        <w:rPr>
          <w:b/>
          <w:bCs/>
        </w:rPr>
      </w:pPr>
      <w:r>
        <w:t xml:space="preserve"> </w:t>
      </w:r>
      <w:r>
        <w:rPr>
          <w:b/>
          <w:bCs/>
        </w:rPr>
        <w:t>odporúča Národnej rade Slovenskej republiky</w:t>
      </w:r>
    </w:p>
    <w:p w:rsidR="006F36E1" w:rsidP="008F7238">
      <w:pPr>
        <w:pStyle w:val="BodyText2"/>
      </w:pPr>
      <w:r w:rsidR="00C339FD">
        <w:t xml:space="preserve"> </w:t>
      </w:r>
      <w:r w:rsidR="002A75EF">
        <w:t xml:space="preserve"> </w:t>
      </w:r>
      <w:r w:rsidR="00EF184C">
        <w:tab/>
      </w:r>
    </w:p>
    <w:p w:rsidR="00B40188" w:rsidP="00C93752">
      <w:pPr>
        <w:tabs>
          <w:tab w:val="left" w:pos="720"/>
        </w:tabs>
        <w:jc w:val="both"/>
        <w:rPr>
          <w:b/>
          <w:bCs/>
        </w:rPr>
      </w:pPr>
      <w:r w:rsidR="006F36E1">
        <w:tab/>
      </w:r>
      <w:r w:rsidR="00BA255D">
        <w:t>v</w:t>
      </w:r>
      <w:r w:rsidRPr="00843C37" w:rsidR="00BA255D">
        <w:t>ládn</w:t>
      </w:r>
      <w:r w:rsidR="00BA255D">
        <w:t xml:space="preserve">y </w:t>
      </w:r>
      <w:r w:rsidRPr="00843C37" w:rsidR="00BA255D">
        <w:t xml:space="preserve">návrh </w:t>
      </w:r>
      <w:r w:rsidRPr="00A45BBA" w:rsidR="00BA255D">
        <w:t>zákona o pohľadávkach štátu a o zmene a doplnení niektorých zákonov (tlač 1213)</w:t>
      </w:r>
      <w:r w:rsidR="00BA255D">
        <w:t xml:space="preserve"> </w:t>
      </w:r>
      <w:r w:rsidR="00A92513">
        <w:rPr>
          <w:b/>
          <w:bCs/>
        </w:rPr>
        <w:t>schváliť</w:t>
      </w:r>
      <w:r w:rsidR="001056A3">
        <w:rPr>
          <w:b/>
          <w:bCs/>
        </w:rPr>
        <w:t xml:space="preserve"> </w:t>
      </w:r>
      <w:r w:rsidR="008E39AD">
        <w:rPr>
          <w:b/>
          <w:bCs/>
        </w:rPr>
        <w:t>s </w:t>
      </w:r>
      <w:r w:rsidR="008D6B7B">
        <w:rPr>
          <w:b/>
          <w:bCs/>
        </w:rPr>
        <w:t>pozmeňujúcim</w:t>
      </w:r>
      <w:r w:rsidR="00363905">
        <w:rPr>
          <w:b/>
          <w:bCs/>
        </w:rPr>
        <w:t>i</w:t>
      </w:r>
      <w:r w:rsidR="008E39AD">
        <w:rPr>
          <w:b/>
          <w:bCs/>
        </w:rPr>
        <w:t xml:space="preserve"> </w:t>
      </w:r>
      <w:r w:rsidR="001056A3">
        <w:rPr>
          <w:b/>
          <w:bCs/>
        </w:rPr>
        <w:t>a</w:t>
      </w:r>
      <w:r w:rsidR="008E39AD">
        <w:rPr>
          <w:b/>
          <w:bCs/>
        </w:rPr>
        <w:t> </w:t>
      </w:r>
      <w:r w:rsidR="008D6B7B">
        <w:rPr>
          <w:b/>
          <w:bCs/>
        </w:rPr>
        <w:t>doplňujúcim</w:t>
      </w:r>
      <w:r w:rsidR="00363905">
        <w:rPr>
          <w:b/>
          <w:bCs/>
        </w:rPr>
        <w:t>i</w:t>
      </w:r>
      <w:r w:rsidR="008E39AD">
        <w:rPr>
          <w:b/>
          <w:bCs/>
        </w:rPr>
        <w:t xml:space="preserve"> návrhm</w:t>
      </w:r>
      <w:r w:rsidR="00363905">
        <w:rPr>
          <w:b/>
          <w:bCs/>
        </w:rPr>
        <w:t>i</w:t>
      </w:r>
      <w:r w:rsidR="008E39AD">
        <w:rPr>
          <w:b/>
          <w:bCs/>
        </w:rPr>
        <w:t>.</w:t>
      </w:r>
    </w:p>
    <w:p w:rsidR="00294D26" w:rsidP="00C93752">
      <w:pPr>
        <w:tabs>
          <w:tab w:val="left" w:pos="720"/>
        </w:tabs>
        <w:rPr>
          <w:b/>
          <w:bCs/>
        </w:rPr>
      </w:pPr>
    </w:p>
    <w:p w:rsidR="00472BA9" w:rsidP="00C93752">
      <w:pPr>
        <w:tabs>
          <w:tab w:val="left" w:pos="720"/>
        </w:tabs>
        <w:rPr>
          <w:b/>
          <w:bCs/>
        </w:rPr>
      </w:pPr>
    </w:p>
    <w:p w:rsidR="00472BA9" w:rsidP="00C93752">
      <w:pPr>
        <w:tabs>
          <w:tab w:val="left" w:pos="720"/>
        </w:tabs>
        <w:rPr>
          <w:b/>
          <w:bCs/>
        </w:rPr>
      </w:pPr>
    </w:p>
    <w:p w:rsidR="00233A93" w:rsidP="00C93752">
      <w:pPr>
        <w:tabs>
          <w:tab w:val="left" w:pos="709"/>
        </w:tabs>
        <w:jc w:val="both"/>
      </w:pPr>
      <w:r w:rsidR="000734C1">
        <w:tab/>
      </w:r>
      <w:r>
        <w:t>Predmetná správa výborov Národnej rady Slovenskej republiky o</w:t>
      </w:r>
      <w:r w:rsidR="00791F4B">
        <w:t> </w:t>
      </w:r>
      <w:r w:rsidR="00BA255D">
        <w:t>v</w:t>
      </w:r>
      <w:r w:rsidRPr="00843C37" w:rsidR="00BA255D">
        <w:t>ládn</w:t>
      </w:r>
      <w:r w:rsidR="00BA255D">
        <w:t xml:space="preserve">om </w:t>
      </w:r>
      <w:r w:rsidRPr="00843C37" w:rsidR="00BA255D">
        <w:t>návrh</w:t>
      </w:r>
      <w:r w:rsidR="00BA255D">
        <w:t>u</w:t>
      </w:r>
      <w:r w:rsidRPr="00843C37" w:rsidR="00BA255D">
        <w:t xml:space="preserve"> </w:t>
      </w:r>
      <w:r w:rsidRPr="00A45BBA" w:rsidR="00BA255D">
        <w:t>zákona o pohľadávkach štátu a o zmene a doplnení niektorých zákonov (tlač 1213)</w:t>
      </w:r>
      <w:r w:rsidR="00BA255D">
        <w:t xml:space="preserve"> </w:t>
      </w:r>
      <w:r>
        <w:t>bola schválená uznesením gestorského výboru č.</w:t>
      </w:r>
      <w:r w:rsidR="004E1881">
        <w:t xml:space="preserve"> </w:t>
      </w:r>
      <w:r w:rsidR="00534781">
        <w:t>374</w:t>
      </w:r>
      <w:r w:rsidR="009124B6">
        <w:t xml:space="preserve"> </w:t>
      </w:r>
      <w:r>
        <w:t>z</w:t>
      </w:r>
      <w:r w:rsidR="00E6496B">
        <w:t xml:space="preserve"> </w:t>
      </w:r>
      <w:r w:rsidR="006F36E1">
        <w:t>2</w:t>
      </w:r>
      <w:r w:rsidR="009124B6">
        <w:t>4</w:t>
      </w:r>
      <w:r w:rsidR="002741E7">
        <w:t xml:space="preserve">. </w:t>
      </w:r>
      <w:r w:rsidR="006F36E1">
        <w:t>novembra</w:t>
      </w:r>
      <w:r w:rsidR="00D365D2">
        <w:t xml:space="preserve"> 20</w:t>
      </w:r>
      <w:r w:rsidR="0020341D">
        <w:t>1</w:t>
      </w:r>
      <w:r w:rsidR="009A2FE0">
        <w:t>4</w:t>
      </w:r>
      <w:r w:rsidR="0020341D">
        <w:t>. Výbor určil poslan</w:t>
      </w:r>
      <w:r w:rsidR="00D219D3">
        <w:t>ca</w:t>
      </w:r>
      <w:r w:rsidR="007F1816">
        <w:t xml:space="preserve"> </w:t>
      </w:r>
      <w:r w:rsidR="00BA255D">
        <w:rPr>
          <w:b/>
        </w:rPr>
        <w:t xml:space="preserve">Milana Mojša </w:t>
      </w:r>
      <w:r w:rsidR="00363905">
        <w:rPr>
          <w:b/>
        </w:rPr>
        <w:t xml:space="preserve"> </w:t>
      </w:r>
      <w:r>
        <w:t>za spoločn</w:t>
      </w:r>
      <w:r w:rsidR="00C23D38">
        <w:t>ého</w:t>
      </w:r>
      <w:r>
        <w:t xml:space="preserve"> spravodaj</w:t>
      </w:r>
      <w:r w:rsidR="00C23D38">
        <w:t>cu</w:t>
      </w:r>
      <w:r>
        <w:t xml:space="preserve"> výborov.</w:t>
      </w:r>
    </w:p>
    <w:p w:rsidR="00D35084" w:rsidP="00C93752">
      <w:pPr>
        <w:pStyle w:val="BodyText2"/>
      </w:pPr>
      <w:r w:rsidR="000106DD">
        <w:t xml:space="preserve"> </w:t>
      </w:r>
    </w:p>
    <w:p w:rsidR="00233A93" w:rsidP="00C93752">
      <w:pPr>
        <w:pStyle w:val="BodyText2"/>
      </w:pPr>
      <w:r w:rsidR="00F35587">
        <w:t xml:space="preserve">Súčasne </w:t>
      </w:r>
      <w:r w:rsidR="00D219D3">
        <w:t>ho</w:t>
      </w:r>
      <w:r>
        <w:t xml:space="preserve"> poveril</w:t>
      </w:r>
    </w:p>
    <w:p w:rsidR="00D35084" w:rsidP="00C93752">
      <w:pPr>
        <w:pStyle w:val="BodyText2"/>
      </w:pPr>
    </w:p>
    <w:p w:rsidR="00233A93" w:rsidP="00C93752">
      <w:pPr>
        <w:pStyle w:val="BodyText3"/>
        <w:ind w:left="708"/>
        <w:rPr>
          <w:lang w:val="sk-SK"/>
        </w:rPr>
      </w:pPr>
      <w:r>
        <w:rPr>
          <w:lang w:val="sk-SK"/>
        </w:rPr>
        <w:t>1.  predniesť spoločnú správu výborov na schôdzi Národnej rady Slovenskej republiky</w:t>
      </w:r>
    </w:p>
    <w:p w:rsidR="00233A93" w:rsidP="00C93752">
      <w:pPr>
        <w:pStyle w:val="BodyText3"/>
        <w:rPr>
          <w:lang w:val="sk-SK"/>
        </w:rPr>
      </w:pPr>
    </w:p>
    <w:p w:rsidR="00C00821" w:rsidP="00C93752">
      <w:pPr>
        <w:pStyle w:val="BodyText3"/>
        <w:numPr>
          <w:ilvl w:val="0"/>
          <w:numId w:val="34"/>
        </w:numPr>
        <w:rPr>
          <w:lang w:val="sk-SK"/>
        </w:rPr>
      </w:pPr>
      <w:r w:rsidRPr="00C00821" w:rsidR="00233A93">
        <w:rPr>
          <w:lang w:val="sk-SK"/>
        </w:rPr>
        <w:t xml:space="preserve">navrhnúť Národnej rade Slovenskej republiky postup pri hlasovaní o pozmeňujúcich a doplňujúcich návrhoch, ktoré vyplynuli z rozpravy </w:t>
      </w:r>
      <w:r>
        <w:rPr>
          <w:lang w:val="sk-SK"/>
        </w:rPr>
        <w:t xml:space="preserve">(§ 83 ods. 2 a ods. 4, § 84 ods. 2 a § 86 zákona č. 350/1996 Z. z.). </w:t>
      </w:r>
    </w:p>
    <w:p w:rsidR="00EF184C" w:rsidP="00C93752">
      <w:pPr>
        <w:pStyle w:val="BodyText3"/>
        <w:ind w:left="720"/>
        <w:rPr>
          <w:lang w:val="sk-SK"/>
        </w:rPr>
      </w:pPr>
    </w:p>
    <w:p w:rsidR="00EE742A" w:rsidP="00C93752">
      <w:pPr>
        <w:pStyle w:val="BodyText2"/>
        <w:jc w:val="center"/>
      </w:pPr>
    </w:p>
    <w:p w:rsidR="00EE742A" w:rsidP="00C93752">
      <w:pPr>
        <w:pStyle w:val="BodyText2"/>
        <w:jc w:val="center"/>
      </w:pPr>
    </w:p>
    <w:p w:rsidR="00EE742A" w:rsidP="00C93752">
      <w:pPr>
        <w:pStyle w:val="BodyText2"/>
        <w:jc w:val="center"/>
      </w:pPr>
    </w:p>
    <w:p w:rsidR="00EE742A" w:rsidP="00C93752">
      <w:pPr>
        <w:pStyle w:val="BodyText2"/>
        <w:jc w:val="center"/>
      </w:pPr>
    </w:p>
    <w:p w:rsidR="00EE742A" w:rsidP="00C93752">
      <w:pPr>
        <w:pStyle w:val="BodyText2"/>
        <w:jc w:val="center"/>
      </w:pPr>
    </w:p>
    <w:p w:rsidR="00233A93" w:rsidP="00C93752">
      <w:pPr>
        <w:pStyle w:val="BodyText2"/>
        <w:jc w:val="center"/>
      </w:pPr>
      <w:r>
        <w:t xml:space="preserve">Bratislava </w:t>
      </w:r>
      <w:r w:rsidR="006F36E1">
        <w:t>2</w:t>
      </w:r>
      <w:r w:rsidR="009124B6">
        <w:t xml:space="preserve">4. </w:t>
      </w:r>
      <w:r w:rsidR="006F36E1">
        <w:t>novembra</w:t>
      </w:r>
      <w:r w:rsidR="00385F60">
        <w:t xml:space="preserve"> </w:t>
      </w:r>
      <w:r w:rsidR="00C23D38">
        <w:t>201</w:t>
      </w:r>
      <w:r w:rsidR="009A2FE0">
        <w:t>4</w:t>
      </w:r>
    </w:p>
    <w:p w:rsidR="00B94345" w:rsidP="00C93752">
      <w:pPr>
        <w:pStyle w:val="BodyText2"/>
      </w:pPr>
    </w:p>
    <w:p w:rsidR="00E36B3E" w:rsidP="00C93752">
      <w:pPr>
        <w:pStyle w:val="BodyText2"/>
      </w:pPr>
    </w:p>
    <w:p w:rsidR="00EE742A" w:rsidP="00C93752">
      <w:pPr>
        <w:pStyle w:val="BodyText2"/>
        <w:jc w:val="center"/>
        <w:rPr>
          <w:b/>
          <w:bCs/>
        </w:rPr>
      </w:pPr>
    </w:p>
    <w:p w:rsidR="00EE742A" w:rsidP="00C93752">
      <w:pPr>
        <w:pStyle w:val="BodyText2"/>
        <w:jc w:val="center"/>
        <w:rPr>
          <w:b/>
          <w:bCs/>
        </w:rPr>
      </w:pPr>
    </w:p>
    <w:p w:rsidR="00EE742A" w:rsidP="00C93752">
      <w:pPr>
        <w:pStyle w:val="BodyText2"/>
        <w:jc w:val="center"/>
        <w:rPr>
          <w:b/>
          <w:bCs/>
        </w:rPr>
      </w:pPr>
    </w:p>
    <w:p w:rsidR="00EE742A" w:rsidP="00C93752">
      <w:pPr>
        <w:pStyle w:val="BodyText2"/>
        <w:jc w:val="center"/>
        <w:rPr>
          <w:b/>
          <w:bCs/>
        </w:rPr>
      </w:pPr>
    </w:p>
    <w:p w:rsidR="00EE742A" w:rsidP="00C93752">
      <w:pPr>
        <w:pStyle w:val="BodyText2"/>
        <w:jc w:val="center"/>
        <w:rPr>
          <w:b/>
          <w:bCs/>
        </w:rPr>
      </w:pPr>
    </w:p>
    <w:p w:rsidR="00194A2B" w:rsidP="00C93752">
      <w:pPr>
        <w:pStyle w:val="BodyText2"/>
        <w:jc w:val="center"/>
        <w:rPr>
          <w:b/>
          <w:bCs/>
        </w:rPr>
      </w:pPr>
      <w:r w:rsidR="00C23D38">
        <w:rPr>
          <w:b/>
          <w:bCs/>
        </w:rPr>
        <w:t>Daniel  D u c h o</w:t>
      </w:r>
      <w:r w:rsidR="006F36E1">
        <w:rPr>
          <w:b/>
          <w:bCs/>
        </w:rPr>
        <w:t> </w:t>
      </w:r>
      <w:r w:rsidR="00C23D38">
        <w:rPr>
          <w:b/>
          <w:bCs/>
        </w:rPr>
        <w:t>ň</w:t>
      </w:r>
      <w:r w:rsidR="006F36E1">
        <w:rPr>
          <w:b/>
          <w:bCs/>
        </w:rPr>
        <w:t xml:space="preserve">, v.r. </w:t>
      </w:r>
    </w:p>
    <w:p w:rsidR="00233A93" w:rsidP="00C93752">
      <w:pPr>
        <w:pStyle w:val="BodyText2"/>
        <w:jc w:val="center"/>
        <w:rPr>
          <w:b/>
          <w:bCs/>
        </w:rPr>
      </w:pPr>
      <w:r>
        <w:rPr>
          <w:b/>
          <w:bCs/>
        </w:rPr>
        <w:t xml:space="preserve">predseda </w:t>
      </w:r>
    </w:p>
    <w:p w:rsidR="00233A93" w:rsidP="00C93752">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C23D38">
      <w:footerReference w:type="even" r:id="rId4"/>
      <w:footerReference w:type="default" r:id="rId5"/>
      <w:pgSz w:w="11906" w:h="16838"/>
      <w:pgMar w:top="719" w:right="1106"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75C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C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4781">
      <w:rPr>
        <w:rStyle w:val="PageNumber"/>
        <w:noProof/>
      </w:rPr>
      <w:t>10</w:t>
    </w:r>
    <w:r>
      <w:rPr>
        <w:rStyle w:val="PageNumber"/>
      </w:rPr>
      <w:fldChar w:fldCharType="end"/>
    </w:r>
  </w:p>
  <w:p w:rsidR="00975C2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20CEE"/>
    <w:multiLevelType w:val="hybridMultilevel"/>
    <w:tmpl w:val="60120412"/>
    <w:lvl w:ilvl="0">
      <w:start w:val="1"/>
      <w:numFmt w:val="lowerLetter"/>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
    <w:nsid w:val="02A1075E"/>
    <w:multiLevelType w:val="hybridMultilevel"/>
    <w:tmpl w:val="EF3EB678"/>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0A441617"/>
    <w:multiLevelType w:val="hybridMultilevel"/>
    <w:tmpl w:val="F336F238"/>
    <w:lvl w:ilvl="0">
      <w:start w:val="1"/>
      <w:numFmt w:val="decimal"/>
      <w:lvlText w:val="%1."/>
      <w:lvlJc w:val="left"/>
      <w:pPr>
        <w:ind w:left="72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4D7045"/>
    <w:multiLevelType w:val="singleLevel"/>
    <w:tmpl w:val="BE00993C"/>
    <w:lvl w:ilvl="0">
      <w:start w:val="1"/>
      <w:numFmt w:val="bullet"/>
      <w:lvlText w:val="-"/>
      <w:lvlJc w:val="left"/>
      <w:pPr>
        <w:tabs>
          <w:tab w:val="num" w:pos="1065"/>
        </w:tabs>
        <w:ind w:left="1065" w:hanging="360"/>
      </w:pPr>
    </w:lvl>
  </w:abstractNum>
  <w:abstractNum w:abstractNumId="4">
    <w:nsid w:val="127B259E"/>
    <w:multiLevelType w:val="hybridMultilevel"/>
    <w:tmpl w:val="96721C7E"/>
    <w:lvl w:ilvl="0">
      <w:start w:val="1"/>
      <w:numFmt w:val="lowerLetter"/>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141A5529"/>
    <w:multiLevelType w:val="hybridMultilevel"/>
    <w:tmpl w:val="EBE2FBCE"/>
    <w:lvl w:ilvl="0">
      <w:start w:val="1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8467D5"/>
    <w:multiLevelType w:val="hybridMultilevel"/>
    <w:tmpl w:val="5EC6610E"/>
    <w:lvl w:ilvl="0">
      <w:start w:val="1"/>
      <w:numFmt w:val="decimal"/>
      <w:lvlText w:val="(%1)"/>
      <w:lvlJc w:val="left"/>
      <w:pPr>
        <w:ind w:left="750" w:hanging="39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204E7C"/>
    <w:multiLevelType w:val="hybridMultilevel"/>
    <w:tmpl w:val="7EB21220"/>
    <w:lvl w:ilvl="0">
      <w:start w:val="1"/>
      <w:numFmt w:val="lowerLetter"/>
      <w:lvlText w:val="%1)"/>
      <w:lvlJc w:val="left"/>
      <w:pPr>
        <w:ind w:left="1068" w:hanging="360"/>
      </w:pPr>
      <w:rPr>
        <w:rFonts w:cs="Times New Roman"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386897"/>
    <w:multiLevelType w:val="hybridMultilevel"/>
    <w:tmpl w:val="655C062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288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9">
    <w:nsid w:val="18CA20DF"/>
    <w:multiLevelType w:val="hybridMultilevel"/>
    <w:tmpl w:val="3AD0A59C"/>
    <w:lvl w:ilvl="0">
      <w:start w:val="1"/>
      <w:numFmt w:val="decimal"/>
      <w:lvlText w:val="%1."/>
      <w:lvlJc w:val="left"/>
      <w:pPr>
        <w:ind w:left="1069" w:hanging="360"/>
      </w:pPr>
      <w:rPr>
        <w:rFonts w:cs="Times New Roman" w:hint="default"/>
        <w:u w:val="none"/>
      </w:rPr>
    </w:lvl>
    <w:lvl w:ilvl="1" w:tentative="1">
      <w:start w:val="1"/>
      <w:numFmt w:val="lowerLetter"/>
      <w:lvlText w:val="%2."/>
      <w:lvlJc w:val="left"/>
      <w:pPr>
        <w:ind w:left="1789" w:hanging="360"/>
      </w:pPr>
      <w:rPr>
        <w:rFonts w:cs="Times New Roman"/>
      </w:rPr>
    </w:lvl>
    <w:lvl w:ilvl="2" w:tentative="1">
      <w:start w:val="1"/>
      <w:numFmt w:val="lowerRoman"/>
      <w:lvlText w:val="%3."/>
      <w:lvlJc w:val="right"/>
      <w:pPr>
        <w:ind w:left="2509" w:hanging="180"/>
      </w:pPr>
      <w:rPr>
        <w:rFonts w:cs="Times New Roman"/>
      </w:rPr>
    </w:lvl>
    <w:lvl w:ilvl="3" w:tentative="1">
      <w:start w:val="1"/>
      <w:numFmt w:val="decimal"/>
      <w:lvlText w:val="%4."/>
      <w:lvlJc w:val="left"/>
      <w:pPr>
        <w:ind w:left="3229" w:hanging="360"/>
      </w:pPr>
      <w:rPr>
        <w:rFonts w:cs="Times New Roman"/>
      </w:rPr>
    </w:lvl>
    <w:lvl w:ilvl="4" w:tentative="1">
      <w:start w:val="1"/>
      <w:numFmt w:val="lowerLetter"/>
      <w:lvlText w:val="%5."/>
      <w:lvlJc w:val="left"/>
      <w:pPr>
        <w:ind w:left="3949" w:hanging="360"/>
      </w:pPr>
      <w:rPr>
        <w:rFonts w:cs="Times New Roman"/>
      </w:rPr>
    </w:lvl>
    <w:lvl w:ilvl="5" w:tentative="1">
      <w:start w:val="1"/>
      <w:numFmt w:val="lowerRoman"/>
      <w:lvlText w:val="%6."/>
      <w:lvlJc w:val="right"/>
      <w:pPr>
        <w:ind w:left="4669" w:hanging="180"/>
      </w:pPr>
      <w:rPr>
        <w:rFonts w:cs="Times New Roman"/>
      </w:rPr>
    </w:lvl>
    <w:lvl w:ilvl="6" w:tentative="1">
      <w:start w:val="1"/>
      <w:numFmt w:val="decimal"/>
      <w:lvlText w:val="%7."/>
      <w:lvlJc w:val="left"/>
      <w:pPr>
        <w:ind w:left="5389" w:hanging="360"/>
      </w:pPr>
      <w:rPr>
        <w:rFonts w:cs="Times New Roman"/>
      </w:rPr>
    </w:lvl>
    <w:lvl w:ilvl="7" w:tentative="1">
      <w:start w:val="1"/>
      <w:numFmt w:val="lowerLetter"/>
      <w:lvlText w:val="%8."/>
      <w:lvlJc w:val="left"/>
      <w:pPr>
        <w:ind w:left="6109" w:hanging="360"/>
      </w:pPr>
      <w:rPr>
        <w:rFonts w:cs="Times New Roman"/>
      </w:rPr>
    </w:lvl>
    <w:lvl w:ilvl="8" w:tentative="1">
      <w:start w:val="1"/>
      <w:numFmt w:val="lowerRoman"/>
      <w:lvlText w:val="%9."/>
      <w:lvlJc w:val="right"/>
      <w:pPr>
        <w:ind w:left="6829" w:hanging="180"/>
      </w:pPr>
      <w:rPr>
        <w:rFonts w:cs="Times New Roman"/>
      </w:rPr>
    </w:lvl>
  </w:abstractNum>
  <w:abstractNum w:abstractNumId="10">
    <w:nsid w:val="1C437306"/>
    <w:multiLevelType w:val="hybridMultilevel"/>
    <w:tmpl w:val="377AA49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nsid w:val="1D5914E1"/>
    <w:multiLevelType w:val="hybridMultilevel"/>
    <w:tmpl w:val="80E2BB98"/>
    <w:lvl w:ilvl="0">
      <w:start w:val="13"/>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nsid w:val="24FC21DC"/>
    <w:multiLevelType w:val="hybridMultilevel"/>
    <w:tmpl w:val="55E80800"/>
    <w:lvl w:ilvl="0">
      <w:start w:val="1"/>
      <w:numFmt w:val="lowerLetter"/>
      <w:lvlText w:val="%1)"/>
      <w:lvlJc w:val="left"/>
      <w:pPr>
        <w:ind w:left="1428" w:hanging="360"/>
      </w:pPr>
      <w:rPr>
        <w:rFonts w:cs="Times New Roman"/>
      </w:rPr>
    </w:lvl>
    <w:lvl w:ilvl="1" w:tentative="1">
      <w:start w:val="1"/>
      <w:numFmt w:val="lowerLetter"/>
      <w:lvlText w:val="%2."/>
      <w:lvlJc w:val="left"/>
      <w:pPr>
        <w:ind w:left="2148" w:hanging="360"/>
      </w:pPr>
      <w:rPr>
        <w:rFonts w:cs="Times New Roman"/>
      </w:rPr>
    </w:lvl>
    <w:lvl w:ilvl="2" w:tentative="1">
      <w:start w:val="1"/>
      <w:numFmt w:val="lowerRoman"/>
      <w:lvlText w:val="%3."/>
      <w:lvlJc w:val="right"/>
      <w:pPr>
        <w:ind w:left="2868" w:hanging="180"/>
      </w:pPr>
      <w:rPr>
        <w:rFonts w:cs="Times New Roman"/>
      </w:rPr>
    </w:lvl>
    <w:lvl w:ilvl="3" w:tentative="1">
      <w:start w:val="1"/>
      <w:numFmt w:val="decimal"/>
      <w:lvlText w:val="%4."/>
      <w:lvlJc w:val="left"/>
      <w:pPr>
        <w:ind w:left="3588" w:hanging="360"/>
      </w:pPr>
      <w:rPr>
        <w:rFonts w:cs="Times New Roman"/>
      </w:rPr>
    </w:lvl>
    <w:lvl w:ilvl="4" w:tentative="1">
      <w:start w:val="1"/>
      <w:numFmt w:val="lowerLetter"/>
      <w:lvlText w:val="%5."/>
      <w:lvlJc w:val="left"/>
      <w:pPr>
        <w:ind w:left="4308" w:hanging="360"/>
      </w:pPr>
      <w:rPr>
        <w:rFonts w:cs="Times New Roman"/>
      </w:rPr>
    </w:lvl>
    <w:lvl w:ilvl="5" w:tentative="1">
      <w:start w:val="1"/>
      <w:numFmt w:val="lowerRoman"/>
      <w:lvlText w:val="%6."/>
      <w:lvlJc w:val="right"/>
      <w:pPr>
        <w:ind w:left="5028" w:hanging="180"/>
      </w:pPr>
      <w:rPr>
        <w:rFonts w:cs="Times New Roman"/>
      </w:rPr>
    </w:lvl>
    <w:lvl w:ilvl="6" w:tentative="1">
      <w:start w:val="1"/>
      <w:numFmt w:val="decimal"/>
      <w:lvlText w:val="%7."/>
      <w:lvlJc w:val="left"/>
      <w:pPr>
        <w:ind w:left="5748" w:hanging="360"/>
      </w:pPr>
      <w:rPr>
        <w:rFonts w:cs="Times New Roman"/>
      </w:rPr>
    </w:lvl>
    <w:lvl w:ilvl="7" w:tentative="1">
      <w:start w:val="1"/>
      <w:numFmt w:val="lowerLetter"/>
      <w:lvlText w:val="%8."/>
      <w:lvlJc w:val="left"/>
      <w:pPr>
        <w:ind w:left="6468" w:hanging="360"/>
      </w:pPr>
      <w:rPr>
        <w:rFonts w:cs="Times New Roman"/>
      </w:rPr>
    </w:lvl>
    <w:lvl w:ilvl="8" w:tentative="1">
      <w:start w:val="1"/>
      <w:numFmt w:val="lowerRoman"/>
      <w:lvlText w:val="%9."/>
      <w:lvlJc w:val="right"/>
      <w:pPr>
        <w:ind w:left="7188" w:hanging="180"/>
      </w:pPr>
      <w:rPr>
        <w:rFonts w:cs="Times New Roman"/>
      </w:rPr>
    </w:lvl>
  </w:abstractNum>
  <w:abstractNum w:abstractNumId="13">
    <w:nsid w:val="2621053F"/>
    <w:multiLevelType w:val="hybridMultilevel"/>
    <w:tmpl w:val="97CACE0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67A4B31"/>
    <w:multiLevelType w:val="hybridMultilevel"/>
    <w:tmpl w:val="F19807E2"/>
    <w:lvl w:ilvl="0">
      <w:start w:val="1"/>
      <w:numFmt w:val="lowerLetter"/>
      <w:lvlText w:val="%1)"/>
      <w:lvlJc w:val="left"/>
      <w:pPr>
        <w:ind w:left="1070" w:hanging="360"/>
      </w:pPr>
      <w:rPr>
        <w:rFonts w:cs="Times New Roman" w:hint="default"/>
        <w:sz w:val="24"/>
      </w:rPr>
    </w:lvl>
    <w:lvl w:ilvl="1" w:tentative="1">
      <w:start w:val="1"/>
      <w:numFmt w:val="lowerLetter"/>
      <w:lvlText w:val="%2."/>
      <w:lvlJc w:val="left"/>
      <w:pPr>
        <w:ind w:left="1790" w:hanging="360"/>
      </w:pPr>
      <w:rPr>
        <w:rFonts w:cs="Times New Roman"/>
      </w:rPr>
    </w:lvl>
    <w:lvl w:ilvl="2" w:tentative="1">
      <w:start w:val="1"/>
      <w:numFmt w:val="lowerRoman"/>
      <w:lvlText w:val="%3."/>
      <w:lvlJc w:val="right"/>
      <w:pPr>
        <w:ind w:left="2510" w:hanging="180"/>
      </w:pPr>
      <w:rPr>
        <w:rFonts w:cs="Times New Roman"/>
      </w:rPr>
    </w:lvl>
    <w:lvl w:ilvl="3" w:tentative="1">
      <w:start w:val="1"/>
      <w:numFmt w:val="decimal"/>
      <w:lvlText w:val="%4."/>
      <w:lvlJc w:val="left"/>
      <w:pPr>
        <w:ind w:left="3230" w:hanging="360"/>
      </w:pPr>
      <w:rPr>
        <w:rFonts w:cs="Times New Roman"/>
      </w:rPr>
    </w:lvl>
    <w:lvl w:ilvl="4" w:tentative="1">
      <w:start w:val="1"/>
      <w:numFmt w:val="lowerLetter"/>
      <w:lvlText w:val="%5."/>
      <w:lvlJc w:val="left"/>
      <w:pPr>
        <w:ind w:left="3950" w:hanging="360"/>
      </w:pPr>
      <w:rPr>
        <w:rFonts w:cs="Times New Roman"/>
      </w:rPr>
    </w:lvl>
    <w:lvl w:ilvl="5" w:tentative="1">
      <w:start w:val="1"/>
      <w:numFmt w:val="lowerRoman"/>
      <w:lvlText w:val="%6."/>
      <w:lvlJc w:val="right"/>
      <w:pPr>
        <w:ind w:left="4670" w:hanging="180"/>
      </w:pPr>
      <w:rPr>
        <w:rFonts w:cs="Times New Roman"/>
      </w:rPr>
    </w:lvl>
    <w:lvl w:ilvl="6" w:tentative="1">
      <w:start w:val="1"/>
      <w:numFmt w:val="decimal"/>
      <w:lvlText w:val="%7."/>
      <w:lvlJc w:val="left"/>
      <w:pPr>
        <w:ind w:left="5390" w:hanging="360"/>
      </w:pPr>
      <w:rPr>
        <w:rFonts w:cs="Times New Roman"/>
      </w:rPr>
    </w:lvl>
    <w:lvl w:ilvl="7" w:tentative="1">
      <w:start w:val="1"/>
      <w:numFmt w:val="lowerLetter"/>
      <w:lvlText w:val="%8."/>
      <w:lvlJc w:val="left"/>
      <w:pPr>
        <w:ind w:left="6110" w:hanging="360"/>
      </w:pPr>
      <w:rPr>
        <w:rFonts w:cs="Times New Roman"/>
      </w:rPr>
    </w:lvl>
    <w:lvl w:ilvl="8" w:tentative="1">
      <w:start w:val="1"/>
      <w:numFmt w:val="lowerRoman"/>
      <w:lvlText w:val="%9."/>
      <w:lvlJc w:val="right"/>
      <w:pPr>
        <w:ind w:left="6830" w:hanging="180"/>
      </w:pPr>
      <w:rPr>
        <w:rFonts w:cs="Times New Roman"/>
      </w:rPr>
    </w:lvl>
  </w:abstractNum>
  <w:abstractNum w:abstractNumId="15">
    <w:nsid w:val="2B9B05E6"/>
    <w:multiLevelType w:val="hybridMultilevel"/>
    <w:tmpl w:val="8D42C37A"/>
    <w:lvl w:ilvl="0">
      <w:start w:val="1"/>
      <w:numFmt w:val="decimal"/>
      <w:lvlText w:val="%1."/>
      <w:lvlJc w:val="left"/>
      <w:pPr>
        <w:ind w:left="1146" w:hanging="360"/>
      </w:pPr>
      <w:rPr>
        <w:b/>
      </w:rPr>
    </w:lvl>
    <w:lvl w:ilvl="1" w:tentative="1">
      <w:start w:val="1"/>
      <w:numFmt w:val="lowerLetter"/>
      <w:lvlText w:val="%2."/>
      <w:lvlJc w:val="left"/>
      <w:pPr>
        <w:ind w:left="1866" w:hanging="360"/>
      </w:pPr>
    </w:lvl>
    <w:lvl w:ilvl="2" w:tentative="1">
      <w:start w:val="1"/>
      <w:numFmt w:val="lowerRoman"/>
      <w:lvlText w:val="%3."/>
      <w:lvlJc w:val="right"/>
      <w:pPr>
        <w:ind w:left="2586" w:hanging="180"/>
      </w:pPr>
    </w:lvl>
    <w:lvl w:ilvl="3" w:tentative="1">
      <w:start w:val="1"/>
      <w:numFmt w:val="decimal"/>
      <w:lvlText w:val="%4."/>
      <w:lvlJc w:val="left"/>
      <w:pPr>
        <w:ind w:left="3306" w:hanging="360"/>
      </w:pPr>
    </w:lvl>
    <w:lvl w:ilvl="4" w:tentative="1">
      <w:start w:val="1"/>
      <w:numFmt w:val="lowerLetter"/>
      <w:lvlText w:val="%5."/>
      <w:lvlJc w:val="left"/>
      <w:pPr>
        <w:ind w:left="4026" w:hanging="360"/>
      </w:pPr>
    </w:lvl>
    <w:lvl w:ilvl="5" w:tentative="1">
      <w:start w:val="1"/>
      <w:numFmt w:val="lowerRoman"/>
      <w:lvlText w:val="%6."/>
      <w:lvlJc w:val="right"/>
      <w:pPr>
        <w:ind w:left="4746" w:hanging="180"/>
      </w:pPr>
    </w:lvl>
    <w:lvl w:ilvl="6" w:tentative="1">
      <w:start w:val="1"/>
      <w:numFmt w:val="decimal"/>
      <w:lvlText w:val="%7."/>
      <w:lvlJc w:val="left"/>
      <w:pPr>
        <w:ind w:left="5466" w:hanging="360"/>
      </w:pPr>
    </w:lvl>
    <w:lvl w:ilvl="7" w:tentative="1">
      <w:start w:val="1"/>
      <w:numFmt w:val="lowerLetter"/>
      <w:lvlText w:val="%8."/>
      <w:lvlJc w:val="left"/>
      <w:pPr>
        <w:ind w:left="6186" w:hanging="360"/>
      </w:pPr>
    </w:lvl>
    <w:lvl w:ilvl="8" w:tentative="1">
      <w:start w:val="1"/>
      <w:numFmt w:val="lowerRoman"/>
      <w:lvlText w:val="%9."/>
      <w:lvlJc w:val="right"/>
      <w:pPr>
        <w:ind w:left="6906" w:hanging="180"/>
      </w:pPr>
    </w:lvl>
  </w:abstractNum>
  <w:abstractNum w:abstractNumId="16">
    <w:nsid w:val="31501189"/>
    <w:multiLevelType w:val="hybridMultilevel"/>
    <w:tmpl w:val="CC5C8C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2F5240E"/>
    <w:multiLevelType w:val="hybridMultilevel"/>
    <w:tmpl w:val="5A82804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F70901"/>
    <w:multiLevelType w:val="hybridMultilevel"/>
    <w:tmpl w:val="E0CEF6CC"/>
    <w:lvl w:ilvl="0">
      <w:start w:val="1"/>
      <w:numFmt w:val="decimal"/>
      <w:lvlText w:val="%1."/>
      <w:lvlJc w:val="left"/>
      <w:pPr>
        <w:ind w:left="360" w:hanging="360"/>
      </w:pPr>
      <w:rPr>
        <w:rFonts w:cs="Times New Roman"/>
        <w:b/>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9">
    <w:nsid w:val="3B65638A"/>
    <w:multiLevelType w:val="hybridMultilevel"/>
    <w:tmpl w:val="F7DAF5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21">
    <w:nsid w:val="3F224F23"/>
    <w:multiLevelType w:val="hybridMultilevel"/>
    <w:tmpl w:val="698C7902"/>
    <w:lvl w:ilvl="0">
      <w:start w:val="1"/>
      <w:numFmt w:val="lowerLetter"/>
      <w:lvlText w:val="%1)"/>
      <w:lvlJc w:val="left"/>
      <w:pPr>
        <w:ind w:left="502" w:hanging="360"/>
      </w:pPr>
      <w:rPr>
        <w:rFonts w:cs="Times New Roman"/>
      </w:rPr>
    </w:lvl>
    <w:lvl w:ilvl="1" w:tentative="1">
      <w:start w:val="1"/>
      <w:numFmt w:val="lowerLetter"/>
      <w:lvlText w:val="%2."/>
      <w:lvlJc w:val="left"/>
      <w:pPr>
        <w:ind w:left="1222" w:hanging="360"/>
      </w:pPr>
      <w:rPr>
        <w:rFonts w:cs="Times New Roman"/>
      </w:rPr>
    </w:lvl>
    <w:lvl w:ilvl="2" w:tentative="1">
      <w:start w:val="1"/>
      <w:numFmt w:val="lowerRoman"/>
      <w:lvlText w:val="%3."/>
      <w:lvlJc w:val="right"/>
      <w:pPr>
        <w:ind w:left="1942" w:hanging="180"/>
      </w:pPr>
      <w:rPr>
        <w:rFonts w:cs="Times New Roman"/>
      </w:rPr>
    </w:lvl>
    <w:lvl w:ilvl="3" w:tentative="1">
      <w:start w:val="1"/>
      <w:numFmt w:val="decimal"/>
      <w:lvlText w:val="%4."/>
      <w:lvlJc w:val="left"/>
      <w:pPr>
        <w:ind w:left="2662" w:hanging="360"/>
      </w:pPr>
      <w:rPr>
        <w:rFonts w:cs="Times New Roman"/>
      </w:rPr>
    </w:lvl>
    <w:lvl w:ilvl="4" w:tentative="1">
      <w:start w:val="1"/>
      <w:numFmt w:val="lowerLetter"/>
      <w:lvlText w:val="%5."/>
      <w:lvlJc w:val="left"/>
      <w:pPr>
        <w:ind w:left="3382" w:hanging="360"/>
      </w:pPr>
      <w:rPr>
        <w:rFonts w:cs="Times New Roman"/>
      </w:rPr>
    </w:lvl>
    <w:lvl w:ilvl="5" w:tentative="1">
      <w:start w:val="1"/>
      <w:numFmt w:val="lowerRoman"/>
      <w:lvlText w:val="%6."/>
      <w:lvlJc w:val="right"/>
      <w:pPr>
        <w:ind w:left="4102" w:hanging="180"/>
      </w:pPr>
      <w:rPr>
        <w:rFonts w:cs="Times New Roman"/>
      </w:rPr>
    </w:lvl>
    <w:lvl w:ilvl="6" w:tentative="1">
      <w:start w:val="1"/>
      <w:numFmt w:val="decimal"/>
      <w:lvlText w:val="%7."/>
      <w:lvlJc w:val="left"/>
      <w:pPr>
        <w:ind w:left="4822" w:hanging="360"/>
      </w:pPr>
      <w:rPr>
        <w:rFonts w:cs="Times New Roman"/>
      </w:rPr>
    </w:lvl>
    <w:lvl w:ilvl="7" w:tentative="1">
      <w:start w:val="1"/>
      <w:numFmt w:val="lowerLetter"/>
      <w:lvlText w:val="%8."/>
      <w:lvlJc w:val="left"/>
      <w:pPr>
        <w:ind w:left="5542" w:hanging="360"/>
      </w:pPr>
      <w:rPr>
        <w:rFonts w:cs="Times New Roman"/>
      </w:rPr>
    </w:lvl>
    <w:lvl w:ilvl="8" w:tentative="1">
      <w:start w:val="1"/>
      <w:numFmt w:val="lowerRoman"/>
      <w:lvlText w:val="%9."/>
      <w:lvlJc w:val="right"/>
      <w:pPr>
        <w:ind w:left="6262" w:hanging="180"/>
      </w:pPr>
      <w:rPr>
        <w:rFonts w:cs="Times New Roman"/>
      </w:rPr>
    </w:lvl>
  </w:abstractNum>
  <w:abstractNum w:abstractNumId="22">
    <w:nsid w:val="43637B0D"/>
    <w:multiLevelType w:val="hybridMultilevel"/>
    <w:tmpl w:val="FF065298"/>
    <w:lvl w:ilvl="0">
      <w:start w:val="1"/>
      <w:numFmt w:val="decimal"/>
      <w:lvlText w:val="%1."/>
      <w:lvlJc w:val="left"/>
      <w:pPr>
        <w:ind w:left="108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43B94991"/>
    <w:multiLevelType w:val="hybridMultilevel"/>
    <w:tmpl w:val="53E8738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95D497A"/>
    <w:multiLevelType w:val="hybridMultilevel"/>
    <w:tmpl w:val="C270CDB0"/>
    <w:lvl w:ilvl="0">
      <w:start w:val="1"/>
      <w:numFmt w:val="decimal"/>
      <w:lvlText w:val="%1."/>
      <w:lvlJc w:val="left"/>
      <w:pPr>
        <w:ind w:left="644" w:hanging="360"/>
      </w:pPr>
      <w:rPr>
        <w:rFonts w:cs="Times New Roman" w:hint="default"/>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25">
    <w:nsid w:val="514471DB"/>
    <w:multiLevelType w:val="hybridMultilevel"/>
    <w:tmpl w:val="5E08F75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6">
    <w:nsid w:val="5615326C"/>
    <w:multiLevelType w:val="hybridMultilevel"/>
    <w:tmpl w:val="0242FD28"/>
    <w:lvl w:ilvl="0">
      <w:start w:val="1"/>
      <w:numFmt w:val="decimal"/>
      <w:lvlText w:val="%1."/>
      <w:lvlJc w:val="left"/>
      <w:pPr>
        <w:ind w:left="720" w:hanging="360"/>
      </w:p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90D08C4"/>
    <w:multiLevelType w:val="hybridMultilevel"/>
    <w:tmpl w:val="3796CC8C"/>
    <w:lvl w:ilvl="0">
      <w:start w:val="1"/>
      <w:numFmt w:val="decimal"/>
      <w:lvlText w:val="%1."/>
      <w:lvlJc w:val="left"/>
      <w:pPr>
        <w:ind w:left="360" w:hanging="360"/>
      </w:pPr>
    </w:lvl>
    <w:lvl w:ilvl="1" w:tentative="1">
      <w:start w:val="1"/>
      <w:numFmt w:val="lowerLetter"/>
      <w:lvlText w:val="%2."/>
      <w:lvlJc w:val="left"/>
      <w:pPr>
        <w:ind w:left="1466" w:hanging="360"/>
      </w:pPr>
    </w:lvl>
    <w:lvl w:ilvl="2" w:tentative="1">
      <w:start w:val="1"/>
      <w:numFmt w:val="lowerRoman"/>
      <w:lvlText w:val="%3."/>
      <w:lvlJc w:val="right"/>
      <w:pPr>
        <w:ind w:left="2186" w:hanging="180"/>
      </w:pPr>
    </w:lvl>
    <w:lvl w:ilvl="3" w:tentative="1">
      <w:start w:val="1"/>
      <w:numFmt w:val="decimal"/>
      <w:lvlText w:val="%4."/>
      <w:lvlJc w:val="left"/>
      <w:pPr>
        <w:ind w:left="2906" w:hanging="360"/>
      </w:pPr>
    </w:lvl>
    <w:lvl w:ilvl="4" w:tentative="1">
      <w:start w:val="1"/>
      <w:numFmt w:val="lowerLetter"/>
      <w:lvlText w:val="%5."/>
      <w:lvlJc w:val="left"/>
      <w:pPr>
        <w:ind w:left="3626" w:hanging="360"/>
      </w:pPr>
    </w:lvl>
    <w:lvl w:ilvl="5" w:tentative="1">
      <w:start w:val="1"/>
      <w:numFmt w:val="lowerRoman"/>
      <w:lvlText w:val="%6."/>
      <w:lvlJc w:val="right"/>
      <w:pPr>
        <w:ind w:left="4346" w:hanging="180"/>
      </w:pPr>
    </w:lvl>
    <w:lvl w:ilvl="6" w:tentative="1">
      <w:start w:val="1"/>
      <w:numFmt w:val="decimal"/>
      <w:lvlText w:val="%7."/>
      <w:lvlJc w:val="left"/>
      <w:pPr>
        <w:ind w:left="5066" w:hanging="360"/>
      </w:pPr>
    </w:lvl>
    <w:lvl w:ilvl="7" w:tentative="1">
      <w:start w:val="1"/>
      <w:numFmt w:val="lowerLetter"/>
      <w:lvlText w:val="%8."/>
      <w:lvlJc w:val="left"/>
      <w:pPr>
        <w:ind w:left="5786" w:hanging="360"/>
      </w:pPr>
    </w:lvl>
    <w:lvl w:ilvl="8" w:tentative="1">
      <w:start w:val="1"/>
      <w:numFmt w:val="lowerRoman"/>
      <w:lvlText w:val="%9."/>
      <w:lvlJc w:val="right"/>
      <w:pPr>
        <w:ind w:left="6506" w:hanging="180"/>
      </w:pPr>
    </w:lvl>
  </w:abstractNum>
  <w:abstractNum w:abstractNumId="28">
    <w:nsid w:val="5916622E"/>
    <w:multiLevelType w:val="hybridMultilevel"/>
    <w:tmpl w:val="F718D9F6"/>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9">
    <w:nsid w:val="5FFF1468"/>
    <w:multiLevelType w:val="hybridMultilevel"/>
    <w:tmpl w:val="1734AC24"/>
    <w:lvl w:ilvl="0">
      <w:start w:val="1"/>
      <w:numFmt w:val="lowerLetter"/>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30">
    <w:nsid w:val="613B56BB"/>
    <w:multiLevelType w:val="hybridMultilevel"/>
    <w:tmpl w:val="9BAED474"/>
    <w:lvl w:ilvl="0">
      <w:start w:val="1"/>
      <w:numFmt w:val="lowerLetter"/>
      <w:lvlText w:val="%1)"/>
      <w:lvlJc w:val="left"/>
      <w:pPr>
        <w:ind w:left="1428" w:hanging="360"/>
      </w:pPr>
      <w:rPr>
        <w:rFonts w:cs="Times New Roman" w:hint="default"/>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nsid w:val="632D0216"/>
    <w:multiLevelType w:val="hybridMultilevel"/>
    <w:tmpl w:val="F4029C74"/>
    <w:lvl w:ilvl="0">
      <w:start w:val="1"/>
      <w:numFmt w:val="decimal"/>
      <w:lvlText w:val="%1."/>
      <w:lvlJc w:val="left"/>
      <w:pPr>
        <w:tabs>
          <w:tab w:val="num" w:pos="1080"/>
        </w:tabs>
        <w:ind w:left="1080" w:hanging="360"/>
      </w:pPr>
      <w:rPr>
        <w:rFonts w:hint="default"/>
        <w:b w:val="0"/>
      </w:rPr>
    </w:lvl>
    <w:lvl w:ilvl="1">
      <w:start w:val="1"/>
      <w:numFmt w:val="lowerLetter"/>
      <w:lvlText w:val="%2."/>
      <w:lvlJc w:val="left"/>
      <w:pPr>
        <w:tabs>
          <w:tab w:val="num" w:pos="1800"/>
        </w:tabs>
        <w:ind w:left="1800" w:hanging="360"/>
      </w:pPr>
    </w:lvl>
    <w:lvl w:ilvl="2">
      <w:start w:val="5"/>
      <w:numFmt w:val="upperRoman"/>
      <w:lvlText w:val="%3."/>
      <w:lvlJc w:val="left"/>
      <w:pPr>
        <w:tabs>
          <w:tab w:val="num" w:pos="3060"/>
        </w:tabs>
        <w:ind w:left="3060" w:hanging="720"/>
      </w:pPr>
      <w:rPr>
        <w:rFonts w:hint="default"/>
      </w:rPr>
    </w:lvl>
    <w:lvl w:ilvl="3">
      <w:start w:val="23"/>
      <w:numFmt w:val="upperLetter"/>
      <w:lvlText w:val="%4."/>
      <w:lvlJc w:val="left"/>
      <w:pPr>
        <w:tabs>
          <w:tab w:val="num" w:pos="3240"/>
        </w:tabs>
        <w:ind w:left="3240" w:hanging="360"/>
      </w:pPr>
      <w:rPr>
        <w:rFonts w:hint="default"/>
        <w:b/>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641302EA"/>
    <w:multiLevelType w:val="hybridMultilevel"/>
    <w:tmpl w:val="5BE4A0E0"/>
    <w:lvl w:ilvl="0">
      <w:start w:val="1"/>
      <w:numFmt w:val="decimal"/>
      <w:lvlText w:val="%1."/>
      <w:lvlJc w:val="left"/>
      <w:pPr>
        <w:ind w:left="720" w:hanging="360"/>
      </w:pPr>
    </w:lvl>
    <w:lvl w:ilvl="1">
      <w:start w:val="1"/>
      <w:numFmt w:val="lowerLetter"/>
      <w:lvlText w:val="%2)"/>
      <w:lvlJc w:val="left"/>
      <w:pPr>
        <w:ind w:left="1440" w:hanging="360"/>
      </w:pPr>
      <w:rPr>
        <w:rFonts w:ascii="Times New Roman" w:eastAsia="Calibri"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ECE2043"/>
    <w:multiLevelType w:val="hybridMultilevel"/>
    <w:tmpl w:val="096AA0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737B0078"/>
    <w:multiLevelType w:val="hybridMultilevel"/>
    <w:tmpl w:val="3BC2FC04"/>
    <w:lvl w:ilvl="0">
      <w:start w:val="1"/>
      <w:numFmt w:val="decimal"/>
      <w:lvlText w:val="%1."/>
      <w:lvlJc w:val="left"/>
      <w:pPr>
        <w:ind w:left="927" w:hanging="360"/>
      </w:pPr>
      <w:rPr>
        <w:rFonts w:ascii="Times New Roman" w:hAnsi="Times New Roman" w:cs="Times New Roman" w:hint="default"/>
        <w:b/>
        <w:sz w:val="24"/>
        <w:szCs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nsid w:val="791734C7"/>
    <w:multiLevelType w:val="hybridMultilevel"/>
    <w:tmpl w:val="FDD461E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3"/>
    <w:lvlOverride w:ilvl="0"/>
  </w:num>
  <w:num w:numId="2">
    <w:abstractNumId w:val="20"/>
    <w:lvlOverride w:ilvl="0">
      <w:startOverride w:val="1"/>
    </w:lvlOverride>
  </w:num>
  <w:num w:numId="3">
    <w:abstractNumId w:val="31"/>
  </w:num>
  <w:num w:numId="4">
    <w:abstractNumId w:val="28"/>
  </w:num>
  <w:num w:numId="5">
    <w:abstractNumId w:val="16"/>
  </w:num>
  <w:num w:numId="6">
    <w:abstractNumId w:val="5"/>
  </w:num>
  <w:num w:numId="7">
    <w:abstractNumId w:val="25"/>
  </w:num>
  <w:num w:numId="8">
    <w:abstractNumId w:val="33"/>
  </w:num>
  <w:num w:numId="9">
    <w:abstractNumId w:val="18"/>
  </w:num>
  <w:num w:numId="10">
    <w:abstractNumId w:val="35"/>
  </w:num>
  <w:num w:numId="11">
    <w:abstractNumId w:val="1"/>
  </w:num>
  <w:num w:numId="12">
    <w:abstractNumId w:val="21"/>
  </w:num>
  <w:num w:numId="13">
    <w:abstractNumId w:val="4"/>
  </w:num>
  <w:num w:numId="14">
    <w:abstractNumId w:val="12"/>
  </w:num>
  <w:num w:numId="15">
    <w:abstractNumId w:val="14"/>
  </w:num>
  <w:num w:numId="16">
    <w:abstractNumId w:val="30"/>
  </w:num>
  <w:num w:numId="17">
    <w:abstractNumId w:val="7"/>
  </w:num>
  <w:num w:numId="18">
    <w:abstractNumId w:val="6"/>
  </w:num>
  <w:num w:numId="19">
    <w:abstractNumId w:val="0"/>
  </w:num>
  <w:num w:numId="20">
    <w:abstractNumId w:val="29"/>
  </w:num>
  <w:num w:numId="21">
    <w:abstractNumId w:val="24"/>
  </w:num>
  <w:num w:numId="22">
    <w:abstractNumId w:val="13"/>
  </w:num>
  <w:num w:numId="23">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9"/>
  </w:num>
  <w:num w:numId="30">
    <w:abstractNumId w:val="15"/>
  </w:num>
  <w:num w:numId="31">
    <w:abstractNumId w:val="27"/>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F1034"/>
    <w:rsid w:val="000043B7"/>
    <w:rsid w:val="000043FD"/>
    <w:rsid w:val="00004D70"/>
    <w:rsid w:val="00005485"/>
    <w:rsid w:val="00007DA1"/>
    <w:rsid w:val="000100FB"/>
    <w:rsid w:val="000106DD"/>
    <w:rsid w:val="000115C8"/>
    <w:rsid w:val="0001250E"/>
    <w:rsid w:val="00012CEC"/>
    <w:rsid w:val="00014669"/>
    <w:rsid w:val="00016267"/>
    <w:rsid w:val="00016651"/>
    <w:rsid w:val="00020E29"/>
    <w:rsid w:val="00021995"/>
    <w:rsid w:val="00024F3F"/>
    <w:rsid w:val="000303C1"/>
    <w:rsid w:val="000306B9"/>
    <w:rsid w:val="000329FD"/>
    <w:rsid w:val="00034E87"/>
    <w:rsid w:val="00035163"/>
    <w:rsid w:val="00040487"/>
    <w:rsid w:val="00041A99"/>
    <w:rsid w:val="00042BC8"/>
    <w:rsid w:val="00044158"/>
    <w:rsid w:val="0005018A"/>
    <w:rsid w:val="000523B0"/>
    <w:rsid w:val="00057821"/>
    <w:rsid w:val="00057C25"/>
    <w:rsid w:val="0006073C"/>
    <w:rsid w:val="00063ABC"/>
    <w:rsid w:val="00066E03"/>
    <w:rsid w:val="00070664"/>
    <w:rsid w:val="00070D97"/>
    <w:rsid w:val="000734C1"/>
    <w:rsid w:val="00073A82"/>
    <w:rsid w:val="00075545"/>
    <w:rsid w:val="0007603C"/>
    <w:rsid w:val="00077B17"/>
    <w:rsid w:val="000822D9"/>
    <w:rsid w:val="00084782"/>
    <w:rsid w:val="00086231"/>
    <w:rsid w:val="00087D16"/>
    <w:rsid w:val="00090F05"/>
    <w:rsid w:val="00091E41"/>
    <w:rsid w:val="00094F70"/>
    <w:rsid w:val="000965A1"/>
    <w:rsid w:val="00097CD3"/>
    <w:rsid w:val="000A028A"/>
    <w:rsid w:val="000A06C3"/>
    <w:rsid w:val="000A3ECB"/>
    <w:rsid w:val="000A4AFD"/>
    <w:rsid w:val="000A5758"/>
    <w:rsid w:val="000A6626"/>
    <w:rsid w:val="000A692A"/>
    <w:rsid w:val="000A694D"/>
    <w:rsid w:val="000A7F1C"/>
    <w:rsid w:val="000B0539"/>
    <w:rsid w:val="000B1EBF"/>
    <w:rsid w:val="000B5A8B"/>
    <w:rsid w:val="000B5DBA"/>
    <w:rsid w:val="000C2C95"/>
    <w:rsid w:val="000C2E4D"/>
    <w:rsid w:val="000C4558"/>
    <w:rsid w:val="000C4689"/>
    <w:rsid w:val="000C5A69"/>
    <w:rsid w:val="000C66DF"/>
    <w:rsid w:val="000C7DF5"/>
    <w:rsid w:val="000D250F"/>
    <w:rsid w:val="000D643E"/>
    <w:rsid w:val="000D64EF"/>
    <w:rsid w:val="000E12FF"/>
    <w:rsid w:val="000E1E40"/>
    <w:rsid w:val="000E2D48"/>
    <w:rsid w:val="000E35ED"/>
    <w:rsid w:val="000E437A"/>
    <w:rsid w:val="000F7319"/>
    <w:rsid w:val="000F7E66"/>
    <w:rsid w:val="00101249"/>
    <w:rsid w:val="00101B40"/>
    <w:rsid w:val="00102B7B"/>
    <w:rsid w:val="00103337"/>
    <w:rsid w:val="0010370B"/>
    <w:rsid w:val="001056A3"/>
    <w:rsid w:val="00105888"/>
    <w:rsid w:val="001149BB"/>
    <w:rsid w:val="00115AB5"/>
    <w:rsid w:val="00117B22"/>
    <w:rsid w:val="00121DBF"/>
    <w:rsid w:val="00122BBB"/>
    <w:rsid w:val="00123B9E"/>
    <w:rsid w:val="001249FA"/>
    <w:rsid w:val="0012624C"/>
    <w:rsid w:val="0012677F"/>
    <w:rsid w:val="00132FDA"/>
    <w:rsid w:val="00133371"/>
    <w:rsid w:val="001336EB"/>
    <w:rsid w:val="0013720E"/>
    <w:rsid w:val="001379E8"/>
    <w:rsid w:val="00137ED1"/>
    <w:rsid w:val="00141A76"/>
    <w:rsid w:val="00143361"/>
    <w:rsid w:val="0014724A"/>
    <w:rsid w:val="001507CC"/>
    <w:rsid w:val="00154A2F"/>
    <w:rsid w:val="00156286"/>
    <w:rsid w:val="00160059"/>
    <w:rsid w:val="001633E6"/>
    <w:rsid w:val="00167A17"/>
    <w:rsid w:val="00171514"/>
    <w:rsid w:val="00173451"/>
    <w:rsid w:val="0017621D"/>
    <w:rsid w:val="00176C80"/>
    <w:rsid w:val="001806C4"/>
    <w:rsid w:val="00184003"/>
    <w:rsid w:val="00184038"/>
    <w:rsid w:val="001844A2"/>
    <w:rsid w:val="0018508B"/>
    <w:rsid w:val="0018539F"/>
    <w:rsid w:val="001856F2"/>
    <w:rsid w:val="001916F3"/>
    <w:rsid w:val="00191E8A"/>
    <w:rsid w:val="00191EB1"/>
    <w:rsid w:val="00194A2B"/>
    <w:rsid w:val="00196202"/>
    <w:rsid w:val="001A4AB1"/>
    <w:rsid w:val="001A68D5"/>
    <w:rsid w:val="001A730A"/>
    <w:rsid w:val="001B1AE7"/>
    <w:rsid w:val="001B5606"/>
    <w:rsid w:val="001B6F8B"/>
    <w:rsid w:val="001C00C0"/>
    <w:rsid w:val="001C0935"/>
    <w:rsid w:val="001C09E2"/>
    <w:rsid w:val="001C320D"/>
    <w:rsid w:val="001C6B0F"/>
    <w:rsid w:val="001C6DCD"/>
    <w:rsid w:val="001D1640"/>
    <w:rsid w:val="001D37AD"/>
    <w:rsid w:val="001D4C75"/>
    <w:rsid w:val="001D62B6"/>
    <w:rsid w:val="001D62BD"/>
    <w:rsid w:val="001E2DA3"/>
    <w:rsid w:val="001F071C"/>
    <w:rsid w:val="001F3DD4"/>
    <w:rsid w:val="001F5F55"/>
    <w:rsid w:val="001F6083"/>
    <w:rsid w:val="002000D1"/>
    <w:rsid w:val="00201E09"/>
    <w:rsid w:val="0020341D"/>
    <w:rsid w:val="002045DE"/>
    <w:rsid w:val="002049FA"/>
    <w:rsid w:val="002120D0"/>
    <w:rsid w:val="002143BA"/>
    <w:rsid w:val="0021589D"/>
    <w:rsid w:val="00224F03"/>
    <w:rsid w:val="0022658C"/>
    <w:rsid w:val="00227BF3"/>
    <w:rsid w:val="00227BF5"/>
    <w:rsid w:val="002301DE"/>
    <w:rsid w:val="00230348"/>
    <w:rsid w:val="002304EF"/>
    <w:rsid w:val="00231419"/>
    <w:rsid w:val="00232BBE"/>
    <w:rsid w:val="00233887"/>
    <w:rsid w:val="00233A93"/>
    <w:rsid w:val="00234211"/>
    <w:rsid w:val="0024051E"/>
    <w:rsid w:val="002414D8"/>
    <w:rsid w:val="00243AD8"/>
    <w:rsid w:val="00243E4D"/>
    <w:rsid w:val="00251E2A"/>
    <w:rsid w:val="00254F22"/>
    <w:rsid w:val="00260A9F"/>
    <w:rsid w:val="00260FCA"/>
    <w:rsid w:val="0026107A"/>
    <w:rsid w:val="002624A5"/>
    <w:rsid w:val="002626A1"/>
    <w:rsid w:val="00262E63"/>
    <w:rsid w:val="00263012"/>
    <w:rsid w:val="002631D1"/>
    <w:rsid w:val="002703B9"/>
    <w:rsid w:val="00270D31"/>
    <w:rsid w:val="00272F7C"/>
    <w:rsid w:val="002737DD"/>
    <w:rsid w:val="002741E7"/>
    <w:rsid w:val="002750BB"/>
    <w:rsid w:val="002812D2"/>
    <w:rsid w:val="00281F8A"/>
    <w:rsid w:val="00284EDF"/>
    <w:rsid w:val="002869E9"/>
    <w:rsid w:val="00292B7A"/>
    <w:rsid w:val="002939EE"/>
    <w:rsid w:val="00294D26"/>
    <w:rsid w:val="00295B15"/>
    <w:rsid w:val="002A095E"/>
    <w:rsid w:val="002A3B7A"/>
    <w:rsid w:val="002A3CE4"/>
    <w:rsid w:val="002A4650"/>
    <w:rsid w:val="002A5F27"/>
    <w:rsid w:val="002A75EF"/>
    <w:rsid w:val="002B199D"/>
    <w:rsid w:val="002B2629"/>
    <w:rsid w:val="002B2710"/>
    <w:rsid w:val="002B5385"/>
    <w:rsid w:val="002B581B"/>
    <w:rsid w:val="002C0384"/>
    <w:rsid w:val="002C0890"/>
    <w:rsid w:val="002C26E0"/>
    <w:rsid w:val="002C3476"/>
    <w:rsid w:val="002C3829"/>
    <w:rsid w:val="002C4F50"/>
    <w:rsid w:val="002C508A"/>
    <w:rsid w:val="002C5F1F"/>
    <w:rsid w:val="002C6B8A"/>
    <w:rsid w:val="002D1023"/>
    <w:rsid w:val="002D2C89"/>
    <w:rsid w:val="002D3D1F"/>
    <w:rsid w:val="002D5574"/>
    <w:rsid w:val="002D5A31"/>
    <w:rsid w:val="002D6473"/>
    <w:rsid w:val="002E67DE"/>
    <w:rsid w:val="002F3B27"/>
    <w:rsid w:val="002F4631"/>
    <w:rsid w:val="002F5483"/>
    <w:rsid w:val="002F7336"/>
    <w:rsid w:val="003003B7"/>
    <w:rsid w:val="00301D8C"/>
    <w:rsid w:val="00302AD6"/>
    <w:rsid w:val="003039A8"/>
    <w:rsid w:val="00304962"/>
    <w:rsid w:val="003069F7"/>
    <w:rsid w:val="003079DA"/>
    <w:rsid w:val="0031063E"/>
    <w:rsid w:val="00312C55"/>
    <w:rsid w:val="00315803"/>
    <w:rsid w:val="003169EC"/>
    <w:rsid w:val="00316EBA"/>
    <w:rsid w:val="00317A71"/>
    <w:rsid w:val="00322ED7"/>
    <w:rsid w:val="0032454B"/>
    <w:rsid w:val="00324934"/>
    <w:rsid w:val="00327C8B"/>
    <w:rsid w:val="00330204"/>
    <w:rsid w:val="003309F1"/>
    <w:rsid w:val="00333732"/>
    <w:rsid w:val="00333F8B"/>
    <w:rsid w:val="00334C96"/>
    <w:rsid w:val="00336528"/>
    <w:rsid w:val="003369A6"/>
    <w:rsid w:val="00337A05"/>
    <w:rsid w:val="00341282"/>
    <w:rsid w:val="0034530A"/>
    <w:rsid w:val="00345555"/>
    <w:rsid w:val="00345857"/>
    <w:rsid w:val="00345BFB"/>
    <w:rsid w:val="00353558"/>
    <w:rsid w:val="0035436F"/>
    <w:rsid w:val="003577D1"/>
    <w:rsid w:val="00360D17"/>
    <w:rsid w:val="00363905"/>
    <w:rsid w:val="00364541"/>
    <w:rsid w:val="00364A65"/>
    <w:rsid w:val="00365903"/>
    <w:rsid w:val="00371235"/>
    <w:rsid w:val="00371D6E"/>
    <w:rsid w:val="003739E6"/>
    <w:rsid w:val="0038006F"/>
    <w:rsid w:val="0038102A"/>
    <w:rsid w:val="00382300"/>
    <w:rsid w:val="00383998"/>
    <w:rsid w:val="00384953"/>
    <w:rsid w:val="00385E48"/>
    <w:rsid w:val="00385F60"/>
    <w:rsid w:val="0038611B"/>
    <w:rsid w:val="003906B5"/>
    <w:rsid w:val="003938E3"/>
    <w:rsid w:val="00393DD5"/>
    <w:rsid w:val="003960BE"/>
    <w:rsid w:val="003A5848"/>
    <w:rsid w:val="003A5DDF"/>
    <w:rsid w:val="003A7B2F"/>
    <w:rsid w:val="003B2C8E"/>
    <w:rsid w:val="003B3AE6"/>
    <w:rsid w:val="003B64C7"/>
    <w:rsid w:val="003B6B48"/>
    <w:rsid w:val="003B7F8C"/>
    <w:rsid w:val="003C060E"/>
    <w:rsid w:val="003C1AC2"/>
    <w:rsid w:val="003C1BE0"/>
    <w:rsid w:val="003C2174"/>
    <w:rsid w:val="003C26AC"/>
    <w:rsid w:val="003D6EDC"/>
    <w:rsid w:val="003D7154"/>
    <w:rsid w:val="003E0950"/>
    <w:rsid w:val="003E1359"/>
    <w:rsid w:val="003E5559"/>
    <w:rsid w:val="003F5031"/>
    <w:rsid w:val="003F6481"/>
    <w:rsid w:val="003F77CF"/>
    <w:rsid w:val="00401761"/>
    <w:rsid w:val="004047A9"/>
    <w:rsid w:val="004055B6"/>
    <w:rsid w:val="00406515"/>
    <w:rsid w:val="00407D3C"/>
    <w:rsid w:val="0041108E"/>
    <w:rsid w:val="004113B5"/>
    <w:rsid w:val="00412F54"/>
    <w:rsid w:val="00417F9D"/>
    <w:rsid w:val="00423B33"/>
    <w:rsid w:val="00424402"/>
    <w:rsid w:val="00424F83"/>
    <w:rsid w:val="00425959"/>
    <w:rsid w:val="0042646E"/>
    <w:rsid w:val="00426F4D"/>
    <w:rsid w:val="00431559"/>
    <w:rsid w:val="004329EB"/>
    <w:rsid w:val="004365A2"/>
    <w:rsid w:val="00443599"/>
    <w:rsid w:val="00445EE1"/>
    <w:rsid w:val="00447314"/>
    <w:rsid w:val="0045045E"/>
    <w:rsid w:val="00450CAE"/>
    <w:rsid w:val="004519C2"/>
    <w:rsid w:val="0045228D"/>
    <w:rsid w:val="00452CA8"/>
    <w:rsid w:val="00452FB6"/>
    <w:rsid w:val="00454FE0"/>
    <w:rsid w:val="00457983"/>
    <w:rsid w:val="00460624"/>
    <w:rsid w:val="00460BBF"/>
    <w:rsid w:val="0046269E"/>
    <w:rsid w:val="004664A3"/>
    <w:rsid w:val="0046679A"/>
    <w:rsid w:val="00471D67"/>
    <w:rsid w:val="00472BA9"/>
    <w:rsid w:val="00482F4E"/>
    <w:rsid w:val="00483811"/>
    <w:rsid w:val="00486553"/>
    <w:rsid w:val="00491A24"/>
    <w:rsid w:val="004972EC"/>
    <w:rsid w:val="004A0802"/>
    <w:rsid w:val="004A189D"/>
    <w:rsid w:val="004A4283"/>
    <w:rsid w:val="004A5BB0"/>
    <w:rsid w:val="004B0B57"/>
    <w:rsid w:val="004B6200"/>
    <w:rsid w:val="004B677A"/>
    <w:rsid w:val="004C09B4"/>
    <w:rsid w:val="004C0AB4"/>
    <w:rsid w:val="004C23D9"/>
    <w:rsid w:val="004C306A"/>
    <w:rsid w:val="004C388C"/>
    <w:rsid w:val="004C3BF1"/>
    <w:rsid w:val="004C514A"/>
    <w:rsid w:val="004C7EBC"/>
    <w:rsid w:val="004D2103"/>
    <w:rsid w:val="004E16E7"/>
    <w:rsid w:val="004E1881"/>
    <w:rsid w:val="004E4443"/>
    <w:rsid w:val="004E491F"/>
    <w:rsid w:val="004F359E"/>
    <w:rsid w:val="004F35DC"/>
    <w:rsid w:val="004F4E0B"/>
    <w:rsid w:val="004F6AE3"/>
    <w:rsid w:val="004F7FF6"/>
    <w:rsid w:val="0050173C"/>
    <w:rsid w:val="00501B42"/>
    <w:rsid w:val="00502BED"/>
    <w:rsid w:val="00505141"/>
    <w:rsid w:val="00513C34"/>
    <w:rsid w:val="005174FC"/>
    <w:rsid w:val="00520326"/>
    <w:rsid w:val="00520DB9"/>
    <w:rsid w:val="00522C62"/>
    <w:rsid w:val="0052672B"/>
    <w:rsid w:val="00526F33"/>
    <w:rsid w:val="00530409"/>
    <w:rsid w:val="00530898"/>
    <w:rsid w:val="00534781"/>
    <w:rsid w:val="00536ABE"/>
    <w:rsid w:val="00540A0D"/>
    <w:rsid w:val="0054531C"/>
    <w:rsid w:val="00550179"/>
    <w:rsid w:val="00551836"/>
    <w:rsid w:val="005628B4"/>
    <w:rsid w:val="00562F0E"/>
    <w:rsid w:val="0056306F"/>
    <w:rsid w:val="005658DD"/>
    <w:rsid w:val="00575DA3"/>
    <w:rsid w:val="00576D0B"/>
    <w:rsid w:val="00577C08"/>
    <w:rsid w:val="00580814"/>
    <w:rsid w:val="00581430"/>
    <w:rsid w:val="005844C5"/>
    <w:rsid w:val="005847EF"/>
    <w:rsid w:val="005864B1"/>
    <w:rsid w:val="0058773C"/>
    <w:rsid w:val="00587FF0"/>
    <w:rsid w:val="00591897"/>
    <w:rsid w:val="00593CC6"/>
    <w:rsid w:val="00593F06"/>
    <w:rsid w:val="00597395"/>
    <w:rsid w:val="005975DE"/>
    <w:rsid w:val="00597A01"/>
    <w:rsid w:val="00597FE5"/>
    <w:rsid w:val="005A2CBA"/>
    <w:rsid w:val="005A3242"/>
    <w:rsid w:val="005A4690"/>
    <w:rsid w:val="005A7AA2"/>
    <w:rsid w:val="005B0A06"/>
    <w:rsid w:val="005B36C2"/>
    <w:rsid w:val="005B42C9"/>
    <w:rsid w:val="005B4301"/>
    <w:rsid w:val="005B4CD9"/>
    <w:rsid w:val="005B59AA"/>
    <w:rsid w:val="005B5A36"/>
    <w:rsid w:val="005B7003"/>
    <w:rsid w:val="005C0415"/>
    <w:rsid w:val="005C1598"/>
    <w:rsid w:val="005C578A"/>
    <w:rsid w:val="005C6E8F"/>
    <w:rsid w:val="005D12EA"/>
    <w:rsid w:val="005D15B1"/>
    <w:rsid w:val="005D3D5B"/>
    <w:rsid w:val="005D4795"/>
    <w:rsid w:val="005E019F"/>
    <w:rsid w:val="005E370E"/>
    <w:rsid w:val="005E3851"/>
    <w:rsid w:val="005E3E76"/>
    <w:rsid w:val="005E3EE5"/>
    <w:rsid w:val="005E4956"/>
    <w:rsid w:val="005E4D34"/>
    <w:rsid w:val="005E62EE"/>
    <w:rsid w:val="005F19D8"/>
    <w:rsid w:val="005F28CB"/>
    <w:rsid w:val="005F28F4"/>
    <w:rsid w:val="005F54BF"/>
    <w:rsid w:val="0060220F"/>
    <w:rsid w:val="00602C18"/>
    <w:rsid w:val="00604048"/>
    <w:rsid w:val="00604D49"/>
    <w:rsid w:val="00606783"/>
    <w:rsid w:val="00606FF6"/>
    <w:rsid w:val="00613637"/>
    <w:rsid w:val="00613A37"/>
    <w:rsid w:val="0061716C"/>
    <w:rsid w:val="00624A29"/>
    <w:rsid w:val="006253BE"/>
    <w:rsid w:val="00626C13"/>
    <w:rsid w:val="0063094F"/>
    <w:rsid w:val="00632596"/>
    <w:rsid w:val="006330B4"/>
    <w:rsid w:val="006332A4"/>
    <w:rsid w:val="0063534B"/>
    <w:rsid w:val="00635640"/>
    <w:rsid w:val="00642165"/>
    <w:rsid w:val="00644CFC"/>
    <w:rsid w:val="00645D6A"/>
    <w:rsid w:val="00651F54"/>
    <w:rsid w:val="006520D2"/>
    <w:rsid w:val="006564B7"/>
    <w:rsid w:val="0066011D"/>
    <w:rsid w:val="0066150C"/>
    <w:rsid w:val="00665046"/>
    <w:rsid w:val="00667854"/>
    <w:rsid w:val="006734B7"/>
    <w:rsid w:val="006756F2"/>
    <w:rsid w:val="006772CD"/>
    <w:rsid w:val="0068050F"/>
    <w:rsid w:val="00680EDA"/>
    <w:rsid w:val="0068313D"/>
    <w:rsid w:val="00684C67"/>
    <w:rsid w:val="0068614B"/>
    <w:rsid w:val="0068648D"/>
    <w:rsid w:val="00690B96"/>
    <w:rsid w:val="00691C40"/>
    <w:rsid w:val="00693C60"/>
    <w:rsid w:val="006941A1"/>
    <w:rsid w:val="00695386"/>
    <w:rsid w:val="0069783A"/>
    <w:rsid w:val="006A0B65"/>
    <w:rsid w:val="006A104F"/>
    <w:rsid w:val="006A1414"/>
    <w:rsid w:val="006B6BA7"/>
    <w:rsid w:val="006B79F2"/>
    <w:rsid w:val="006C5BC2"/>
    <w:rsid w:val="006D0919"/>
    <w:rsid w:val="006D1262"/>
    <w:rsid w:val="006D1500"/>
    <w:rsid w:val="006D2328"/>
    <w:rsid w:val="006D3158"/>
    <w:rsid w:val="006D3863"/>
    <w:rsid w:val="006D63E4"/>
    <w:rsid w:val="006D6483"/>
    <w:rsid w:val="006D6AA3"/>
    <w:rsid w:val="006E1FB2"/>
    <w:rsid w:val="006E3117"/>
    <w:rsid w:val="006E3683"/>
    <w:rsid w:val="006E4D55"/>
    <w:rsid w:val="006E58E3"/>
    <w:rsid w:val="006F36E1"/>
    <w:rsid w:val="006F6DFA"/>
    <w:rsid w:val="006F7A95"/>
    <w:rsid w:val="00704953"/>
    <w:rsid w:val="007053A1"/>
    <w:rsid w:val="007058F0"/>
    <w:rsid w:val="00705A85"/>
    <w:rsid w:val="00707EDE"/>
    <w:rsid w:val="00707FD4"/>
    <w:rsid w:val="007104F1"/>
    <w:rsid w:val="0071089E"/>
    <w:rsid w:val="0071180F"/>
    <w:rsid w:val="007121A8"/>
    <w:rsid w:val="007134E2"/>
    <w:rsid w:val="00714C1C"/>
    <w:rsid w:val="00714E9B"/>
    <w:rsid w:val="00715DEC"/>
    <w:rsid w:val="007163B8"/>
    <w:rsid w:val="0071783F"/>
    <w:rsid w:val="0072061C"/>
    <w:rsid w:val="0072290F"/>
    <w:rsid w:val="00734C25"/>
    <w:rsid w:val="00736608"/>
    <w:rsid w:val="007366CB"/>
    <w:rsid w:val="00737319"/>
    <w:rsid w:val="007377AF"/>
    <w:rsid w:val="0074043A"/>
    <w:rsid w:val="00740C06"/>
    <w:rsid w:val="007411BA"/>
    <w:rsid w:val="00741E32"/>
    <w:rsid w:val="00742C22"/>
    <w:rsid w:val="00752A2A"/>
    <w:rsid w:val="00753032"/>
    <w:rsid w:val="00757859"/>
    <w:rsid w:val="00757B31"/>
    <w:rsid w:val="007603F1"/>
    <w:rsid w:val="0076290E"/>
    <w:rsid w:val="00764F6E"/>
    <w:rsid w:val="00766C3E"/>
    <w:rsid w:val="00766EBF"/>
    <w:rsid w:val="00773EC5"/>
    <w:rsid w:val="007823C7"/>
    <w:rsid w:val="0078658A"/>
    <w:rsid w:val="007915E9"/>
    <w:rsid w:val="00791F4B"/>
    <w:rsid w:val="007924FD"/>
    <w:rsid w:val="00793DCF"/>
    <w:rsid w:val="007941B4"/>
    <w:rsid w:val="00794794"/>
    <w:rsid w:val="0079782D"/>
    <w:rsid w:val="007A4D08"/>
    <w:rsid w:val="007B32D1"/>
    <w:rsid w:val="007B43AD"/>
    <w:rsid w:val="007B4633"/>
    <w:rsid w:val="007C0A7C"/>
    <w:rsid w:val="007C0DB2"/>
    <w:rsid w:val="007C1A66"/>
    <w:rsid w:val="007C5E78"/>
    <w:rsid w:val="007D15CA"/>
    <w:rsid w:val="007D2531"/>
    <w:rsid w:val="007D2724"/>
    <w:rsid w:val="007D5D65"/>
    <w:rsid w:val="007D65E5"/>
    <w:rsid w:val="007D6AC6"/>
    <w:rsid w:val="007D77A1"/>
    <w:rsid w:val="007E01FF"/>
    <w:rsid w:val="007E0AA2"/>
    <w:rsid w:val="007E2AF9"/>
    <w:rsid w:val="007E5CDC"/>
    <w:rsid w:val="007E661E"/>
    <w:rsid w:val="007F1816"/>
    <w:rsid w:val="007F1915"/>
    <w:rsid w:val="007F1C89"/>
    <w:rsid w:val="007F3FD1"/>
    <w:rsid w:val="007F4379"/>
    <w:rsid w:val="007F4823"/>
    <w:rsid w:val="00801547"/>
    <w:rsid w:val="00805477"/>
    <w:rsid w:val="00807514"/>
    <w:rsid w:val="00810F46"/>
    <w:rsid w:val="008110E9"/>
    <w:rsid w:val="00816302"/>
    <w:rsid w:val="00816EE6"/>
    <w:rsid w:val="00821533"/>
    <w:rsid w:val="00822902"/>
    <w:rsid w:val="008245CC"/>
    <w:rsid w:val="00826CE5"/>
    <w:rsid w:val="00827A2E"/>
    <w:rsid w:val="00830366"/>
    <w:rsid w:val="00831293"/>
    <w:rsid w:val="00831A52"/>
    <w:rsid w:val="00832B56"/>
    <w:rsid w:val="008346BC"/>
    <w:rsid w:val="008373E5"/>
    <w:rsid w:val="00840569"/>
    <w:rsid w:val="008413C8"/>
    <w:rsid w:val="00843C04"/>
    <w:rsid w:val="00843C37"/>
    <w:rsid w:val="008444C0"/>
    <w:rsid w:val="00846B8E"/>
    <w:rsid w:val="008476F1"/>
    <w:rsid w:val="00847AC9"/>
    <w:rsid w:val="0085078D"/>
    <w:rsid w:val="0085353E"/>
    <w:rsid w:val="0085359D"/>
    <w:rsid w:val="008537A3"/>
    <w:rsid w:val="00853F26"/>
    <w:rsid w:val="00853FD0"/>
    <w:rsid w:val="00866BDE"/>
    <w:rsid w:val="00873586"/>
    <w:rsid w:val="0087403B"/>
    <w:rsid w:val="008745D9"/>
    <w:rsid w:val="0087494D"/>
    <w:rsid w:val="00875134"/>
    <w:rsid w:val="00875152"/>
    <w:rsid w:val="0087761F"/>
    <w:rsid w:val="00877725"/>
    <w:rsid w:val="00877D6D"/>
    <w:rsid w:val="00877FD0"/>
    <w:rsid w:val="008838A2"/>
    <w:rsid w:val="00883C11"/>
    <w:rsid w:val="00885A23"/>
    <w:rsid w:val="00890309"/>
    <w:rsid w:val="0089069C"/>
    <w:rsid w:val="00891613"/>
    <w:rsid w:val="00891A63"/>
    <w:rsid w:val="00893F40"/>
    <w:rsid w:val="00894DF5"/>
    <w:rsid w:val="008953A1"/>
    <w:rsid w:val="0089741A"/>
    <w:rsid w:val="00897D95"/>
    <w:rsid w:val="008A02B0"/>
    <w:rsid w:val="008A4206"/>
    <w:rsid w:val="008B110D"/>
    <w:rsid w:val="008B2614"/>
    <w:rsid w:val="008B40BC"/>
    <w:rsid w:val="008B4F03"/>
    <w:rsid w:val="008C1EBB"/>
    <w:rsid w:val="008C5547"/>
    <w:rsid w:val="008C68BA"/>
    <w:rsid w:val="008C6D09"/>
    <w:rsid w:val="008C71FA"/>
    <w:rsid w:val="008D615F"/>
    <w:rsid w:val="008D6B7B"/>
    <w:rsid w:val="008E02E9"/>
    <w:rsid w:val="008E1580"/>
    <w:rsid w:val="008E2374"/>
    <w:rsid w:val="008E2D23"/>
    <w:rsid w:val="008E39AD"/>
    <w:rsid w:val="008E4092"/>
    <w:rsid w:val="008E5916"/>
    <w:rsid w:val="008E7C76"/>
    <w:rsid w:val="008F10B7"/>
    <w:rsid w:val="008F1C89"/>
    <w:rsid w:val="008F3DAD"/>
    <w:rsid w:val="008F5793"/>
    <w:rsid w:val="008F7238"/>
    <w:rsid w:val="008F7462"/>
    <w:rsid w:val="00902634"/>
    <w:rsid w:val="00904F57"/>
    <w:rsid w:val="0090567A"/>
    <w:rsid w:val="009060C6"/>
    <w:rsid w:val="0090730B"/>
    <w:rsid w:val="00907E98"/>
    <w:rsid w:val="00911A6F"/>
    <w:rsid w:val="009124B6"/>
    <w:rsid w:val="00912EF1"/>
    <w:rsid w:val="00913035"/>
    <w:rsid w:val="0091306C"/>
    <w:rsid w:val="00913DF2"/>
    <w:rsid w:val="00914B5A"/>
    <w:rsid w:val="00914FF3"/>
    <w:rsid w:val="00915D97"/>
    <w:rsid w:val="00916094"/>
    <w:rsid w:val="009171F7"/>
    <w:rsid w:val="0091798A"/>
    <w:rsid w:val="00922385"/>
    <w:rsid w:val="00922EB6"/>
    <w:rsid w:val="009236C4"/>
    <w:rsid w:val="00925FD2"/>
    <w:rsid w:val="00927DD9"/>
    <w:rsid w:val="00932C61"/>
    <w:rsid w:val="00934D16"/>
    <w:rsid w:val="00936EE3"/>
    <w:rsid w:val="00937200"/>
    <w:rsid w:val="00940764"/>
    <w:rsid w:val="00941599"/>
    <w:rsid w:val="00941952"/>
    <w:rsid w:val="00944E50"/>
    <w:rsid w:val="009454E9"/>
    <w:rsid w:val="00950D74"/>
    <w:rsid w:val="0095533E"/>
    <w:rsid w:val="00956145"/>
    <w:rsid w:val="00956D9A"/>
    <w:rsid w:val="00960B8A"/>
    <w:rsid w:val="0096626D"/>
    <w:rsid w:val="009725FC"/>
    <w:rsid w:val="00972EE9"/>
    <w:rsid w:val="0097371F"/>
    <w:rsid w:val="009744DD"/>
    <w:rsid w:val="00975C2E"/>
    <w:rsid w:val="009802DB"/>
    <w:rsid w:val="00985CF4"/>
    <w:rsid w:val="00987274"/>
    <w:rsid w:val="00987E97"/>
    <w:rsid w:val="009900F7"/>
    <w:rsid w:val="00990137"/>
    <w:rsid w:val="00990A24"/>
    <w:rsid w:val="00990AEE"/>
    <w:rsid w:val="00994521"/>
    <w:rsid w:val="00994685"/>
    <w:rsid w:val="009946BD"/>
    <w:rsid w:val="00996696"/>
    <w:rsid w:val="009A0EA6"/>
    <w:rsid w:val="009A2FE0"/>
    <w:rsid w:val="009A5688"/>
    <w:rsid w:val="009A6FDE"/>
    <w:rsid w:val="009A7EE6"/>
    <w:rsid w:val="009B0732"/>
    <w:rsid w:val="009B23D8"/>
    <w:rsid w:val="009B2797"/>
    <w:rsid w:val="009B28E4"/>
    <w:rsid w:val="009B4452"/>
    <w:rsid w:val="009B4C3F"/>
    <w:rsid w:val="009B5589"/>
    <w:rsid w:val="009C1552"/>
    <w:rsid w:val="009C37F1"/>
    <w:rsid w:val="009C506E"/>
    <w:rsid w:val="009C6363"/>
    <w:rsid w:val="009C646F"/>
    <w:rsid w:val="009D1A4D"/>
    <w:rsid w:val="009D4879"/>
    <w:rsid w:val="009D60F5"/>
    <w:rsid w:val="009D7E8F"/>
    <w:rsid w:val="009D7FAC"/>
    <w:rsid w:val="009E0462"/>
    <w:rsid w:val="009E0753"/>
    <w:rsid w:val="009E2C43"/>
    <w:rsid w:val="009E38EE"/>
    <w:rsid w:val="009E391D"/>
    <w:rsid w:val="009E46CE"/>
    <w:rsid w:val="009E7BD4"/>
    <w:rsid w:val="009F1034"/>
    <w:rsid w:val="009F15E9"/>
    <w:rsid w:val="009F2633"/>
    <w:rsid w:val="009F565B"/>
    <w:rsid w:val="009F6443"/>
    <w:rsid w:val="009F77AE"/>
    <w:rsid w:val="00A01C0B"/>
    <w:rsid w:val="00A020EA"/>
    <w:rsid w:val="00A02A14"/>
    <w:rsid w:val="00A02CA7"/>
    <w:rsid w:val="00A03BBD"/>
    <w:rsid w:val="00A0620A"/>
    <w:rsid w:val="00A06F66"/>
    <w:rsid w:val="00A10D5D"/>
    <w:rsid w:val="00A12885"/>
    <w:rsid w:val="00A13A2E"/>
    <w:rsid w:val="00A15165"/>
    <w:rsid w:val="00A233D0"/>
    <w:rsid w:val="00A24727"/>
    <w:rsid w:val="00A26A02"/>
    <w:rsid w:val="00A32823"/>
    <w:rsid w:val="00A3450F"/>
    <w:rsid w:val="00A4539D"/>
    <w:rsid w:val="00A4586F"/>
    <w:rsid w:val="00A45BBA"/>
    <w:rsid w:val="00A466EB"/>
    <w:rsid w:val="00A53A45"/>
    <w:rsid w:val="00A53A6E"/>
    <w:rsid w:val="00A54E12"/>
    <w:rsid w:val="00A57944"/>
    <w:rsid w:val="00A57C51"/>
    <w:rsid w:val="00A60814"/>
    <w:rsid w:val="00A60B9A"/>
    <w:rsid w:val="00A629A9"/>
    <w:rsid w:val="00A646DE"/>
    <w:rsid w:val="00A66036"/>
    <w:rsid w:val="00A678B0"/>
    <w:rsid w:val="00A67E2A"/>
    <w:rsid w:val="00A717E9"/>
    <w:rsid w:val="00A718BC"/>
    <w:rsid w:val="00A72337"/>
    <w:rsid w:val="00A802F9"/>
    <w:rsid w:val="00A84932"/>
    <w:rsid w:val="00A900F5"/>
    <w:rsid w:val="00A916A4"/>
    <w:rsid w:val="00A92513"/>
    <w:rsid w:val="00A9456B"/>
    <w:rsid w:val="00AA3C33"/>
    <w:rsid w:val="00AA3EC8"/>
    <w:rsid w:val="00AA5221"/>
    <w:rsid w:val="00AA557C"/>
    <w:rsid w:val="00AA6C0C"/>
    <w:rsid w:val="00AB43C7"/>
    <w:rsid w:val="00AB49D8"/>
    <w:rsid w:val="00AB5099"/>
    <w:rsid w:val="00AB6C5E"/>
    <w:rsid w:val="00AB7CFA"/>
    <w:rsid w:val="00AC16EF"/>
    <w:rsid w:val="00AC1AE2"/>
    <w:rsid w:val="00AC2E02"/>
    <w:rsid w:val="00AC3DF1"/>
    <w:rsid w:val="00AC5433"/>
    <w:rsid w:val="00AC5933"/>
    <w:rsid w:val="00AD63F7"/>
    <w:rsid w:val="00AE11FD"/>
    <w:rsid w:val="00AE172C"/>
    <w:rsid w:val="00AE3981"/>
    <w:rsid w:val="00AE614A"/>
    <w:rsid w:val="00AF0941"/>
    <w:rsid w:val="00AF1636"/>
    <w:rsid w:val="00AF16E9"/>
    <w:rsid w:val="00AF25F7"/>
    <w:rsid w:val="00AF35FD"/>
    <w:rsid w:val="00AF5DA1"/>
    <w:rsid w:val="00AF7025"/>
    <w:rsid w:val="00B00AAE"/>
    <w:rsid w:val="00B02E1D"/>
    <w:rsid w:val="00B02F10"/>
    <w:rsid w:val="00B050AB"/>
    <w:rsid w:val="00B050E9"/>
    <w:rsid w:val="00B057B4"/>
    <w:rsid w:val="00B057C9"/>
    <w:rsid w:val="00B075E7"/>
    <w:rsid w:val="00B12B3A"/>
    <w:rsid w:val="00B139EC"/>
    <w:rsid w:val="00B14859"/>
    <w:rsid w:val="00B150DA"/>
    <w:rsid w:val="00B16840"/>
    <w:rsid w:val="00B274C2"/>
    <w:rsid w:val="00B325F3"/>
    <w:rsid w:val="00B37FC1"/>
    <w:rsid w:val="00B40188"/>
    <w:rsid w:val="00B4269F"/>
    <w:rsid w:val="00B42AD1"/>
    <w:rsid w:val="00B42D7E"/>
    <w:rsid w:val="00B430C7"/>
    <w:rsid w:val="00B4389E"/>
    <w:rsid w:val="00B52049"/>
    <w:rsid w:val="00B52696"/>
    <w:rsid w:val="00B55084"/>
    <w:rsid w:val="00B5790B"/>
    <w:rsid w:val="00B625CB"/>
    <w:rsid w:val="00B64432"/>
    <w:rsid w:val="00B65DAC"/>
    <w:rsid w:val="00B66421"/>
    <w:rsid w:val="00B66753"/>
    <w:rsid w:val="00B72B50"/>
    <w:rsid w:val="00B77420"/>
    <w:rsid w:val="00B804A9"/>
    <w:rsid w:val="00B81732"/>
    <w:rsid w:val="00B93881"/>
    <w:rsid w:val="00B94345"/>
    <w:rsid w:val="00B94F5C"/>
    <w:rsid w:val="00B9709D"/>
    <w:rsid w:val="00BA0BE8"/>
    <w:rsid w:val="00BA0FD9"/>
    <w:rsid w:val="00BA255D"/>
    <w:rsid w:val="00BA43CC"/>
    <w:rsid w:val="00BA6BF8"/>
    <w:rsid w:val="00BA6F6E"/>
    <w:rsid w:val="00BA7A09"/>
    <w:rsid w:val="00BB3905"/>
    <w:rsid w:val="00BB535A"/>
    <w:rsid w:val="00BB5853"/>
    <w:rsid w:val="00BB6302"/>
    <w:rsid w:val="00BB667E"/>
    <w:rsid w:val="00BB683C"/>
    <w:rsid w:val="00BC00DF"/>
    <w:rsid w:val="00BC1ECE"/>
    <w:rsid w:val="00BC228A"/>
    <w:rsid w:val="00BC307E"/>
    <w:rsid w:val="00BC4953"/>
    <w:rsid w:val="00BC63F8"/>
    <w:rsid w:val="00BD0A58"/>
    <w:rsid w:val="00BD25B8"/>
    <w:rsid w:val="00BD6F27"/>
    <w:rsid w:val="00BE0BD4"/>
    <w:rsid w:val="00BE2AA2"/>
    <w:rsid w:val="00BE4148"/>
    <w:rsid w:val="00BE636E"/>
    <w:rsid w:val="00BF27C0"/>
    <w:rsid w:val="00BF3C60"/>
    <w:rsid w:val="00BF59F6"/>
    <w:rsid w:val="00BF5C20"/>
    <w:rsid w:val="00BF6BF2"/>
    <w:rsid w:val="00C00175"/>
    <w:rsid w:val="00C00821"/>
    <w:rsid w:val="00C00988"/>
    <w:rsid w:val="00C00DFF"/>
    <w:rsid w:val="00C00E1E"/>
    <w:rsid w:val="00C06292"/>
    <w:rsid w:val="00C1056F"/>
    <w:rsid w:val="00C14BCD"/>
    <w:rsid w:val="00C17B11"/>
    <w:rsid w:val="00C23A36"/>
    <w:rsid w:val="00C23D38"/>
    <w:rsid w:val="00C249FA"/>
    <w:rsid w:val="00C26BEC"/>
    <w:rsid w:val="00C27A4F"/>
    <w:rsid w:val="00C30F33"/>
    <w:rsid w:val="00C314EA"/>
    <w:rsid w:val="00C339FD"/>
    <w:rsid w:val="00C34E79"/>
    <w:rsid w:val="00C34F92"/>
    <w:rsid w:val="00C3771F"/>
    <w:rsid w:val="00C37C35"/>
    <w:rsid w:val="00C40448"/>
    <w:rsid w:val="00C4162D"/>
    <w:rsid w:val="00C42F36"/>
    <w:rsid w:val="00C43433"/>
    <w:rsid w:val="00C45299"/>
    <w:rsid w:val="00C47624"/>
    <w:rsid w:val="00C50C39"/>
    <w:rsid w:val="00C53094"/>
    <w:rsid w:val="00C54990"/>
    <w:rsid w:val="00C561C9"/>
    <w:rsid w:val="00C56811"/>
    <w:rsid w:val="00C56D4B"/>
    <w:rsid w:val="00C575A7"/>
    <w:rsid w:val="00C63743"/>
    <w:rsid w:val="00C648E5"/>
    <w:rsid w:val="00C65ACA"/>
    <w:rsid w:val="00C66A63"/>
    <w:rsid w:val="00C67D2C"/>
    <w:rsid w:val="00C7142D"/>
    <w:rsid w:val="00C742A8"/>
    <w:rsid w:val="00C7610D"/>
    <w:rsid w:val="00C765B4"/>
    <w:rsid w:val="00C768EC"/>
    <w:rsid w:val="00C8168F"/>
    <w:rsid w:val="00C81695"/>
    <w:rsid w:val="00C81AF9"/>
    <w:rsid w:val="00C83D44"/>
    <w:rsid w:val="00C871CF"/>
    <w:rsid w:val="00C93752"/>
    <w:rsid w:val="00C93D3C"/>
    <w:rsid w:val="00C96D24"/>
    <w:rsid w:val="00C978B6"/>
    <w:rsid w:val="00CA3FE2"/>
    <w:rsid w:val="00CA4492"/>
    <w:rsid w:val="00CA4EB3"/>
    <w:rsid w:val="00CA6CDA"/>
    <w:rsid w:val="00CB1670"/>
    <w:rsid w:val="00CB3457"/>
    <w:rsid w:val="00CB37BF"/>
    <w:rsid w:val="00CB5CFF"/>
    <w:rsid w:val="00CC4F04"/>
    <w:rsid w:val="00CC650A"/>
    <w:rsid w:val="00CC65FE"/>
    <w:rsid w:val="00CC7C55"/>
    <w:rsid w:val="00CD051A"/>
    <w:rsid w:val="00CD21AD"/>
    <w:rsid w:val="00CD2A22"/>
    <w:rsid w:val="00CD2DCA"/>
    <w:rsid w:val="00CD318C"/>
    <w:rsid w:val="00CD35F0"/>
    <w:rsid w:val="00CD37B3"/>
    <w:rsid w:val="00CD6574"/>
    <w:rsid w:val="00CD6A70"/>
    <w:rsid w:val="00CE2E8E"/>
    <w:rsid w:val="00CE5AB9"/>
    <w:rsid w:val="00CE63B3"/>
    <w:rsid w:val="00CE6941"/>
    <w:rsid w:val="00CE7C47"/>
    <w:rsid w:val="00D000CE"/>
    <w:rsid w:val="00D018C7"/>
    <w:rsid w:val="00D0243B"/>
    <w:rsid w:val="00D0567B"/>
    <w:rsid w:val="00D07F4C"/>
    <w:rsid w:val="00D10103"/>
    <w:rsid w:val="00D1078D"/>
    <w:rsid w:val="00D1357B"/>
    <w:rsid w:val="00D20866"/>
    <w:rsid w:val="00D219D3"/>
    <w:rsid w:val="00D24BC0"/>
    <w:rsid w:val="00D2644C"/>
    <w:rsid w:val="00D2759E"/>
    <w:rsid w:val="00D311CA"/>
    <w:rsid w:val="00D3131A"/>
    <w:rsid w:val="00D33D20"/>
    <w:rsid w:val="00D35084"/>
    <w:rsid w:val="00D3523E"/>
    <w:rsid w:val="00D365D2"/>
    <w:rsid w:val="00D365FF"/>
    <w:rsid w:val="00D36E81"/>
    <w:rsid w:val="00D37510"/>
    <w:rsid w:val="00D37E15"/>
    <w:rsid w:val="00D41E92"/>
    <w:rsid w:val="00D45D6F"/>
    <w:rsid w:val="00D4791F"/>
    <w:rsid w:val="00D529BF"/>
    <w:rsid w:val="00D52A8F"/>
    <w:rsid w:val="00D52FD3"/>
    <w:rsid w:val="00D551B2"/>
    <w:rsid w:val="00D55523"/>
    <w:rsid w:val="00D55C29"/>
    <w:rsid w:val="00D57D3E"/>
    <w:rsid w:val="00D60EB7"/>
    <w:rsid w:val="00D610AD"/>
    <w:rsid w:val="00D71439"/>
    <w:rsid w:val="00D7185D"/>
    <w:rsid w:val="00D74CC9"/>
    <w:rsid w:val="00D772CF"/>
    <w:rsid w:val="00D77F71"/>
    <w:rsid w:val="00D8174D"/>
    <w:rsid w:val="00D82C15"/>
    <w:rsid w:val="00D83556"/>
    <w:rsid w:val="00D86FAE"/>
    <w:rsid w:val="00D925DE"/>
    <w:rsid w:val="00D92E17"/>
    <w:rsid w:val="00D93025"/>
    <w:rsid w:val="00D93639"/>
    <w:rsid w:val="00D946FD"/>
    <w:rsid w:val="00D95C42"/>
    <w:rsid w:val="00D9797E"/>
    <w:rsid w:val="00DA0FFF"/>
    <w:rsid w:val="00DA16C3"/>
    <w:rsid w:val="00DA1C60"/>
    <w:rsid w:val="00DA324A"/>
    <w:rsid w:val="00DA7CAC"/>
    <w:rsid w:val="00DB36E6"/>
    <w:rsid w:val="00DB4C12"/>
    <w:rsid w:val="00DB6210"/>
    <w:rsid w:val="00DC07E5"/>
    <w:rsid w:val="00DC5970"/>
    <w:rsid w:val="00DC72A7"/>
    <w:rsid w:val="00DD1107"/>
    <w:rsid w:val="00DD2CAB"/>
    <w:rsid w:val="00DD46C3"/>
    <w:rsid w:val="00DD7FEB"/>
    <w:rsid w:val="00DE21DA"/>
    <w:rsid w:val="00DE491F"/>
    <w:rsid w:val="00DE5543"/>
    <w:rsid w:val="00DE5BD4"/>
    <w:rsid w:val="00DE6E72"/>
    <w:rsid w:val="00DE70CA"/>
    <w:rsid w:val="00DF0556"/>
    <w:rsid w:val="00DF05B4"/>
    <w:rsid w:val="00DF0EF8"/>
    <w:rsid w:val="00DF21AE"/>
    <w:rsid w:val="00DF3D72"/>
    <w:rsid w:val="00DF3F6A"/>
    <w:rsid w:val="00DF5B3F"/>
    <w:rsid w:val="00DF5C3F"/>
    <w:rsid w:val="00DF6B10"/>
    <w:rsid w:val="00DF7FA7"/>
    <w:rsid w:val="00E02296"/>
    <w:rsid w:val="00E03265"/>
    <w:rsid w:val="00E04D04"/>
    <w:rsid w:val="00E07C73"/>
    <w:rsid w:val="00E10212"/>
    <w:rsid w:val="00E1059F"/>
    <w:rsid w:val="00E13091"/>
    <w:rsid w:val="00E13BBE"/>
    <w:rsid w:val="00E21951"/>
    <w:rsid w:val="00E24C65"/>
    <w:rsid w:val="00E26516"/>
    <w:rsid w:val="00E31CA8"/>
    <w:rsid w:val="00E330ED"/>
    <w:rsid w:val="00E3354B"/>
    <w:rsid w:val="00E356A7"/>
    <w:rsid w:val="00E36B3E"/>
    <w:rsid w:val="00E37D22"/>
    <w:rsid w:val="00E37D6A"/>
    <w:rsid w:val="00E40C2D"/>
    <w:rsid w:val="00E40CC3"/>
    <w:rsid w:val="00E417B2"/>
    <w:rsid w:val="00E43443"/>
    <w:rsid w:val="00E43DDB"/>
    <w:rsid w:val="00E4481E"/>
    <w:rsid w:val="00E465E2"/>
    <w:rsid w:val="00E50352"/>
    <w:rsid w:val="00E53118"/>
    <w:rsid w:val="00E531EA"/>
    <w:rsid w:val="00E55C48"/>
    <w:rsid w:val="00E56A10"/>
    <w:rsid w:val="00E604A2"/>
    <w:rsid w:val="00E63104"/>
    <w:rsid w:val="00E63E78"/>
    <w:rsid w:val="00E6496B"/>
    <w:rsid w:val="00E650EC"/>
    <w:rsid w:val="00E660BF"/>
    <w:rsid w:val="00E715A9"/>
    <w:rsid w:val="00E71D6F"/>
    <w:rsid w:val="00E724ED"/>
    <w:rsid w:val="00E771B9"/>
    <w:rsid w:val="00E81BCB"/>
    <w:rsid w:val="00E82365"/>
    <w:rsid w:val="00E82966"/>
    <w:rsid w:val="00E90BD3"/>
    <w:rsid w:val="00E97AA8"/>
    <w:rsid w:val="00E97AB2"/>
    <w:rsid w:val="00EA0C70"/>
    <w:rsid w:val="00EA5450"/>
    <w:rsid w:val="00EA5FC5"/>
    <w:rsid w:val="00EA71B8"/>
    <w:rsid w:val="00EB129C"/>
    <w:rsid w:val="00EB1362"/>
    <w:rsid w:val="00EB29D1"/>
    <w:rsid w:val="00EB3B0D"/>
    <w:rsid w:val="00EB424D"/>
    <w:rsid w:val="00EB6969"/>
    <w:rsid w:val="00EB7C0C"/>
    <w:rsid w:val="00EC033C"/>
    <w:rsid w:val="00EC0388"/>
    <w:rsid w:val="00EC06DD"/>
    <w:rsid w:val="00EC0C04"/>
    <w:rsid w:val="00EC111B"/>
    <w:rsid w:val="00EC31D8"/>
    <w:rsid w:val="00EC42CC"/>
    <w:rsid w:val="00EC64AE"/>
    <w:rsid w:val="00EC7DBA"/>
    <w:rsid w:val="00EC7FAB"/>
    <w:rsid w:val="00ED2042"/>
    <w:rsid w:val="00ED2CCA"/>
    <w:rsid w:val="00ED3834"/>
    <w:rsid w:val="00ED75C3"/>
    <w:rsid w:val="00EE5306"/>
    <w:rsid w:val="00EE742A"/>
    <w:rsid w:val="00EF0228"/>
    <w:rsid w:val="00EF184C"/>
    <w:rsid w:val="00EF3076"/>
    <w:rsid w:val="00EF3D7B"/>
    <w:rsid w:val="00EF5B8F"/>
    <w:rsid w:val="00EF66FE"/>
    <w:rsid w:val="00F00815"/>
    <w:rsid w:val="00F01672"/>
    <w:rsid w:val="00F02007"/>
    <w:rsid w:val="00F03CD4"/>
    <w:rsid w:val="00F101F5"/>
    <w:rsid w:val="00F11CA0"/>
    <w:rsid w:val="00F11F69"/>
    <w:rsid w:val="00F132D0"/>
    <w:rsid w:val="00F16F98"/>
    <w:rsid w:val="00F17DF1"/>
    <w:rsid w:val="00F2058D"/>
    <w:rsid w:val="00F2098A"/>
    <w:rsid w:val="00F21370"/>
    <w:rsid w:val="00F21452"/>
    <w:rsid w:val="00F21C26"/>
    <w:rsid w:val="00F2393F"/>
    <w:rsid w:val="00F24B50"/>
    <w:rsid w:val="00F2536F"/>
    <w:rsid w:val="00F3486A"/>
    <w:rsid w:val="00F35587"/>
    <w:rsid w:val="00F45B7F"/>
    <w:rsid w:val="00F46D43"/>
    <w:rsid w:val="00F5145C"/>
    <w:rsid w:val="00F53C66"/>
    <w:rsid w:val="00F627C6"/>
    <w:rsid w:val="00F62899"/>
    <w:rsid w:val="00F65810"/>
    <w:rsid w:val="00F732A2"/>
    <w:rsid w:val="00F80EC4"/>
    <w:rsid w:val="00F84983"/>
    <w:rsid w:val="00F86FC6"/>
    <w:rsid w:val="00F87E72"/>
    <w:rsid w:val="00F93455"/>
    <w:rsid w:val="00F9370B"/>
    <w:rsid w:val="00F94F33"/>
    <w:rsid w:val="00F95D7B"/>
    <w:rsid w:val="00F96B4B"/>
    <w:rsid w:val="00F96EB2"/>
    <w:rsid w:val="00FA0D44"/>
    <w:rsid w:val="00FA3228"/>
    <w:rsid w:val="00FA3265"/>
    <w:rsid w:val="00FA5283"/>
    <w:rsid w:val="00FA79E9"/>
    <w:rsid w:val="00FA7F34"/>
    <w:rsid w:val="00FB0CDA"/>
    <w:rsid w:val="00FB3239"/>
    <w:rsid w:val="00FB4063"/>
    <w:rsid w:val="00FB478E"/>
    <w:rsid w:val="00FB54DF"/>
    <w:rsid w:val="00FC1A22"/>
    <w:rsid w:val="00FC60E3"/>
    <w:rsid w:val="00FC6285"/>
    <w:rsid w:val="00FC78E2"/>
    <w:rsid w:val="00FC79FF"/>
    <w:rsid w:val="00FD116D"/>
    <w:rsid w:val="00FD19AC"/>
    <w:rsid w:val="00FD3974"/>
    <w:rsid w:val="00FD418E"/>
    <w:rsid w:val="00FD5469"/>
    <w:rsid w:val="00FF098D"/>
    <w:rsid w:val="00FF1A2E"/>
    <w:rsid w:val="00FF4E6F"/>
    <w:rsid w:val="00FF67F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link w:val="Zkladntext3Char"/>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qFormat/>
    <w:rsid w:val="00826CE5"/>
    <w:pPr>
      <w:jc w:val="both"/>
    </w:pPr>
    <w:rPr>
      <w:rFonts w:ascii="Calibri" w:eastAsia="Calibri" w:hAnsi="Calibri"/>
      <w:sz w:val="22"/>
      <w:szCs w:val="22"/>
      <w:lang w:val="sk-SK" w:eastAsia="en-US" w:bidi="ar-SA"/>
    </w:rPr>
  </w:style>
  <w:style w:type="paragraph" w:styleId="ListParagraph">
    <w:name w:val="List Paragraph"/>
    <w:basedOn w:val="Normal"/>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 w:type="character" w:customStyle="1" w:styleId="Zkladntext3Char">
    <w:name w:val="Základný text 3 Char"/>
    <w:link w:val="BodyText3"/>
    <w:rsid w:val="00C00821"/>
    <w:rPr>
      <w:sz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TotalTime>
  <Pages>10</Pages>
  <Words>3272</Words>
  <Characters>18654</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21883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4</cp:revision>
  <cp:lastPrinted>2012-11-26T08:31:00Z</cp:lastPrinted>
  <dcterms:created xsi:type="dcterms:W3CDTF">2014-11-20T13:00:00Z</dcterms:created>
  <dcterms:modified xsi:type="dcterms:W3CDTF">2014-11-24T15:12:00Z</dcterms:modified>
</cp:coreProperties>
</file>