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E5367">
        <w:rPr>
          <w:sz w:val="22"/>
          <w:szCs w:val="22"/>
        </w:rPr>
        <w:t>2199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E536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E5367">
        <w:t>1302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E5367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E536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E536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EE5367">
        <w:rPr>
          <w:rFonts w:cs="Arial"/>
          <w:szCs w:val="22"/>
        </w:rPr>
        <w:t>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 dopĺňa </w:t>
      </w:r>
      <w:r w:rsidR="00EE5367">
        <w:rPr>
          <w:rFonts w:cs="Arial"/>
          <w:szCs w:val="22"/>
        </w:rPr>
        <w:t xml:space="preserve">zákon č. 85/2005 Z. z. o politických stranách a politických hnutiach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E5367">
        <w:rPr>
          <w:rFonts w:cs="Arial"/>
          <w:szCs w:val="22"/>
        </w:rPr>
        <w:t>1298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E5367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E536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E536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E536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E5367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16B4D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87210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E536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177</Words>
  <Characters>1014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2014-11-08T15:07:00Z</cp:lastPrinted>
  <dcterms:created xsi:type="dcterms:W3CDTF">2014-11-12T13:38:00Z</dcterms:created>
  <dcterms:modified xsi:type="dcterms:W3CDTF">2014-11-12T13:38:00Z</dcterms:modified>
</cp:coreProperties>
</file>