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1023">
        <w:rPr>
          <w:sz w:val="22"/>
          <w:szCs w:val="22"/>
        </w:rPr>
        <w:t>2180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6A102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A1023">
        <w:t>1298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A1023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A1023">
        <w:rPr>
          <w:rFonts w:cs="Arial"/>
          <w:szCs w:val="22"/>
        </w:rPr>
        <w:t>Jozefa VISKUPIČA a Lucie NICHOLSONOVEJ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A1023">
        <w:rPr>
          <w:rFonts w:cs="Arial"/>
          <w:szCs w:val="22"/>
        </w:rPr>
        <w:t>zákon č. 657/2004 Z. z. o tepelnej energetike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1023">
        <w:rPr>
          <w:rFonts w:cs="Arial"/>
          <w:szCs w:val="22"/>
        </w:rPr>
        <w:t>1293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1023">
        <w:rPr>
          <w:rFonts w:cs="Arial"/>
          <w:szCs w:val="22"/>
        </w:rPr>
        <w:t>6.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A102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A102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A1023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A102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43C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A1023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B04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2014-11-08T14:50:00Z</cp:lastPrinted>
  <dcterms:created xsi:type="dcterms:W3CDTF">2014-11-12T13:36:00Z</dcterms:created>
  <dcterms:modified xsi:type="dcterms:W3CDTF">2014-11-12T13:36:00Z</dcterms:modified>
</cp:coreProperties>
</file>