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RPr="00F345D2" w:rsidP="001E1F77">
      <w:pPr>
        <w:bidi w:val="0"/>
        <w:jc w:val="both"/>
        <w:rPr>
          <w:rFonts w:ascii="Times New Roman" w:hAnsi="Times New Roman"/>
        </w:rPr>
      </w:pPr>
    </w:p>
    <w:p w:rsidR="001E1F77" w:rsidRPr="00CA5E2C" w:rsidP="001E1F77">
      <w:pPr>
        <w:bidi w:val="0"/>
        <w:jc w:val="center"/>
        <w:rPr>
          <w:rFonts w:ascii="Times New Roman" w:hAnsi="Times New Roman"/>
          <w:b/>
          <w:bCs/>
          <w:sz w:val="28"/>
          <w:szCs w:val="28"/>
        </w:rPr>
      </w:pPr>
      <w:r w:rsidRPr="00CA5E2C">
        <w:rPr>
          <w:rFonts w:ascii="Times New Roman" w:hAnsi="Times New Roman"/>
          <w:b/>
          <w:bCs/>
          <w:sz w:val="28"/>
          <w:szCs w:val="28"/>
        </w:rPr>
        <w:t xml:space="preserve">Dôvodová správa </w:t>
      </w:r>
    </w:p>
    <w:p w:rsidR="001E1F77" w:rsidRPr="00CA5E2C" w:rsidP="001E1F77">
      <w:pPr>
        <w:bidi w:val="0"/>
        <w:jc w:val="center"/>
        <w:rPr>
          <w:rFonts w:ascii="Times New Roman" w:hAnsi="Times New Roman"/>
          <w:b/>
          <w:bCs/>
          <w:sz w:val="28"/>
          <w:szCs w:val="28"/>
        </w:rPr>
      </w:pPr>
    </w:p>
    <w:p w:rsidR="001E1F77" w:rsidRPr="00CA5E2C" w:rsidP="001E1F77">
      <w:pPr>
        <w:bidi w:val="0"/>
        <w:jc w:val="center"/>
        <w:rPr>
          <w:rFonts w:ascii="Times New Roman" w:hAnsi="Times New Roman"/>
          <w:b/>
          <w:bCs/>
          <w:sz w:val="28"/>
          <w:szCs w:val="28"/>
        </w:rPr>
      </w:pPr>
    </w:p>
    <w:p w:rsidR="001E1F77" w:rsidRPr="000818A3" w:rsidP="001E1F77">
      <w:pPr>
        <w:bidi w:val="0"/>
        <w:jc w:val="both"/>
        <w:rPr>
          <w:rFonts w:ascii="Times New Roman" w:hAnsi="Times New Roman"/>
          <w:b/>
          <w:bCs/>
          <w:u w:val="single"/>
        </w:rPr>
      </w:pPr>
      <w:r w:rsidRPr="000818A3" w:rsidR="00544D26">
        <w:rPr>
          <w:rFonts w:ascii="Times New Roman" w:hAnsi="Times New Roman"/>
          <w:b/>
          <w:bCs/>
          <w:u w:val="single"/>
        </w:rPr>
        <w:t xml:space="preserve">A. </w:t>
      </w:r>
      <w:r w:rsidRPr="000818A3">
        <w:rPr>
          <w:rFonts w:ascii="Times New Roman" w:hAnsi="Times New Roman"/>
          <w:b/>
          <w:bCs/>
          <w:u w:val="single"/>
        </w:rPr>
        <w:t>Všeobecná časť</w:t>
      </w:r>
    </w:p>
    <w:p w:rsidR="001E1F77" w:rsidRPr="000818A3" w:rsidP="001E1F77">
      <w:pPr>
        <w:bidi w:val="0"/>
        <w:jc w:val="both"/>
        <w:rPr>
          <w:rFonts w:ascii="Times New Roman" w:hAnsi="Times New Roman"/>
        </w:rPr>
      </w:pPr>
    </w:p>
    <w:p w:rsidR="00CA5E2C" w:rsidP="001E1F77">
      <w:pPr>
        <w:bidi w:val="0"/>
        <w:jc w:val="both"/>
        <w:rPr>
          <w:rFonts w:ascii="Times New Roman" w:hAnsi="Times New Roman"/>
        </w:rPr>
      </w:pPr>
      <w:r w:rsidRPr="000818A3" w:rsidR="000818A3">
        <w:rPr>
          <w:rFonts w:ascii="Times New Roman" w:hAnsi="Times New Roman"/>
        </w:rPr>
        <w:tab/>
      </w:r>
      <w:r w:rsidR="006A4AE9">
        <w:rPr>
          <w:rFonts w:ascii="Times New Roman" w:hAnsi="Times New Roman"/>
        </w:rPr>
        <w:t>Zámerom predkladanej novely</w:t>
      </w:r>
      <w:r w:rsidR="000818A3">
        <w:rPr>
          <w:rFonts w:ascii="Times New Roman" w:hAnsi="Times New Roman"/>
        </w:rPr>
        <w:t xml:space="preserve"> zákona o politických stranách a politických </w:t>
      </w:r>
      <w:r w:rsidR="006A4AE9">
        <w:rPr>
          <w:rFonts w:ascii="Times New Roman" w:hAnsi="Times New Roman"/>
        </w:rPr>
        <w:t>hnutiach</w:t>
      </w:r>
      <w:r w:rsidR="000818A3">
        <w:rPr>
          <w:rFonts w:ascii="Times New Roman" w:hAnsi="Times New Roman"/>
        </w:rPr>
        <w:t xml:space="preserve"> </w:t>
      </w:r>
      <w:r w:rsidR="006A4AE9">
        <w:rPr>
          <w:rFonts w:ascii="Times New Roman" w:hAnsi="Times New Roman"/>
        </w:rPr>
        <w:t>je</w:t>
      </w:r>
      <w:r w:rsidR="000818A3">
        <w:rPr>
          <w:rFonts w:ascii="Times New Roman" w:hAnsi="Times New Roman"/>
        </w:rPr>
        <w:t xml:space="preserve"> </w:t>
      </w:r>
      <w:r w:rsidR="00BE61F2">
        <w:rPr>
          <w:rFonts w:ascii="Times New Roman" w:hAnsi="Times New Roman"/>
        </w:rPr>
        <w:t xml:space="preserve">opraviť </w:t>
      </w:r>
      <w:r w:rsidR="006A4AE9">
        <w:rPr>
          <w:rFonts w:ascii="Times New Roman" w:hAnsi="Times New Roman"/>
        </w:rPr>
        <w:t>chybu</w:t>
      </w:r>
      <w:r w:rsidR="000818A3">
        <w:rPr>
          <w:rFonts w:ascii="Times New Roman" w:hAnsi="Times New Roman"/>
        </w:rPr>
        <w:t xml:space="preserve">, ktorá sa do zákona dostala pri schvaľovaní zákona č. 181/2014 Z. z. </w:t>
      </w:r>
      <w:r w:rsidRPr="000818A3" w:rsidR="000818A3">
        <w:rPr>
          <w:rFonts w:ascii="Times New Roman" w:hAnsi="Times New Roman"/>
        </w:rPr>
        <w:t>o volebnej kampani a o zmene a doplnení zákona č. 85/2005 Z. z. o politických stranách a politických hnutiach v znení neskorších predpisov</w:t>
      </w:r>
      <w:r w:rsidR="000818A3">
        <w:rPr>
          <w:rFonts w:ascii="Times New Roman" w:hAnsi="Times New Roman"/>
        </w:rPr>
        <w:t>. V dôsledku tejto chyby vznikla politickým stranám povinnosť uvádzať vo výročnej správe za rok 2014 mená, priezviská a adresy trvalého pobytu všetkých svojich členov, ktorí v priebehu roku 2014 zaplatili členský príspevok bez ohľadu na jeho výšku. Takéto riešenie evidentne nezodpovedná úmyslu zákonodarcu, ale dostalo sa do zákona len v dôsledku chyby pri schvaľovaní novely zákona.</w:t>
      </w:r>
    </w:p>
    <w:p w:rsidR="000818A3" w:rsidP="001E1F77">
      <w:pPr>
        <w:bidi w:val="0"/>
        <w:jc w:val="both"/>
        <w:rPr>
          <w:rFonts w:ascii="Times New Roman" w:hAnsi="Times New Roman"/>
        </w:rPr>
      </w:pPr>
      <w:r>
        <w:rPr>
          <w:rFonts w:ascii="Times New Roman" w:hAnsi="Times New Roman"/>
        </w:rPr>
        <w:tab/>
      </w:r>
      <w:r w:rsidR="00D34BBB">
        <w:rPr>
          <w:rFonts w:ascii="Times New Roman" w:hAnsi="Times New Roman"/>
        </w:rPr>
        <w:t xml:space="preserve">Zákon č. 181/2014 Z. z. bol schválený 29.5.2014 a nadobudol účinnosť dňom vyhlásenia, čiže 26.6.2014, pričom </w:t>
      </w:r>
      <w:r w:rsidR="00BE61F2">
        <w:rPr>
          <w:rFonts w:ascii="Times New Roman" w:hAnsi="Times New Roman"/>
        </w:rPr>
        <w:t>viaceré</w:t>
      </w:r>
      <w:r w:rsidR="00D34BBB">
        <w:rPr>
          <w:rFonts w:ascii="Times New Roman" w:hAnsi="Times New Roman"/>
        </w:rPr>
        <w:t xml:space="preserve"> jeho ustanovenia nadobudnú účinnosť až 1.7.2015. Zákon o politických stranách a politických hnutiach v znení </w:t>
      </w:r>
      <w:r w:rsidR="00BE61F2">
        <w:rPr>
          <w:rFonts w:ascii="Times New Roman" w:hAnsi="Times New Roman"/>
        </w:rPr>
        <w:t>účinnom do 25.6.2</w:t>
      </w:r>
      <w:r w:rsidR="00D34BBB">
        <w:rPr>
          <w:rFonts w:ascii="Times New Roman" w:hAnsi="Times New Roman"/>
        </w:rPr>
        <w:t xml:space="preserve">014 ukladal </w:t>
      </w:r>
      <w:r w:rsidRPr="00D34BBB" w:rsidR="00D34BBB">
        <w:rPr>
          <w:rFonts w:ascii="Times New Roman" w:hAnsi="Times New Roman"/>
        </w:rPr>
        <w:t xml:space="preserve">v § 30 ods. 2 písm. j) </w:t>
      </w:r>
      <w:r w:rsidR="00D34BBB">
        <w:rPr>
          <w:rFonts w:ascii="Times New Roman" w:hAnsi="Times New Roman"/>
        </w:rPr>
        <w:t xml:space="preserve">politickým stranám povinnosť uvádzať vo výročnej správe predkladanej každoročne Národnej rade Slovenskej republiky </w:t>
      </w:r>
      <w:r w:rsidRPr="00D34BBB" w:rsidR="00D34BBB">
        <w:rPr>
          <w:rFonts w:ascii="Times New Roman" w:hAnsi="Times New Roman"/>
        </w:rPr>
        <w:t>„sumu vybraných členských príspevkov a osobitnú evidenciu členských príspevkov podľa § 22 ods. 4“</w:t>
      </w:r>
      <w:r w:rsidR="00D34BBB">
        <w:rPr>
          <w:rFonts w:ascii="Times New Roman" w:hAnsi="Times New Roman"/>
        </w:rPr>
        <w:t>. To znamenalo, že politické strany uvád</w:t>
      </w:r>
      <w:r w:rsidR="006A4AE9">
        <w:rPr>
          <w:rFonts w:ascii="Times New Roman" w:hAnsi="Times New Roman"/>
        </w:rPr>
        <w:t>zali vo výročnej správe informácie iba o tých členoch</w:t>
      </w:r>
      <w:r w:rsidR="00D34BBB">
        <w:rPr>
          <w:rFonts w:ascii="Times New Roman" w:hAnsi="Times New Roman"/>
        </w:rPr>
        <w:t xml:space="preserve">, ktorí v priebehu kalendárneho roka zaplatili členské príspevky vo výške minimálne 829 eur, pretože podľa § 22 ods. 4 mali povinnosť </w:t>
      </w:r>
      <w:r w:rsidRPr="00D34BBB" w:rsidR="00D34BBB">
        <w:rPr>
          <w:rFonts w:ascii="Times New Roman" w:hAnsi="Times New Roman"/>
        </w:rPr>
        <w:t>„viesť osobitnú evidenciu prijatých členských príspevkov vrátane mena a priezviska člena strany a adresy jeho trvalého pobytu, ak ide o člena, ktorého členský príspevok v úhrne v danom roku dosiahol 829 eur a viac“</w:t>
      </w:r>
      <w:r w:rsidR="00D34BBB">
        <w:rPr>
          <w:rFonts w:ascii="Times New Roman" w:hAnsi="Times New Roman"/>
        </w:rPr>
        <w:t xml:space="preserve">. </w:t>
      </w:r>
    </w:p>
    <w:p w:rsidR="00D34BBB" w:rsidP="001E1F77">
      <w:pPr>
        <w:bidi w:val="0"/>
        <w:jc w:val="both"/>
        <w:rPr>
          <w:rFonts w:ascii="Times New Roman" w:hAnsi="Times New Roman"/>
        </w:rPr>
      </w:pPr>
      <w:r>
        <w:rPr>
          <w:rFonts w:ascii="Times New Roman" w:hAnsi="Times New Roman"/>
        </w:rPr>
        <w:tab/>
        <w:t>Novela zákona o politických stranách a politických hnutiach obsiahnutá v zákone č. 181/2014 Z. z. ukladá politickým stranám povinnosť viesť osobitnú evidenciu o prijatých členských príspevkoch bez ohľadu na ich výšku. § 22 ods. 4 zákona v znení účinnom od 2</w:t>
      </w:r>
      <w:r w:rsidR="003B71F5">
        <w:rPr>
          <w:rFonts w:ascii="Times New Roman" w:hAnsi="Times New Roman"/>
        </w:rPr>
        <w:t>6.6.2014 znie: „</w:t>
      </w:r>
      <w:r w:rsidRPr="003B71F5" w:rsidR="003B71F5">
        <w:rPr>
          <w:rFonts w:ascii="Times New Roman" w:hAnsi="Times New Roman"/>
        </w:rPr>
        <w:t>Strana je povinná viesť osobitnú evidenciu prijatých členských príspevkov, ktorá obsahuje dátum prijatia členského príspevku, jeho výšku a údaje o členovi strany v rozsahu meno, priezvisko a adresa trvalého pobytu. Členský príspevok nad 100 eur môže strana prijať, len ak bol poukázaný formou bezhotovostnej platobnej operácie.“</w:t>
      </w:r>
      <w:r w:rsidR="003B71F5">
        <w:rPr>
          <w:rFonts w:ascii="Times New Roman" w:hAnsi="Times New Roman"/>
        </w:rPr>
        <w:t xml:space="preserve"> Zároveň však došlo aj k zmene § 30, ktorý upravuje náležitosti výročnej správy. Podľa nového znenia § 30 ods. 2 písm. j) výročná správa obsahuje „</w:t>
      </w:r>
      <w:r w:rsidRPr="003B71F5" w:rsidR="003B71F5">
        <w:rPr>
          <w:rFonts w:ascii="Times New Roman" w:hAnsi="Times New Roman"/>
        </w:rPr>
        <w:t>sumu vybraných členských príspevkov a osobitnú evidenciu členských príspevkov podľa § 22 ods. 4, ktorých suma príspevkov za účtovné obdobie bola vyššia, ako je dvojnásobok minimálnej mzdy pre zamestnanca odmeňovaného mesačnou mzdou, ktorá bude určen</w:t>
      </w:r>
      <w:r w:rsidR="003B71F5">
        <w:rPr>
          <w:rFonts w:ascii="Times New Roman" w:hAnsi="Times New Roman"/>
        </w:rPr>
        <w:t xml:space="preserve">á pre príslušné účtovné obdobie“.  Úmyslom zákonodarcu teda bolo </w:t>
      </w:r>
      <w:r w:rsidR="009A0672">
        <w:rPr>
          <w:rFonts w:ascii="Times New Roman" w:hAnsi="Times New Roman"/>
        </w:rPr>
        <w:t>zmeniť</w:t>
      </w:r>
      <w:r w:rsidR="003B71F5">
        <w:rPr>
          <w:rFonts w:ascii="Times New Roman" w:hAnsi="Times New Roman"/>
        </w:rPr>
        <w:t xml:space="preserve"> hranicu, od ktorej sa vo výročnej správe uvádzajú informácie o členoch, ktorí zaplatili členské príspevky</w:t>
      </w:r>
      <w:r w:rsidR="009A0672">
        <w:rPr>
          <w:rFonts w:ascii="Times New Roman" w:hAnsi="Times New Roman"/>
        </w:rPr>
        <w:t>, nie ju zrušiť</w:t>
      </w:r>
      <w:r w:rsidR="003B71F5">
        <w:rPr>
          <w:rFonts w:ascii="Times New Roman" w:hAnsi="Times New Roman"/>
        </w:rPr>
        <w:t>. Hranica 829 eur na člena a rok mala byť nahradená hranicou dvojnásobku mesačnej minimálnej mzdy. Avšak novelizačný bod, ktorým sa mení znenie § 30</w:t>
      </w:r>
      <w:r w:rsidR="00F936B6">
        <w:rPr>
          <w:rFonts w:ascii="Times New Roman" w:hAnsi="Times New Roman"/>
        </w:rPr>
        <w:t>,</w:t>
      </w:r>
      <w:r w:rsidR="003B71F5">
        <w:rPr>
          <w:rFonts w:ascii="Times New Roman" w:hAnsi="Times New Roman"/>
        </w:rPr>
        <w:t xml:space="preserve"> nadobudne účinnosť až 1. júla 201</w:t>
      </w:r>
      <w:r w:rsidR="00F936B6">
        <w:rPr>
          <w:rFonts w:ascii="Times New Roman" w:hAnsi="Times New Roman"/>
        </w:rPr>
        <w:t>5</w:t>
      </w:r>
      <w:r w:rsidR="003B71F5">
        <w:rPr>
          <w:rFonts w:ascii="Times New Roman" w:hAnsi="Times New Roman"/>
        </w:rPr>
        <w:t>. To znamená, že v znení zákona účinnom od 26.6.2014 do 30.6.201</w:t>
      </w:r>
      <w:r w:rsidR="00F936B6">
        <w:rPr>
          <w:rFonts w:ascii="Times New Roman" w:hAnsi="Times New Roman"/>
        </w:rPr>
        <w:t>5</w:t>
      </w:r>
      <w:r w:rsidR="003B71F5">
        <w:rPr>
          <w:rFonts w:ascii="Times New Roman" w:hAnsi="Times New Roman"/>
        </w:rPr>
        <w:t xml:space="preserve"> žiadna minimálna hranica pre výšku zaplateného členského neexistuje. Politické strany sú povinné predkladať výročnú správu každoročne najneskôr do 30. apríla kalendárneho roku. Vo vzťahu k výročnej správe za rok 2014, ktorú musia predložiť do 30. apríla 2015, by to znamenalo, že výročná správa politickej strany musí obsahovať mená, priezviská a adresy trvalého pobytu úplne všetkých členov, ktorí v kalendárnom r</w:t>
      </w:r>
      <w:r w:rsidR="009A0672">
        <w:rPr>
          <w:rFonts w:ascii="Times New Roman" w:hAnsi="Times New Roman"/>
        </w:rPr>
        <w:t>oku zaplatili členský príspevok</w:t>
      </w:r>
      <w:r w:rsidR="003B71F5">
        <w:rPr>
          <w:rFonts w:ascii="Times New Roman" w:hAnsi="Times New Roman"/>
        </w:rPr>
        <w:t xml:space="preserve"> bez ohľadu na jeho výšku.</w:t>
      </w:r>
    </w:p>
    <w:p w:rsidR="003B71F5" w:rsidP="001E1F77">
      <w:pPr>
        <w:bidi w:val="0"/>
        <w:jc w:val="both"/>
        <w:rPr>
          <w:rFonts w:ascii="Times New Roman" w:hAnsi="Times New Roman"/>
        </w:rPr>
      </w:pPr>
      <w:r>
        <w:rPr>
          <w:rFonts w:ascii="Times New Roman" w:hAnsi="Times New Roman"/>
        </w:rPr>
        <w:tab/>
        <w:t>Vzhľadom na to, že minimálna výška zaplateného členského príspevku na člena a rok je obsiahnutá v pôvodnom znení zákona a má platiť aj po 1. júli 2015, je zrejmé, že zrušenie tejto hranice pre obdobie od 26.6.2014 do 30.6.2015, a teda povinnosť politických strán uviesť vo výročn</w:t>
      </w:r>
      <w:r w:rsidR="00C826F0">
        <w:rPr>
          <w:rFonts w:ascii="Times New Roman" w:hAnsi="Times New Roman"/>
        </w:rPr>
        <w:t xml:space="preserve">ej správe za rok 2014 všetky zaplatené členské príspevky a údaje o členoch, ktorí ich zaplatili, bez ohľadu na ich výšku, nebola zámerom zákonodarcu a do zákona sa dostala len omylom súvisiacim s rozličným </w:t>
      </w:r>
      <w:r w:rsidR="009A0672">
        <w:rPr>
          <w:rFonts w:ascii="Times New Roman" w:hAnsi="Times New Roman"/>
        </w:rPr>
        <w:t>termínom</w:t>
      </w:r>
      <w:r w:rsidR="00C826F0">
        <w:rPr>
          <w:rFonts w:ascii="Times New Roman" w:hAnsi="Times New Roman"/>
        </w:rPr>
        <w:t xml:space="preserve"> účinnosti jednotlivých ustanovení novely zákona. Došlo k tomu pri schvaľovaní pozmeňujúcich návrhov zo spoločnej správy. Vládny návrh zákona o volebnej kampani predpokladal, že celý zákon nadobudne účinnosť v jeden deň. </w:t>
      </w:r>
    </w:p>
    <w:p w:rsidR="00EA2196" w:rsidP="001E1F77">
      <w:pPr>
        <w:bidi w:val="0"/>
        <w:jc w:val="both"/>
        <w:rPr>
          <w:rFonts w:ascii="Times New Roman" w:hAnsi="Times New Roman"/>
        </w:rPr>
      </w:pPr>
      <w:r w:rsidR="00C826F0">
        <w:rPr>
          <w:rFonts w:ascii="Times New Roman" w:hAnsi="Times New Roman"/>
        </w:rPr>
        <w:tab/>
      </w:r>
      <w:r w:rsidR="005E5F3C">
        <w:rPr>
          <w:rFonts w:ascii="Times New Roman" w:hAnsi="Times New Roman"/>
        </w:rPr>
        <w:t>Z hľadiska obmedzovania priestoru pre korupciu vo verejnej sfére existuje legitímny verejný záujem na tom, aby politické strany poskytovali kontrolným orgánom aj verejnosti podrobné informácie o svojom financovaní a o </w:t>
      </w:r>
      <w:r>
        <w:rPr>
          <w:rFonts w:ascii="Times New Roman" w:hAnsi="Times New Roman"/>
        </w:rPr>
        <w:t>osobách</w:t>
      </w:r>
      <w:r w:rsidR="005E5F3C">
        <w:rPr>
          <w:rFonts w:ascii="Times New Roman" w:hAnsi="Times New Roman"/>
        </w:rPr>
        <w:t>, kto</w:t>
      </w:r>
      <w:r>
        <w:rPr>
          <w:rFonts w:ascii="Times New Roman" w:hAnsi="Times New Roman"/>
        </w:rPr>
        <w:t>ré</w:t>
      </w:r>
      <w:r w:rsidR="005E5F3C">
        <w:rPr>
          <w:rFonts w:ascii="Times New Roman" w:hAnsi="Times New Roman"/>
        </w:rPr>
        <w:t xml:space="preserve"> sa významnejšou mierou na ich financovaní</w:t>
      </w:r>
      <w:r w:rsidRPr="00EA2196">
        <w:rPr>
          <w:rFonts w:ascii="Times New Roman" w:hAnsi="Times New Roman"/>
        </w:rPr>
        <w:t xml:space="preserve"> </w:t>
      </w:r>
      <w:r>
        <w:rPr>
          <w:rFonts w:ascii="Times New Roman" w:hAnsi="Times New Roman"/>
        </w:rPr>
        <w:t>podieľajú</w:t>
      </w:r>
      <w:r w:rsidR="005E5F3C">
        <w:rPr>
          <w:rFonts w:ascii="Times New Roman" w:hAnsi="Times New Roman"/>
        </w:rPr>
        <w:t xml:space="preserve">. Na druhej strane existuje legitímny individuálny záujem členov politických strán na ochrane ich </w:t>
      </w:r>
      <w:r>
        <w:rPr>
          <w:rFonts w:ascii="Times New Roman" w:hAnsi="Times New Roman"/>
        </w:rPr>
        <w:t xml:space="preserve">súkromia pri výkone ich ústavou garantovaného práva združovať sa v politických stranách. Zákonná úprava by oba tieto záujmy mala zohľadňovať a nájsť medzi nimi </w:t>
      </w:r>
      <w:r w:rsidR="00F936B6">
        <w:rPr>
          <w:rFonts w:ascii="Times New Roman" w:hAnsi="Times New Roman"/>
        </w:rPr>
        <w:t xml:space="preserve">primeranú </w:t>
      </w:r>
      <w:r>
        <w:rPr>
          <w:rFonts w:ascii="Times New Roman" w:hAnsi="Times New Roman"/>
        </w:rPr>
        <w:t xml:space="preserve">rovnováhu. </w:t>
      </w:r>
      <w:r w:rsidR="005E5F3C">
        <w:rPr>
          <w:rFonts w:ascii="Times New Roman" w:hAnsi="Times New Roman"/>
        </w:rPr>
        <w:t xml:space="preserve">Preto existuje povinnosť uvádzať vo výročných správach </w:t>
      </w:r>
      <w:r>
        <w:rPr>
          <w:rFonts w:ascii="Times New Roman" w:hAnsi="Times New Roman"/>
        </w:rPr>
        <w:t xml:space="preserve">politických strán </w:t>
      </w:r>
      <w:r w:rsidR="005E5F3C">
        <w:rPr>
          <w:rFonts w:ascii="Times New Roman" w:hAnsi="Times New Roman"/>
        </w:rPr>
        <w:t xml:space="preserve">informácie o všetkých daroch poskytnutých politickým stranám a podobne o členských príspevkoch, pri ktorých sa však táto povinnosť týka až príspevkov od určitej výšky </w:t>
      </w:r>
      <w:r w:rsidR="00F936B6">
        <w:rPr>
          <w:rFonts w:ascii="Times New Roman" w:hAnsi="Times New Roman"/>
        </w:rPr>
        <w:t xml:space="preserve">na člena </w:t>
      </w:r>
      <w:r w:rsidR="005E5F3C">
        <w:rPr>
          <w:rFonts w:ascii="Times New Roman" w:hAnsi="Times New Roman"/>
        </w:rPr>
        <w:t>za rok.</w:t>
      </w:r>
      <w:r>
        <w:rPr>
          <w:rFonts w:ascii="Times New Roman" w:hAnsi="Times New Roman"/>
        </w:rPr>
        <w:t xml:space="preserve"> Preto v zákone nie </w:t>
      </w:r>
      <w:r w:rsidR="00F936B6">
        <w:rPr>
          <w:rFonts w:ascii="Times New Roman" w:hAnsi="Times New Roman"/>
        </w:rPr>
        <w:t xml:space="preserve">je </w:t>
      </w:r>
      <w:r>
        <w:rPr>
          <w:rFonts w:ascii="Times New Roman" w:hAnsi="Times New Roman"/>
        </w:rPr>
        <w:t xml:space="preserve">stanovená povinnosť uvádzať vo výročnej správe mená a adresy úplne všetkých členov politickej strany. A preto by nebolo vhodné zákonom určiť povinnosť uviesť vo výročnej správe mená všetkých členov, ktorí v kalendárnom roku zaplatili členský príspevok bez ohľadu na jeho výšku. Platenie členského príspevku je totiž </w:t>
      </w:r>
      <w:r w:rsidR="009A0672">
        <w:rPr>
          <w:rFonts w:ascii="Times New Roman" w:hAnsi="Times New Roman"/>
        </w:rPr>
        <w:t xml:space="preserve">obvykle </w:t>
      </w:r>
      <w:r>
        <w:rPr>
          <w:rFonts w:ascii="Times New Roman" w:hAnsi="Times New Roman"/>
        </w:rPr>
        <w:t xml:space="preserve">povinnosťou člena politickej strany, ktorú mu ukladajú stanovy strany a ktorá súvisí s výkonom jeho združovacieho práva. Svojou povahou sa preto líši od daru politickej strane, alebo od členského príspevku poskytnutého vo výrazne </w:t>
      </w:r>
      <w:r w:rsidR="00F936B6">
        <w:rPr>
          <w:rFonts w:ascii="Times New Roman" w:hAnsi="Times New Roman"/>
        </w:rPr>
        <w:t>vyššej</w:t>
      </w:r>
      <w:r>
        <w:rPr>
          <w:rFonts w:ascii="Times New Roman" w:hAnsi="Times New Roman"/>
        </w:rPr>
        <w:t xml:space="preserve"> sume, ako je </w:t>
      </w:r>
      <w:r w:rsidR="009A0672">
        <w:rPr>
          <w:rFonts w:ascii="Times New Roman" w:hAnsi="Times New Roman"/>
        </w:rPr>
        <w:t>určená</w:t>
      </w:r>
      <w:r>
        <w:rPr>
          <w:rFonts w:ascii="Times New Roman" w:hAnsi="Times New Roman"/>
        </w:rPr>
        <w:t xml:space="preserve"> stanovami alebo rozhodnutím príslušného straníckeho orgánu. </w:t>
      </w:r>
    </w:p>
    <w:p w:rsidR="00CA5E2C" w:rsidP="00EA2196">
      <w:pPr>
        <w:bidi w:val="0"/>
        <w:ind w:firstLine="708"/>
        <w:jc w:val="both"/>
        <w:rPr>
          <w:rFonts w:ascii="Times New Roman" w:hAnsi="Times New Roman"/>
        </w:rPr>
      </w:pPr>
      <w:r w:rsidR="00EA2196">
        <w:rPr>
          <w:rFonts w:ascii="Times New Roman" w:hAnsi="Times New Roman"/>
        </w:rPr>
        <w:t xml:space="preserve">Navyše je úplne nesystémové, aby povinnosť uvádzať informácie o všetkých členoch, ktorí zaplatili členský príspevok bez ohľadu na jeho výšku, existovala iba vo vzťahu k roku 2014, pričom v predchádzajúcich, ani v nasledujúcich rokoch by takáto povinnosť platiť nemala. </w:t>
      </w:r>
    </w:p>
    <w:p w:rsidR="00EA2196" w:rsidP="00EA2196">
      <w:pPr>
        <w:bidi w:val="0"/>
        <w:ind w:firstLine="708"/>
        <w:jc w:val="both"/>
        <w:rPr>
          <w:rFonts w:ascii="Times New Roman" w:hAnsi="Times New Roman"/>
        </w:rPr>
      </w:pPr>
      <w:r>
        <w:rPr>
          <w:rFonts w:ascii="Times New Roman" w:hAnsi="Times New Roman"/>
        </w:rPr>
        <w:t xml:space="preserve">Za sporné možno považovať aj to, že zákon o politických stranách do 25.6.2014 neukladal politickým stranám </w:t>
      </w:r>
      <w:r w:rsidR="00F936B6">
        <w:rPr>
          <w:rFonts w:ascii="Times New Roman" w:hAnsi="Times New Roman"/>
        </w:rPr>
        <w:t xml:space="preserve">povinnosť </w:t>
      </w:r>
      <w:r>
        <w:rPr>
          <w:rFonts w:ascii="Times New Roman" w:hAnsi="Times New Roman"/>
        </w:rPr>
        <w:t xml:space="preserve">viesť osobitnú evidenciu o všetkých zaplatených členských príspevkoch, ale len o tých, pri ktorých u člena dosiahla výška zaplateného členského príspevku v úhrne minimálne 829 eur. Vo výročnej správe za rok 2014 by však politické strany </w:t>
      </w:r>
      <w:r w:rsidR="006D5389">
        <w:rPr>
          <w:rFonts w:ascii="Times New Roman" w:hAnsi="Times New Roman"/>
        </w:rPr>
        <w:t>mali podľa aktuálneho znenia zákona uvádzať osobitnú evidenciu o všetkých členských príspevkoch za celý kalendárny rok, hoci v období od 1.1.2014 do 25.6.201</w:t>
      </w:r>
      <w:r w:rsidR="00F936B6">
        <w:rPr>
          <w:rFonts w:ascii="Times New Roman" w:hAnsi="Times New Roman"/>
        </w:rPr>
        <w:t>4</w:t>
      </w:r>
      <w:r w:rsidR="006D5389">
        <w:rPr>
          <w:rFonts w:ascii="Times New Roman" w:hAnsi="Times New Roman"/>
        </w:rPr>
        <w:t>, im zákon povinnosť viesť takúto evidenciu ešte neukladal.</w:t>
      </w:r>
    </w:p>
    <w:p w:rsidR="006D5389" w:rsidP="00EA2196">
      <w:pPr>
        <w:bidi w:val="0"/>
        <w:ind w:firstLine="708"/>
        <w:jc w:val="both"/>
        <w:rPr>
          <w:rFonts w:ascii="Times New Roman" w:hAnsi="Times New Roman"/>
        </w:rPr>
      </w:pPr>
      <w:r>
        <w:rPr>
          <w:rFonts w:ascii="Times New Roman" w:hAnsi="Times New Roman"/>
        </w:rPr>
        <w:t xml:space="preserve">Vzhľadom na vyššie uvedené sa predkladanou novelu zákona navrhuje, aby sa aj vo vzťahu k výročnej správe za rok 2014 povinnosť uvádzať členské príspevky vzťahovala tak ako doteraz iba na tých členov, pri ktorých zaplatený členský príspevok dosiahol minimálne 829 eur. Od 1.7.2015 nadobudnú účinnosť aj zvyšné ustanovenia zákona č. 181/2014 Z. z., a teda počínajúc výročnými správami za rok 2015 sa už plne uplatní nová právna úprava, ktorá počíta s tým, že sa vo výročných správach budú uvádzať členské príspevky od hranice dvojnásobku mesačnej minimálnej mzdy na člena a rok. </w:t>
      </w:r>
    </w:p>
    <w:p w:rsidR="00B45510" w:rsidRPr="00CA5E2C" w:rsidP="00632F87">
      <w:pPr>
        <w:pStyle w:val="BodyText2"/>
        <w:bidi w:val="0"/>
        <w:ind w:firstLine="539"/>
        <w:jc w:val="both"/>
        <w:rPr>
          <w:rFonts w:ascii="Times New Roman" w:eastAsia="MS Mincho" w:hAnsi="Times New Roman"/>
          <w:highlight w:val="yellow"/>
        </w:rPr>
      </w:pPr>
    </w:p>
    <w:p w:rsidR="00632F87" w:rsidRPr="00CA5E2C" w:rsidP="00632F87">
      <w:pPr>
        <w:pStyle w:val="BodyText2"/>
        <w:bidi w:val="0"/>
        <w:ind w:firstLine="539"/>
        <w:jc w:val="both"/>
        <w:rPr>
          <w:rFonts w:ascii="Times New Roman" w:eastAsia="MS Mincho" w:hAnsi="Times New Roman" w:hint="default"/>
        </w:rPr>
      </w:pPr>
      <w:r w:rsidRPr="00CA5E2C">
        <w:rPr>
          <w:rFonts w:ascii="Times New Roman" w:eastAsia="MS Mincho" w:hAnsi="Times New Roman"/>
        </w:rPr>
        <w:tab/>
      </w:r>
      <w:r w:rsidRPr="00CA5E2C">
        <w:rPr>
          <w:rFonts w:ascii="Times New Roman" w:eastAsia="MS Mincho" w:hAnsi="Times New Roman" w:hint="default"/>
        </w:rPr>
        <w:t>Ná</w:t>
      </w:r>
      <w:r w:rsidRPr="00CA5E2C">
        <w:rPr>
          <w:rFonts w:ascii="Times New Roman" w:eastAsia="MS Mincho" w:hAnsi="Times New Roman" w:hint="default"/>
        </w:rPr>
        <w:t>vrh zá</w:t>
      </w:r>
      <w:r w:rsidRPr="00CA5E2C">
        <w:rPr>
          <w:rFonts w:ascii="Times New Roman" w:eastAsia="MS Mincho" w:hAnsi="Times New Roman" w:hint="default"/>
        </w:rPr>
        <w:t>kona je v </w:t>
      </w:r>
      <w:r w:rsidRPr="00CA5E2C">
        <w:rPr>
          <w:rFonts w:ascii="Times New Roman" w:eastAsia="MS Mincho" w:hAnsi="Times New Roman" w:hint="default"/>
        </w:rPr>
        <w:t xml:space="preserve"> sú</w:t>
      </w:r>
      <w:r w:rsidRPr="00CA5E2C">
        <w:rPr>
          <w:rFonts w:ascii="Times New Roman" w:eastAsia="MS Mincho" w:hAnsi="Times New Roman" w:hint="default"/>
        </w:rPr>
        <w:t>lade s </w:t>
      </w:r>
      <w:r w:rsidRPr="00CA5E2C">
        <w:rPr>
          <w:rFonts w:ascii="Times New Roman" w:eastAsia="MS Mincho" w:hAnsi="Times New Roman" w:hint="default"/>
        </w:rPr>
        <w:t xml:space="preserve"> Ú</w:t>
      </w:r>
      <w:r w:rsidRPr="00CA5E2C">
        <w:rPr>
          <w:rFonts w:ascii="Times New Roman" w:eastAsia="MS Mincho" w:hAnsi="Times New Roman" w:hint="default"/>
        </w:rPr>
        <w:t>stavou Slovenskej republiky, jej zá</w:t>
      </w:r>
      <w:r w:rsidRPr="00CA5E2C">
        <w:rPr>
          <w:rFonts w:ascii="Times New Roman" w:eastAsia="MS Mincho" w:hAnsi="Times New Roman" w:hint="default"/>
        </w:rPr>
        <w:t>konmi a </w:t>
      </w:r>
      <w:r w:rsidRPr="00CA5E2C">
        <w:rPr>
          <w:rFonts w:ascii="Times New Roman" w:eastAsia="MS Mincho" w:hAnsi="Times New Roman" w:hint="default"/>
        </w:rPr>
        <w:t>medziná</w:t>
      </w:r>
      <w:r w:rsidRPr="00CA5E2C">
        <w:rPr>
          <w:rFonts w:ascii="Times New Roman" w:eastAsia="MS Mincho" w:hAnsi="Times New Roman" w:hint="default"/>
        </w:rPr>
        <w:t>rodný</w:t>
      </w:r>
      <w:r w:rsidRPr="00CA5E2C">
        <w:rPr>
          <w:rFonts w:ascii="Times New Roman" w:eastAsia="MS Mincho" w:hAnsi="Times New Roman" w:hint="default"/>
        </w:rPr>
        <w:t>m</w:t>
      </w:r>
      <w:r w:rsidRPr="00CA5E2C">
        <w:rPr>
          <w:rFonts w:ascii="Times New Roman" w:eastAsia="MS Mincho" w:hAnsi="Times New Roman" w:hint="default"/>
        </w:rPr>
        <w:t>i zmluvami, ktorý</w:t>
      </w:r>
      <w:r w:rsidRPr="00CA5E2C">
        <w:rPr>
          <w:rFonts w:ascii="Times New Roman" w:eastAsia="MS Mincho" w:hAnsi="Times New Roman" w:hint="default"/>
        </w:rPr>
        <w:t>mi je Slovenská</w:t>
      </w:r>
      <w:r w:rsidRPr="00CA5E2C">
        <w:rPr>
          <w:rFonts w:ascii="Times New Roman" w:eastAsia="MS Mincho" w:hAnsi="Times New Roman" w:hint="default"/>
        </w:rPr>
        <w:t xml:space="preserve"> republika viazaná</w:t>
      </w:r>
      <w:r w:rsidRPr="00CA5E2C">
        <w:rPr>
          <w:rFonts w:ascii="Times New Roman" w:eastAsia="MS Mincho" w:hAnsi="Times New Roman" w:hint="default"/>
        </w:rPr>
        <w:t xml:space="preserve">. </w:t>
      </w:r>
    </w:p>
    <w:p w:rsidR="001D6B23" w:rsidRPr="00CA5E2C" w:rsidP="001D6B23">
      <w:pPr>
        <w:bidi w:val="0"/>
        <w:jc w:val="both"/>
        <w:rPr>
          <w:rFonts w:ascii="Times New Roman" w:hAnsi="Times New Roman"/>
          <w:b/>
          <w:bCs/>
          <w:highlight w:val="yellow"/>
        </w:rPr>
      </w:pPr>
      <w:r w:rsidRPr="00CA5E2C" w:rsidR="00637C74">
        <w:rPr>
          <w:rFonts w:ascii="Times New Roman" w:hAnsi="Times New Roman"/>
        </w:rPr>
        <w:br w:type="page"/>
      </w:r>
    </w:p>
    <w:p w:rsidR="001F3091" w:rsidRPr="00CA5E2C" w:rsidP="001F3091">
      <w:pPr>
        <w:bidi w:val="0"/>
        <w:jc w:val="center"/>
        <w:rPr>
          <w:rFonts w:ascii="Times New Roman" w:hAnsi="Times New Roman"/>
          <w:b/>
          <w:bCs/>
        </w:rPr>
      </w:pPr>
      <w:r w:rsidRPr="00CA5E2C">
        <w:rPr>
          <w:rFonts w:ascii="Times New Roman" w:hAnsi="Times New Roman"/>
          <w:b/>
          <w:bCs/>
        </w:rPr>
        <w:t>DOLOŽKA  ZLUČITEĽNOSTI</w:t>
      </w:r>
    </w:p>
    <w:p w:rsidR="001F3091" w:rsidRPr="00CA5E2C" w:rsidP="001F3091">
      <w:pPr>
        <w:bidi w:val="0"/>
        <w:jc w:val="center"/>
        <w:rPr>
          <w:rFonts w:ascii="Times New Roman" w:hAnsi="Times New Roman"/>
          <w:b/>
          <w:bCs/>
        </w:rPr>
      </w:pPr>
      <w:r w:rsidRPr="00CA5E2C">
        <w:rPr>
          <w:rFonts w:ascii="Times New Roman" w:hAnsi="Times New Roman"/>
          <w:b/>
          <w:bCs/>
        </w:rPr>
        <w:t>právneho predpisu s právom Európskej únie</w:t>
      </w:r>
    </w:p>
    <w:p w:rsidR="001F3091" w:rsidRPr="00CA5E2C" w:rsidP="001F3091">
      <w:pPr>
        <w:bidi w:val="0"/>
        <w:jc w:val="center"/>
        <w:rPr>
          <w:rFonts w:ascii="Times New Roman" w:hAnsi="Times New Roman"/>
        </w:rPr>
      </w:pPr>
    </w:p>
    <w:p w:rsidR="001F3091" w:rsidRPr="00CA5E2C" w:rsidP="001F3091">
      <w:pPr>
        <w:bidi w:val="0"/>
        <w:jc w:val="both"/>
        <w:rPr>
          <w:rFonts w:ascii="Times New Roman" w:hAnsi="Times New Roman"/>
        </w:rPr>
      </w:pPr>
      <w:r w:rsidRPr="00CA5E2C">
        <w:rPr>
          <w:rFonts w:ascii="Times New Roman" w:hAnsi="Times New Roman"/>
          <w:b/>
        </w:rPr>
        <w:t>1. Predkladateľ</w:t>
      </w:r>
      <w:r w:rsidRPr="00CA5E2C" w:rsidR="001D6B23">
        <w:rPr>
          <w:rFonts w:ascii="Times New Roman" w:hAnsi="Times New Roman"/>
          <w:b/>
        </w:rPr>
        <w:t xml:space="preserve"> návrhu</w:t>
      </w:r>
      <w:r w:rsidRPr="00CA5E2C">
        <w:rPr>
          <w:rFonts w:ascii="Times New Roman" w:hAnsi="Times New Roman"/>
          <w:b/>
        </w:rPr>
        <w:t xml:space="preserve"> právneho predpisu:</w:t>
      </w:r>
      <w:r w:rsidRPr="00CA5E2C">
        <w:rPr>
          <w:rFonts w:ascii="Times New Roman" w:hAnsi="Times New Roman"/>
        </w:rPr>
        <w:t xml:space="preserve"> </w:t>
      </w:r>
      <w:r w:rsidRPr="00CA5E2C" w:rsidR="00710E27">
        <w:rPr>
          <w:rFonts w:ascii="Times New Roman" w:hAnsi="Times New Roman"/>
        </w:rPr>
        <w:t>poslanec</w:t>
      </w:r>
      <w:r w:rsidRPr="00CA5E2C">
        <w:rPr>
          <w:rFonts w:ascii="Times New Roman" w:hAnsi="Times New Roman"/>
        </w:rPr>
        <w:t xml:space="preserve"> Národnej rady Slovenskej republiky</w:t>
      </w:r>
      <w:r w:rsidRPr="00CA5E2C" w:rsidR="001D6B23">
        <w:rPr>
          <w:rFonts w:ascii="Times New Roman" w:hAnsi="Times New Roman"/>
        </w:rPr>
        <w:t xml:space="preserve"> Peter Osuský</w:t>
      </w:r>
    </w:p>
    <w:p w:rsidR="001F3091" w:rsidRPr="00CA5E2C" w:rsidP="001F3091">
      <w:pPr>
        <w:bidi w:val="0"/>
        <w:jc w:val="both"/>
        <w:rPr>
          <w:rFonts w:ascii="Times New Roman" w:hAnsi="Times New Roman"/>
        </w:rPr>
      </w:pPr>
    </w:p>
    <w:p w:rsidR="00097D9D" w:rsidRPr="00CA5E2C" w:rsidP="00B62388">
      <w:pPr>
        <w:bidi w:val="0"/>
        <w:jc w:val="both"/>
        <w:rPr>
          <w:rFonts w:ascii="Times New Roman" w:hAnsi="Times New Roman"/>
        </w:rPr>
      </w:pPr>
      <w:r w:rsidRPr="00CA5E2C" w:rsidR="001F3091">
        <w:rPr>
          <w:rFonts w:ascii="Times New Roman" w:hAnsi="Times New Roman"/>
          <w:b/>
        </w:rPr>
        <w:t>2. Názov návrhu právneho predpisu:</w:t>
      </w:r>
      <w:r w:rsidRPr="00CA5E2C">
        <w:rPr>
          <w:rFonts w:ascii="Times New Roman" w:hAnsi="Times New Roman"/>
        </w:rPr>
        <w:t xml:space="preserve"> </w:t>
      </w:r>
      <w:r w:rsidRPr="00CA5E2C" w:rsidR="00B918C6">
        <w:rPr>
          <w:rFonts w:ascii="Times New Roman" w:hAnsi="Times New Roman"/>
        </w:rPr>
        <w:t xml:space="preserve">Návrh </w:t>
      </w:r>
      <w:r w:rsidRPr="00CA5E2C" w:rsidR="00E54538">
        <w:rPr>
          <w:rFonts w:ascii="Times New Roman" w:hAnsi="Times New Roman"/>
        </w:rPr>
        <w:t xml:space="preserve">zákona, </w:t>
      </w:r>
      <w:r w:rsidRPr="00CA5E2C" w:rsidR="00CA5E2C">
        <w:rPr>
          <w:rFonts w:ascii="Times New Roman" w:hAnsi="Times New Roman"/>
        </w:rPr>
        <w:t>ktorým sa dopĺňa zákon č. 85/2005 Z. z. o politických stranách a politických hnutiach v znení neskorších prepisov</w:t>
      </w:r>
    </w:p>
    <w:p w:rsidR="001F3091" w:rsidRPr="00CA5E2C" w:rsidP="001F3091">
      <w:pPr>
        <w:bidi w:val="0"/>
        <w:jc w:val="both"/>
        <w:rPr>
          <w:rFonts w:ascii="Times New Roman" w:hAnsi="Times New Roman"/>
        </w:rPr>
      </w:pPr>
    </w:p>
    <w:p w:rsidR="001F3091" w:rsidRPr="00CA5E2C" w:rsidP="001F3091">
      <w:pPr>
        <w:bidi w:val="0"/>
        <w:jc w:val="both"/>
        <w:rPr>
          <w:rFonts w:ascii="Times New Roman" w:hAnsi="Times New Roman"/>
          <w:b/>
        </w:rPr>
      </w:pPr>
      <w:r w:rsidRPr="00CA5E2C">
        <w:rPr>
          <w:rFonts w:ascii="Times New Roman" w:hAnsi="Times New Roman"/>
          <w:b/>
        </w:rPr>
        <w:t>3. Problematika návrhu právneho predpisu:</w:t>
      </w:r>
    </w:p>
    <w:p w:rsidR="001F3091" w:rsidRPr="00CA5E2C" w:rsidP="001F3091">
      <w:pPr>
        <w:pStyle w:val="listparagraph"/>
        <w:numPr>
          <w:ilvl w:val="1"/>
          <w:numId w:val="3"/>
        </w:numPr>
        <w:bidi w:val="0"/>
        <w:ind w:left="360"/>
        <w:jc w:val="both"/>
        <w:rPr>
          <w:rFonts w:ascii="Times New Roman" w:hAnsi="Times New Roman"/>
        </w:rPr>
      </w:pPr>
      <w:r w:rsidRPr="00CA5E2C">
        <w:rPr>
          <w:rFonts w:ascii="Times New Roman" w:hAnsi="Times New Roman"/>
        </w:rPr>
        <w:t>nie je upravená v práve Európskej únie.</w:t>
      </w:r>
    </w:p>
    <w:p w:rsidR="001F3091" w:rsidRPr="00CA5E2C" w:rsidP="001F3091">
      <w:pPr>
        <w:numPr>
          <w:ilvl w:val="1"/>
          <w:numId w:val="3"/>
        </w:numPr>
        <w:bidi w:val="0"/>
        <w:spacing w:before="100" w:beforeAutospacing="1" w:after="100" w:afterAutospacing="1"/>
        <w:ind w:left="360"/>
        <w:jc w:val="both"/>
        <w:rPr>
          <w:rFonts w:ascii="Times New Roman" w:hAnsi="Times New Roman"/>
        </w:rPr>
      </w:pPr>
      <w:r w:rsidRPr="00CA5E2C" w:rsidR="00B62388">
        <w:rPr>
          <w:rFonts w:ascii="Times New Roman" w:hAnsi="Times New Roman"/>
        </w:rPr>
        <w:t xml:space="preserve">nie </w:t>
      </w:r>
      <w:r w:rsidRPr="00CA5E2C">
        <w:rPr>
          <w:rFonts w:ascii="Times New Roman" w:hAnsi="Times New Roman"/>
        </w:rPr>
        <w:t>je obsiahnutá v judikatúre Súdneho dvora Európskej únie.</w:t>
      </w:r>
    </w:p>
    <w:p w:rsidR="001F3091" w:rsidRPr="00CA5E2C" w:rsidP="001F3091">
      <w:pPr>
        <w:bidi w:val="0"/>
        <w:ind w:firstLine="360"/>
        <w:jc w:val="both"/>
        <w:rPr>
          <w:rFonts w:ascii="Times New Roman" w:hAnsi="Times New Roman"/>
          <w:b/>
          <w:bCs/>
        </w:rPr>
      </w:pPr>
      <w:r w:rsidRPr="00CA5E2C">
        <w:rPr>
          <w:rFonts w:ascii="Times New Roman" w:hAnsi="Times New Roman"/>
          <w:b/>
          <w:bCs/>
        </w:rPr>
        <w:t>Vzhľadom na to, že problematika návrhu zákona nie je upravená v práve Európskej únie, je bezpredmetné vyjadrovať sa k bodom 4., 5. a 6.</w:t>
      </w:r>
    </w:p>
    <w:p w:rsidR="001F3091" w:rsidRPr="00CA5E2C" w:rsidP="001F3091">
      <w:pPr>
        <w:bidi w:val="0"/>
        <w:jc w:val="both"/>
        <w:rPr>
          <w:rFonts w:ascii="Arial" w:hAnsi="Arial" w:cs="Arial"/>
          <w:sz w:val="20"/>
          <w:szCs w:val="20"/>
        </w:rPr>
      </w:pPr>
    </w:p>
    <w:p w:rsidR="001F3091" w:rsidRPr="00CA5E2C" w:rsidP="001F3091">
      <w:pPr>
        <w:pStyle w:val="NormalWeb"/>
        <w:bidi w:val="0"/>
        <w:spacing w:before="0" w:beforeAutospacing="0" w:after="0" w:afterAutospacing="0"/>
        <w:ind w:right="-108"/>
        <w:jc w:val="center"/>
        <w:rPr>
          <w:rFonts w:ascii="Times New Roman" w:hAnsi="Times New Roman"/>
          <w:b/>
          <w:bCs/>
        </w:rPr>
      </w:pPr>
    </w:p>
    <w:p w:rsidR="001F3091" w:rsidRPr="00CA5E2C" w:rsidP="001F3091">
      <w:pPr>
        <w:pStyle w:val="NormalWeb"/>
        <w:bidi w:val="0"/>
        <w:spacing w:before="0" w:beforeAutospacing="0" w:after="0" w:afterAutospacing="0"/>
        <w:ind w:right="-108"/>
        <w:jc w:val="center"/>
        <w:rPr>
          <w:rFonts w:ascii="Times New Roman" w:hAnsi="Times New Roman"/>
        </w:rPr>
      </w:pPr>
      <w:r w:rsidRPr="00CA5E2C">
        <w:rPr>
          <w:rFonts w:ascii="Times New Roman" w:hAnsi="Times New Roman"/>
          <w:b/>
          <w:bCs/>
        </w:rPr>
        <w:t>DOLOŽKA VYBRANÝCH VPLYVOV</w:t>
      </w:r>
    </w:p>
    <w:p w:rsidR="001F3091" w:rsidRPr="00CA5E2C" w:rsidP="001F3091">
      <w:pPr>
        <w:pStyle w:val="NormalWeb"/>
        <w:bidi w:val="0"/>
        <w:spacing w:before="0" w:beforeAutospacing="0" w:after="0" w:afterAutospacing="0"/>
        <w:ind w:right="-108"/>
        <w:jc w:val="center"/>
        <w:rPr>
          <w:rFonts w:ascii="Times New Roman" w:hAnsi="Times New Roman"/>
        </w:rPr>
      </w:pPr>
    </w:p>
    <w:p w:rsidR="001F3091" w:rsidRPr="00CA5E2C" w:rsidP="001F3091">
      <w:pPr>
        <w:bidi w:val="0"/>
        <w:rPr>
          <w:rFonts w:ascii="Times New Roman" w:hAnsi="Times New Roman"/>
          <w:b/>
          <w:bCs/>
        </w:rPr>
      </w:pPr>
      <w:r w:rsidRPr="00CA5E2C">
        <w:rPr>
          <w:rFonts w:ascii="Times New Roman" w:hAnsi="Times New Roman"/>
          <w:b/>
          <w:bCs/>
        </w:rPr>
        <w:t xml:space="preserve">A.1. Názov materiálu: </w:t>
      </w:r>
    </w:p>
    <w:p w:rsidR="00AF7689" w:rsidRPr="00CA5E2C" w:rsidP="00AF7689">
      <w:pPr>
        <w:bidi w:val="0"/>
        <w:rPr>
          <w:rFonts w:ascii="Times New Roman" w:hAnsi="Times New Roman"/>
          <w:sz w:val="20"/>
          <w:szCs w:val="20"/>
        </w:rPr>
      </w:pPr>
      <w:r w:rsidRPr="00CA5E2C" w:rsidR="00E54538">
        <w:rPr>
          <w:rFonts w:ascii="Times New Roman" w:hAnsi="Times New Roman"/>
        </w:rPr>
        <w:t xml:space="preserve">Návrh zákona, </w:t>
      </w:r>
      <w:r w:rsidRPr="00CA5E2C" w:rsidR="00CA5E2C">
        <w:rPr>
          <w:rFonts w:ascii="Times New Roman" w:hAnsi="Times New Roman"/>
        </w:rPr>
        <w:t>ktorým sa dopĺňa zákon č. 85/2005 Z. z. o politických stranách a politických hnutiach v znení neskorších prepisov</w:t>
      </w:r>
    </w:p>
    <w:p w:rsidR="00E54538" w:rsidRPr="00CA5E2C" w:rsidP="00E54538">
      <w:pPr>
        <w:bidi w:val="0"/>
        <w:jc w:val="both"/>
        <w:rPr>
          <w:rFonts w:ascii="Times New Roman" w:hAnsi="Times New Roman"/>
        </w:rPr>
      </w:pPr>
    </w:p>
    <w:p w:rsidR="00B62388" w:rsidRPr="00CA5E2C" w:rsidP="00B62388">
      <w:pPr>
        <w:bidi w:val="0"/>
        <w:jc w:val="both"/>
        <w:rPr>
          <w:rFonts w:ascii="Times New Roman" w:hAnsi="Times New Roman"/>
        </w:rPr>
      </w:pPr>
    </w:p>
    <w:p w:rsidR="001F3091" w:rsidRPr="00CA5E2C" w:rsidP="001F3091">
      <w:pPr>
        <w:pStyle w:val="NormalWeb"/>
        <w:bidi w:val="0"/>
        <w:spacing w:before="0" w:beforeAutospacing="0" w:after="0" w:afterAutospacing="0"/>
        <w:rPr>
          <w:rFonts w:ascii="Times New Roman" w:hAnsi="Times New Roman"/>
        </w:rPr>
      </w:pPr>
      <w:r w:rsidRPr="00CA5E2C">
        <w:rPr>
          <w:rFonts w:ascii="Times New Roman" w:hAnsi="Times New Roman"/>
          <w:b/>
          <w:bCs/>
        </w:rPr>
        <w:t>A.2. Vplyvy:</w:t>
      </w:r>
    </w:p>
    <w:p w:rsidR="001F3091" w:rsidRPr="00CA5E2C" w:rsidP="001F3091">
      <w:pPr>
        <w:pStyle w:val="NormalWeb"/>
        <w:bidi w:val="0"/>
        <w:spacing w:before="0" w:beforeAutospacing="0" w:after="0" w:afterAutospacing="0"/>
        <w:rPr>
          <w:rFonts w:ascii="Times New Roman" w:hAnsi="Times New Roman"/>
        </w:rPr>
      </w:pPr>
      <w:r w:rsidRPr="00CA5E2C">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Pozitívne</w:t>
            </w:r>
            <w:r w:rsidRPr="00CA5E2C">
              <w:rPr>
                <w:rFonts w:ascii="Times New Roman" w:hAnsi="Times New Roman"/>
                <w:sz w:val="16"/>
                <w:szCs w:val="16"/>
                <w:vertAlign w:val="superscript"/>
              </w:rPr>
              <w:t>*</w:t>
            </w:r>
            <w:r w:rsidRPr="00CA5E2C">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Žiadne</w:t>
            </w:r>
            <w:r w:rsidRPr="00CA5E2C">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Negatívne</w:t>
            </w:r>
            <w:r w:rsidRPr="00CA5E2C">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1. Vplyvy na rozpočet verejnej správy</w:t>
            </w:r>
          </w:p>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sidR="00CA5E2C">
              <w:rPr>
                <w:rFonts w:ascii="Times New Roman" w:hAnsi="Times New Roman"/>
              </w:rPr>
              <w:t>X</w:t>
            </w:r>
          </w:p>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sidR="00AF7689">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CA5E2C" w:rsidP="003203F9">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p>
          <w:p w:rsidR="001F3091" w:rsidRPr="00CA5E2C" w:rsidP="003203F9">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r w:rsidRPr="00CA5E2C" w:rsidR="00AF7689">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 xml:space="preserve">3, Sociálne vplyvy </w:t>
            </w:r>
          </w:p>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 vplyvy  na hospodárenie obyvateľstva,</w:t>
            </w:r>
          </w:p>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-sociálnu exklúziu,</w:t>
            </w:r>
          </w:p>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F7689" w:rsidRPr="00CA5E2C" w:rsidP="00BB5497">
            <w:pPr>
              <w:pStyle w:val="NormalWeb"/>
              <w:bidi w:val="0"/>
              <w:spacing w:before="0" w:beforeAutospacing="0" w:after="0" w:afterAutospacing="0" w:line="240" w:lineRule="auto"/>
              <w:jc w:val="center"/>
              <w:rPr>
                <w:rFonts w:ascii="Times New Roman" w:hAnsi="Times New Roman"/>
              </w:rPr>
            </w:pPr>
            <w:r w:rsidRPr="00CA5E2C" w:rsidR="001F3091">
              <w:rPr>
                <w:rFonts w:ascii="Times New Roman" w:hAnsi="Times New Roman"/>
              </w:rPr>
              <w:t> </w:t>
            </w:r>
          </w:p>
          <w:p w:rsidR="00AF7689" w:rsidRPr="00CA5E2C" w:rsidP="00BB5497">
            <w:pPr>
              <w:pStyle w:val="NormalWeb"/>
              <w:bidi w:val="0"/>
              <w:spacing w:before="0" w:beforeAutospacing="0" w:after="0" w:afterAutospacing="0" w:line="240" w:lineRule="auto"/>
              <w:jc w:val="center"/>
              <w:rPr>
                <w:rFonts w:ascii="Times New Roman" w:hAnsi="Times New Roman"/>
              </w:rPr>
            </w:pPr>
          </w:p>
          <w:p w:rsidR="001F3091" w:rsidRPr="00CA5E2C" w:rsidP="00BB5497">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p>
          <w:p w:rsidR="001F3091" w:rsidRPr="00CA5E2C" w:rsidP="00BB5497">
            <w:pPr>
              <w:pStyle w:val="NormalWeb"/>
              <w:bidi w:val="0"/>
              <w:spacing w:before="0" w:beforeAutospacing="0" w:after="0" w:afterAutospacing="0" w:line="240" w:lineRule="auto"/>
              <w:jc w:val="center"/>
              <w:rPr>
                <w:rFonts w:ascii="Times New Roman" w:hAnsi="Times New Roman"/>
              </w:rPr>
            </w:pPr>
          </w:p>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sidR="00AF7689">
              <w:rPr>
                <w:rFonts w:ascii="Times New Roman" w:hAnsi="Times New Roman"/>
              </w:rPr>
              <w:t> </w:t>
            </w:r>
            <w:r w:rsidRPr="00CA5E2C" w:rsidR="00CA5E2C">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rPr>
                <w:rFonts w:ascii="Times New Roman" w:hAnsi="Times New Roman"/>
              </w:rPr>
            </w:pPr>
            <w:r w:rsidRPr="00CA5E2C">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p>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CA5E2C" w:rsidP="00BB5497">
            <w:pPr>
              <w:pStyle w:val="NormalWeb"/>
              <w:bidi w:val="0"/>
              <w:spacing w:before="0" w:beforeAutospacing="0" w:after="0" w:afterAutospacing="0" w:line="240" w:lineRule="auto"/>
              <w:jc w:val="center"/>
              <w:rPr>
                <w:rFonts w:ascii="Times New Roman" w:hAnsi="Times New Roman"/>
              </w:rPr>
            </w:pPr>
            <w:r w:rsidRPr="00CA5E2C">
              <w:rPr>
                <w:rFonts w:ascii="Times New Roman" w:hAnsi="Times New Roman"/>
              </w:rPr>
              <w:t> </w:t>
            </w:r>
          </w:p>
        </w:tc>
      </w:tr>
    </w:tbl>
    <w:p w:rsidR="001F3091" w:rsidRPr="00CA5E2C" w:rsidP="001F3091">
      <w:pPr>
        <w:pStyle w:val="NormalWeb"/>
        <w:bidi w:val="0"/>
        <w:spacing w:before="0" w:beforeAutospacing="0" w:after="0" w:afterAutospacing="0"/>
        <w:jc w:val="both"/>
        <w:rPr>
          <w:rFonts w:ascii="Times New Roman" w:hAnsi="Times New Roman"/>
        </w:rPr>
      </w:pPr>
      <w:r w:rsidRPr="00CA5E2C">
        <w:rPr>
          <w:rFonts w:ascii="Times New Roman" w:hAnsi="Times New Roman"/>
          <w:b/>
          <w:bCs/>
          <w:sz w:val="16"/>
          <w:szCs w:val="16"/>
        </w:rPr>
        <w:t>*</w:t>
      </w:r>
      <w:r w:rsidRPr="00CA5E2C">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CA5E2C" w:rsidP="001F3091">
      <w:pPr>
        <w:bidi w:val="0"/>
        <w:rPr>
          <w:rFonts w:ascii="Times New Roman" w:hAnsi="Times New Roman"/>
        </w:rPr>
      </w:pPr>
    </w:p>
    <w:p w:rsidR="002D752E" w:rsidRPr="00CA5E2C" w:rsidP="001D6B23">
      <w:pPr>
        <w:bidi w:val="0"/>
        <w:jc w:val="both"/>
        <w:rPr>
          <w:rFonts w:ascii="Times New Roman" w:hAnsi="Times New Roman"/>
          <w:highlight w:val="yellow"/>
        </w:rPr>
      </w:pPr>
      <w:r w:rsidRPr="00CA5E2C" w:rsidR="00871330">
        <w:rPr>
          <w:rFonts w:ascii="Times New Roman" w:hAnsi="Times New Roman"/>
        </w:rPr>
        <w:br w:type="page"/>
      </w:r>
    </w:p>
    <w:p w:rsidR="001D6B23" w:rsidRPr="00740451" w:rsidP="001D6B23">
      <w:pPr>
        <w:bidi w:val="0"/>
        <w:jc w:val="both"/>
        <w:rPr>
          <w:rFonts w:ascii="Times New Roman" w:hAnsi="Times New Roman"/>
          <w:b/>
          <w:bCs/>
          <w:u w:val="single"/>
        </w:rPr>
      </w:pPr>
      <w:r w:rsidRPr="00740451" w:rsidR="00544D26">
        <w:rPr>
          <w:rFonts w:ascii="Times New Roman" w:hAnsi="Times New Roman"/>
          <w:b/>
          <w:bCs/>
          <w:u w:val="single"/>
        </w:rPr>
        <w:t xml:space="preserve">B. </w:t>
      </w:r>
      <w:r w:rsidRPr="00740451">
        <w:rPr>
          <w:rFonts w:ascii="Times New Roman" w:hAnsi="Times New Roman"/>
          <w:b/>
          <w:bCs/>
          <w:u w:val="single"/>
        </w:rPr>
        <w:t>Osobitná časť</w:t>
      </w:r>
    </w:p>
    <w:p w:rsidR="001D6B23" w:rsidRPr="00740451" w:rsidP="005A358A">
      <w:pPr>
        <w:bidi w:val="0"/>
        <w:jc w:val="both"/>
        <w:rPr>
          <w:rFonts w:ascii="Times New Roman" w:hAnsi="Times New Roman"/>
          <w:b/>
        </w:rPr>
      </w:pPr>
    </w:p>
    <w:p w:rsidR="00740451" w:rsidP="00B641F4">
      <w:pPr>
        <w:bidi w:val="0"/>
        <w:ind w:firstLine="708"/>
        <w:jc w:val="both"/>
        <w:rPr>
          <w:rFonts w:ascii="Times New Roman" w:hAnsi="Times New Roman"/>
        </w:rPr>
      </w:pPr>
      <w:r w:rsidRPr="00740451">
        <w:rPr>
          <w:rFonts w:ascii="Times New Roman" w:hAnsi="Times New Roman"/>
        </w:rPr>
        <w:t>Zákon o politických stranách a politických hnutiach v aktuálnom znení v § 30 ods. 2 písm. j) ukladá politickým stranám vo výročnej správe uvádzať „sumu vybraných členských príspevkov a osobitnú evidenciu členských príspevkov podľa § 22 ods. 4“</w:t>
      </w:r>
      <w:r>
        <w:rPr>
          <w:rFonts w:ascii="Times New Roman" w:hAnsi="Times New Roman"/>
        </w:rPr>
        <w:t>. Navrhuje sa doplniť toto ustanovenie o slová „</w:t>
      </w:r>
      <w:r w:rsidRPr="00304C3E">
        <w:rPr>
          <w:rFonts w:ascii="Times New Roman" w:hAnsi="Times New Roman"/>
        </w:rPr>
        <w:t xml:space="preserve">ktorých suma príspevkov za účtovné obdobie bola </w:t>
      </w:r>
      <w:r>
        <w:rPr>
          <w:rFonts w:ascii="Times New Roman" w:hAnsi="Times New Roman"/>
        </w:rPr>
        <w:t xml:space="preserve">v úhrne 829 eur a viac“. Hranica 829 eur za člena a rok pre uvádzanie osobitnej evidencie členských príspevkov existovala aj v doterajšom znení zákona. Bola obsiahnutá v samotnom § 22 ods. 4, na ktorú sa § 30 ods. 2 písm. j) iba odvolával. </w:t>
      </w:r>
    </w:p>
    <w:p w:rsidR="00740451" w:rsidP="00B641F4">
      <w:pPr>
        <w:bidi w:val="0"/>
        <w:ind w:firstLine="708"/>
        <w:jc w:val="both"/>
        <w:rPr>
          <w:rFonts w:ascii="Times New Roman" w:hAnsi="Times New Roman"/>
        </w:rPr>
      </w:pPr>
      <w:r>
        <w:rPr>
          <w:rFonts w:ascii="Times New Roman" w:hAnsi="Times New Roman"/>
        </w:rPr>
        <w:t xml:space="preserve">Predkladanou novelou sa navrhuje túto hranicu stanoviť priamo v § 30 ods. 2 písm. j), pretože takouto formou bude stanovená aj právnou úpravou v zmysle zákona č. 181/2014 Z. z., ktorá nadobudne účinnosť 1.7.2015. Ak by hranica bola stanovená v § 22 ods. 4, bolo by potrebné v zákone stanoviť, že stráca účinnosť 1.7.2015, kedy nadobudne účinnosť nová úprava </w:t>
      </w:r>
      <w:r w:rsidR="00F936B6">
        <w:rPr>
          <w:rFonts w:ascii="Times New Roman" w:hAnsi="Times New Roman"/>
        </w:rPr>
        <w:t xml:space="preserve">celého </w:t>
      </w:r>
      <w:r>
        <w:rPr>
          <w:rFonts w:ascii="Times New Roman" w:hAnsi="Times New Roman"/>
        </w:rPr>
        <w:t>§ 30</w:t>
      </w:r>
      <w:r w:rsidR="006B1DC1">
        <w:rPr>
          <w:rFonts w:ascii="Times New Roman" w:hAnsi="Times New Roman"/>
        </w:rPr>
        <w:t xml:space="preserve"> v zmysle novely zákona obsiahnutej v zákone č. 181/2014.</w:t>
      </w:r>
      <w:r w:rsidR="00E31F3F">
        <w:rPr>
          <w:rFonts w:ascii="Times New Roman" w:hAnsi="Times New Roman"/>
        </w:rPr>
        <w:t xml:space="preserve"> Navyše by takéto riešenie znamenalo problém vo vzťahu k výročným správam za rok 2015, pretože v období od nadobudnutia účinnosti predkladaného zákona do 1.7.2015 by politické strany znovu nemali povinnosť viesť osobitnú evidenciu všetkých členských príspevkov, ale len tých, ktoré dosahujú minimálne 829 eur na člena a rok. Preto je vhodnejšie upraviť hranicu v § 30 ods. 2 písm. j), čím ostane povinnosť strán viesť osobitnú evidenciu všetkých členských príspevkov nedotknutá, zmení sa len informačná povinnosť </w:t>
      </w:r>
      <w:r w:rsidR="0099474E">
        <w:rPr>
          <w:rFonts w:ascii="Times New Roman" w:hAnsi="Times New Roman"/>
        </w:rPr>
        <w:t xml:space="preserve">politických strán </w:t>
      </w:r>
      <w:r w:rsidR="00E31F3F">
        <w:rPr>
          <w:rFonts w:ascii="Times New Roman" w:hAnsi="Times New Roman"/>
        </w:rPr>
        <w:t>vo vzťahu k výročným správam.</w:t>
      </w:r>
    </w:p>
    <w:p w:rsidR="006B1DC1" w:rsidRPr="006B1DC1" w:rsidP="00B641F4">
      <w:pPr>
        <w:bidi w:val="0"/>
        <w:ind w:firstLine="708"/>
        <w:jc w:val="both"/>
        <w:rPr>
          <w:rFonts w:ascii="Times New Roman" w:hAnsi="Times New Roman"/>
        </w:rPr>
      </w:pPr>
      <w:r>
        <w:rPr>
          <w:rFonts w:ascii="Times New Roman" w:hAnsi="Times New Roman"/>
        </w:rPr>
        <w:t>Hranica pre uvádzanie členských príspevkov</w:t>
      </w:r>
      <w:r w:rsidR="00E31F3F">
        <w:rPr>
          <w:rFonts w:ascii="Times New Roman" w:hAnsi="Times New Roman"/>
        </w:rPr>
        <w:t xml:space="preserve"> vo výročných správach</w:t>
      </w:r>
      <w:r>
        <w:rPr>
          <w:rFonts w:ascii="Times New Roman" w:hAnsi="Times New Roman"/>
        </w:rPr>
        <w:t xml:space="preserve"> sa nestanovuje vo výške dvojnásobku minimálnej mzdy, ktorá má platiť od 1.7.2015, ale v doteraz platnej výške 829 eur, čím sa rieši </w:t>
      </w:r>
      <w:r w:rsidRPr="006B1DC1">
        <w:rPr>
          <w:rFonts w:ascii="Times New Roman" w:hAnsi="Times New Roman"/>
        </w:rPr>
        <w:t>aj p</w:t>
      </w:r>
      <w:r w:rsidR="00E31F3F">
        <w:rPr>
          <w:rFonts w:ascii="Times New Roman" w:hAnsi="Times New Roman"/>
        </w:rPr>
        <w:t>roblém, že zákon až do 25.6.2014</w:t>
      </w:r>
      <w:r w:rsidRPr="006B1DC1">
        <w:rPr>
          <w:rFonts w:ascii="Times New Roman" w:hAnsi="Times New Roman"/>
        </w:rPr>
        <w:t xml:space="preserve"> neukladal stranám povinnosť viesť evidenciu o členských príspevkoch, ktoré boli v úhrne nižšie ako 829 eur za rok.</w:t>
      </w:r>
    </w:p>
    <w:p w:rsidR="003203F9" w:rsidRPr="006B1DC1" w:rsidP="003203F9">
      <w:pPr>
        <w:bidi w:val="0"/>
        <w:jc w:val="both"/>
        <w:rPr>
          <w:rFonts w:ascii="Times New Roman" w:hAnsi="Times New Roman"/>
        </w:rPr>
      </w:pPr>
    </w:p>
    <w:p w:rsidR="00740451" w:rsidRPr="006B1DC1" w:rsidP="003203F9">
      <w:pPr>
        <w:bidi w:val="0"/>
        <w:jc w:val="both"/>
        <w:rPr>
          <w:rFonts w:ascii="Times New Roman" w:hAnsi="Times New Roman"/>
        </w:rPr>
      </w:pPr>
    </w:p>
    <w:p w:rsidR="001D6B23" w:rsidRPr="006B1DC1" w:rsidP="001D6B23">
      <w:pPr>
        <w:bidi w:val="0"/>
        <w:jc w:val="both"/>
        <w:rPr>
          <w:rFonts w:ascii="Times New Roman" w:hAnsi="Times New Roman"/>
          <w:b/>
        </w:rPr>
      </w:pPr>
      <w:r w:rsidRPr="006B1DC1" w:rsidR="00183AFA">
        <w:rPr>
          <w:rFonts w:ascii="Times New Roman" w:hAnsi="Times New Roman"/>
          <w:b/>
        </w:rPr>
        <w:t>K č</w:t>
      </w:r>
      <w:r w:rsidRPr="006B1DC1" w:rsidR="00B62388">
        <w:rPr>
          <w:rFonts w:ascii="Times New Roman" w:hAnsi="Times New Roman"/>
          <w:b/>
        </w:rPr>
        <w:t>l. II</w:t>
      </w:r>
    </w:p>
    <w:p w:rsidR="001D6B23" w:rsidRPr="006B1DC1" w:rsidP="001D6B23">
      <w:pPr>
        <w:bidi w:val="0"/>
        <w:jc w:val="both"/>
        <w:rPr>
          <w:rFonts w:ascii="Times New Roman" w:hAnsi="Times New Roman"/>
        </w:rPr>
      </w:pPr>
    </w:p>
    <w:p w:rsidR="006B1DC1" w:rsidRPr="006B1DC1" w:rsidP="00E54538">
      <w:pPr>
        <w:bidi w:val="0"/>
        <w:ind w:firstLine="708"/>
        <w:jc w:val="both"/>
        <w:rPr>
          <w:rFonts w:ascii="Times New Roman" w:hAnsi="Times New Roman"/>
        </w:rPr>
      </w:pPr>
      <w:r w:rsidRPr="006B1DC1" w:rsidR="00E54538">
        <w:rPr>
          <w:rFonts w:ascii="Times New Roman" w:hAnsi="Times New Roman"/>
        </w:rPr>
        <w:t xml:space="preserve">Navrhuje sa stanoviť účinnosť zákona </w:t>
      </w:r>
      <w:r w:rsidRPr="006B1DC1">
        <w:rPr>
          <w:rFonts w:ascii="Times New Roman" w:hAnsi="Times New Roman"/>
        </w:rPr>
        <w:t xml:space="preserve">dňom vyhlásenia v Zbierke zákonov. </w:t>
      </w:r>
      <w:r>
        <w:rPr>
          <w:rFonts w:ascii="Times New Roman" w:hAnsi="Times New Roman"/>
        </w:rPr>
        <w:t xml:space="preserve">Neexistujú žiadne dôvody pre stanovenie legisvakančnej doby. Zámerom predkladaného návrhu je upraviť podávanie výročných správ politických strán za rok 2014 a opraviť chybu, ktorá vznikla pri schvaľovaní zákona č. 181/2014 Z. z. Právna úprava obsiahnutá v predkladanom návrhu bude účinná len do 30.6.2015, pretože 1.7.2015 nadobudne účinnosť ustanovenie zákona č. 181/2014 Z. z., ktoré upravuje celé znenie § 30. </w:t>
      </w:r>
    </w:p>
    <w:p w:rsidR="006B1DC1" w:rsidRPr="006B1DC1" w:rsidP="00E54538">
      <w:pPr>
        <w:bidi w:val="0"/>
        <w:ind w:firstLine="708"/>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818A3"/>
    <w:rsid w:val="00085EBD"/>
    <w:rsid w:val="000922BE"/>
    <w:rsid w:val="00097D9D"/>
    <w:rsid w:val="000B3E0C"/>
    <w:rsid w:val="00106999"/>
    <w:rsid w:val="00141D1D"/>
    <w:rsid w:val="00147003"/>
    <w:rsid w:val="00161291"/>
    <w:rsid w:val="00174D48"/>
    <w:rsid w:val="00177F33"/>
    <w:rsid w:val="00183AFA"/>
    <w:rsid w:val="00195C3C"/>
    <w:rsid w:val="001B1D0D"/>
    <w:rsid w:val="001B7FEC"/>
    <w:rsid w:val="001C167E"/>
    <w:rsid w:val="001C2C8A"/>
    <w:rsid w:val="001D2D9F"/>
    <w:rsid w:val="001D68BF"/>
    <w:rsid w:val="001D6B23"/>
    <w:rsid w:val="001E1570"/>
    <w:rsid w:val="001E1F77"/>
    <w:rsid w:val="001E20C0"/>
    <w:rsid w:val="001F3091"/>
    <w:rsid w:val="00213144"/>
    <w:rsid w:val="00235F8B"/>
    <w:rsid w:val="0023751B"/>
    <w:rsid w:val="00244912"/>
    <w:rsid w:val="00244D16"/>
    <w:rsid w:val="002708BA"/>
    <w:rsid w:val="00296758"/>
    <w:rsid w:val="002B6F82"/>
    <w:rsid w:val="002D752E"/>
    <w:rsid w:val="0030411D"/>
    <w:rsid w:val="00304C3E"/>
    <w:rsid w:val="00315265"/>
    <w:rsid w:val="00315F76"/>
    <w:rsid w:val="00316C3B"/>
    <w:rsid w:val="003203F9"/>
    <w:rsid w:val="003234A8"/>
    <w:rsid w:val="0032685A"/>
    <w:rsid w:val="00333C44"/>
    <w:rsid w:val="0035486F"/>
    <w:rsid w:val="00377EAC"/>
    <w:rsid w:val="00382101"/>
    <w:rsid w:val="00386598"/>
    <w:rsid w:val="003A679C"/>
    <w:rsid w:val="003B71F5"/>
    <w:rsid w:val="003D51ED"/>
    <w:rsid w:val="003D6A37"/>
    <w:rsid w:val="003F5985"/>
    <w:rsid w:val="00402495"/>
    <w:rsid w:val="00402BF8"/>
    <w:rsid w:val="00403CFB"/>
    <w:rsid w:val="00407BFC"/>
    <w:rsid w:val="00451E12"/>
    <w:rsid w:val="00452013"/>
    <w:rsid w:val="00494166"/>
    <w:rsid w:val="004B4897"/>
    <w:rsid w:val="004C16D2"/>
    <w:rsid w:val="004D62F1"/>
    <w:rsid w:val="004F3431"/>
    <w:rsid w:val="00544D26"/>
    <w:rsid w:val="00560F42"/>
    <w:rsid w:val="005A189A"/>
    <w:rsid w:val="005A20EF"/>
    <w:rsid w:val="005A358A"/>
    <w:rsid w:val="005A63AE"/>
    <w:rsid w:val="005D78BB"/>
    <w:rsid w:val="005E54A0"/>
    <w:rsid w:val="005E5F3C"/>
    <w:rsid w:val="00601431"/>
    <w:rsid w:val="00624196"/>
    <w:rsid w:val="00632F87"/>
    <w:rsid w:val="00637C74"/>
    <w:rsid w:val="00661D10"/>
    <w:rsid w:val="006916F1"/>
    <w:rsid w:val="006A4AE9"/>
    <w:rsid w:val="006B1DC1"/>
    <w:rsid w:val="006C36B0"/>
    <w:rsid w:val="006D5389"/>
    <w:rsid w:val="006E1456"/>
    <w:rsid w:val="006E7BDA"/>
    <w:rsid w:val="006F6F38"/>
    <w:rsid w:val="007066A3"/>
    <w:rsid w:val="00710E27"/>
    <w:rsid w:val="00711853"/>
    <w:rsid w:val="00713EFA"/>
    <w:rsid w:val="00717A7E"/>
    <w:rsid w:val="007370C7"/>
    <w:rsid w:val="00740451"/>
    <w:rsid w:val="00761784"/>
    <w:rsid w:val="00780E14"/>
    <w:rsid w:val="007819BF"/>
    <w:rsid w:val="0078410F"/>
    <w:rsid w:val="007B019B"/>
    <w:rsid w:val="00804B2C"/>
    <w:rsid w:val="0081194C"/>
    <w:rsid w:val="008321A4"/>
    <w:rsid w:val="008447AD"/>
    <w:rsid w:val="0086388D"/>
    <w:rsid w:val="00871330"/>
    <w:rsid w:val="008A1E82"/>
    <w:rsid w:val="008D005A"/>
    <w:rsid w:val="008E33F8"/>
    <w:rsid w:val="008E64A8"/>
    <w:rsid w:val="008F7430"/>
    <w:rsid w:val="009005AE"/>
    <w:rsid w:val="009303B3"/>
    <w:rsid w:val="00932F85"/>
    <w:rsid w:val="00934CF9"/>
    <w:rsid w:val="0095221D"/>
    <w:rsid w:val="009526CF"/>
    <w:rsid w:val="00967992"/>
    <w:rsid w:val="00974C59"/>
    <w:rsid w:val="009874E5"/>
    <w:rsid w:val="0099474E"/>
    <w:rsid w:val="009A0672"/>
    <w:rsid w:val="009A35DB"/>
    <w:rsid w:val="009B4837"/>
    <w:rsid w:val="009B71A3"/>
    <w:rsid w:val="009B7793"/>
    <w:rsid w:val="009C0F18"/>
    <w:rsid w:val="00A1133B"/>
    <w:rsid w:val="00A20E8D"/>
    <w:rsid w:val="00A30C39"/>
    <w:rsid w:val="00A84EDB"/>
    <w:rsid w:val="00AA0F62"/>
    <w:rsid w:val="00AA1D2A"/>
    <w:rsid w:val="00AC14AF"/>
    <w:rsid w:val="00AD3DDF"/>
    <w:rsid w:val="00AE645A"/>
    <w:rsid w:val="00AE7640"/>
    <w:rsid w:val="00AF7689"/>
    <w:rsid w:val="00B03D3D"/>
    <w:rsid w:val="00B12C46"/>
    <w:rsid w:val="00B24E2E"/>
    <w:rsid w:val="00B31CF4"/>
    <w:rsid w:val="00B3281A"/>
    <w:rsid w:val="00B331F8"/>
    <w:rsid w:val="00B346F2"/>
    <w:rsid w:val="00B45510"/>
    <w:rsid w:val="00B45834"/>
    <w:rsid w:val="00B53C4C"/>
    <w:rsid w:val="00B62388"/>
    <w:rsid w:val="00B641F4"/>
    <w:rsid w:val="00B709FB"/>
    <w:rsid w:val="00B802B9"/>
    <w:rsid w:val="00B80A26"/>
    <w:rsid w:val="00B86A75"/>
    <w:rsid w:val="00B918C6"/>
    <w:rsid w:val="00B93048"/>
    <w:rsid w:val="00B95024"/>
    <w:rsid w:val="00BB5497"/>
    <w:rsid w:val="00BC2047"/>
    <w:rsid w:val="00BC3BDF"/>
    <w:rsid w:val="00BE61F2"/>
    <w:rsid w:val="00C456E0"/>
    <w:rsid w:val="00C53849"/>
    <w:rsid w:val="00C57B58"/>
    <w:rsid w:val="00C72868"/>
    <w:rsid w:val="00C826F0"/>
    <w:rsid w:val="00C8349B"/>
    <w:rsid w:val="00C845C5"/>
    <w:rsid w:val="00C900AE"/>
    <w:rsid w:val="00C96EE6"/>
    <w:rsid w:val="00CA5E2C"/>
    <w:rsid w:val="00CD578F"/>
    <w:rsid w:val="00CE6FCD"/>
    <w:rsid w:val="00D200D8"/>
    <w:rsid w:val="00D34BBB"/>
    <w:rsid w:val="00D37C1B"/>
    <w:rsid w:val="00D42644"/>
    <w:rsid w:val="00D4525A"/>
    <w:rsid w:val="00D50934"/>
    <w:rsid w:val="00D74EE2"/>
    <w:rsid w:val="00D879D1"/>
    <w:rsid w:val="00D968CB"/>
    <w:rsid w:val="00DA2BF8"/>
    <w:rsid w:val="00DF752E"/>
    <w:rsid w:val="00E0274C"/>
    <w:rsid w:val="00E02B7F"/>
    <w:rsid w:val="00E1510A"/>
    <w:rsid w:val="00E20247"/>
    <w:rsid w:val="00E2410F"/>
    <w:rsid w:val="00E31F3F"/>
    <w:rsid w:val="00E54538"/>
    <w:rsid w:val="00E7037B"/>
    <w:rsid w:val="00E70805"/>
    <w:rsid w:val="00E85DC6"/>
    <w:rsid w:val="00E93632"/>
    <w:rsid w:val="00E93CA7"/>
    <w:rsid w:val="00E97946"/>
    <w:rsid w:val="00EA2196"/>
    <w:rsid w:val="00EB0893"/>
    <w:rsid w:val="00EB1B2C"/>
    <w:rsid w:val="00EB36D2"/>
    <w:rsid w:val="00ED1F9E"/>
    <w:rsid w:val="00EE6D9E"/>
    <w:rsid w:val="00F12022"/>
    <w:rsid w:val="00F345D2"/>
    <w:rsid w:val="00F51D10"/>
    <w:rsid w:val="00F543F1"/>
    <w:rsid w:val="00F55BB9"/>
    <w:rsid w:val="00F71F6B"/>
    <w:rsid w:val="00F76DEE"/>
    <w:rsid w:val="00F936B6"/>
    <w:rsid w:val="00FA0FA4"/>
    <w:rsid w:val="00FB29FB"/>
    <w:rsid w:val="00FC14AE"/>
    <w:rsid w:val="00FC7C43"/>
    <w:rsid w:val="00FD0B43"/>
    <w:rsid w:val="00FE0F18"/>
    <w:rsid w:val="00FF66E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uiPriority w:val="10"/>
    <w:rPr>
      <w:rFonts w:asciiTheme="majorHAnsi" w:eastAsiaTheme="majorEastAsia" w:hAnsiTheme="majorHAnsi" w:cstheme="majorBidi"/>
      <w:b/>
      <w:bCs/>
      <w:kern w:val="28"/>
      <w:sz w:val="32"/>
      <w:szCs w:val="32"/>
      <w:rtl w:val="0"/>
      <w:cs w:val="0"/>
    </w:rPr>
  </w:style>
  <w:style w:type="character" w:customStyle="1" w:styleId="NzovChar21">
    <w:name w:val="Názov Char2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0">
    <w:name w:val="Názov Char2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9">
    <w:name w:val="Názov Char1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8">
    <w:name w:val="Názov Char1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205</TotalTime>
  <Pages>4</Pages>
  <Words>1711</Words>
  <Characters>9759</Characters>
  <Application>Microsoft Office Word</Application>
  <DocSecurity>0</DocSecurity>
  <Lines>0</Lines>
  <Paragraphs>0</Paragraphs>
  <ScaleCrop>false</ScaleCrop>
  <Company>Konzervatívny inštitút M. R. Štefánika</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5</cp:revision>
  <cp:lastPrinted>2010-08-16T14:49:00Z</cp:lastPrinted>
  <dcterms:created xsi:type="dcterms:W3CDTF">2014-11-06T08:33:00Z</dcterms:created>
  <dcterms:modified xsi:type="dcterms:W3CDTF">2014-11-07T10:04:00Z</dcterms:modified>
</cp:coreProperties>
</file>