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B7EBA" w:rsidP="001B7EBA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 Á R O D N Á    R A D A   S L O V E N S K E J    R E P U B L I K Y</w:t>
      </w:r>
    </w:p>
    <w:p w:rsidR="001B7EBA" w:rsidP="001B7EBA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VI. volebné obdobie</w:t>
      </w:r>
    </w:p>
    <w:p w:rsidR="001B7EBA" w:rsidP="001B7EBA">
      <w:pPr>
        <w:bidi w:val="0"/>
        <w:rPr>
          <w:rFonts w:ascii="Times New Roman" w:hAnsi="Times New Roman"/>
          <w:bCs/>
        </w:rPr>
      </w:pPr>
    </w:p>
    <w:p w:rsidR="001B7EBA" w:rsidP="001B7EBA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12</w:t>
      </w:r>
      <w:r>
        <w:rPr>
          <w:rFonts w:ascii="Times New Roman" w:hAnsi="Times New Roman"/>
          <w:b/>
          <w:bCs/>
          <w:sz w:val="28"/>
          <w:szCs w:val="28"/>
        </w:rPr>
        <w:t>85</w:t>
      </w:r>
    </w:p>
    <w:p w:rsidR="001B7EBA" w:rsidP="001B7EBA">
      <w:pPr>
        <w:bidi w:val="0"/>
        <w:rPr>
          <w:rFonts w:ascii="Times New Roman" w:hAnsi="Times New Roman"/>
          <w:bCs/>
        </w:rPr>
      </w:pPr>
    </w:p>
    <w:p w:rsidR="001B7EBA" w:rsidP="001B7EBA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VLÁDNY NÁVRH</w:t>
      </w:r>
    </w:p>
    <w:p w:rsidR="001B7EBA" w:rsidP="001B7EBA">
      <w:pPr>
        <w:pStyle w:val="Heading1"/>
        <w:keepLines w:val="0"/>
        <w:bidi w:val="0"/>
        <w:rPr>
          <w:rFonts w:eastAsia="Calibri" w:hint="default"/>
          <w:szCs w:val="24"/>
        </w:rPr>
      </w:pPr>
      <w:r>
        <w:rPr>
          <w:rFonts w:eastAsia="Calibri" w:hint="default"/>
          <w:szCs w:val="24"/>
        </w:rPr>
        <w:t>ZÁ</w:t>
      </w:r>
      <w:r>
        <w:rPr>
          <w:rFonts w:eastAsia="Calibri" w:hint="default"/>
          <w:szCs w:val="24"/>
        </w:rPr>
        <w:t>KON</w:t>
      </w:r>
    </w:p>
    <w:p w:rsidR="00B4015E" w:rsidP="001B7EBA">
      <w:pPr>
        <w:bidi w:val="0"/>
        <w:spacing w:line="276" w:lineRule="auto"/>
        <w:jc w:val="center"/>
        <w:rPr>
          <w:rFonts w:ascii="Times New Roman" w:hAnsi="Times New Roman"/>
        </w:rPr>
      </w:pPr>
      <w:r w:rsidR="001B7EBA">
        <w:rPr>
          <w:rFonts w:ascii="Times New Roman" w:eastAsia="Calibri" w:hAnsi="Times New Roman"/>
        </w:rPr>
        <w:t>z .............. 201</w:t>
      </w:r>
      <w:r w:rsidR="001B7EBA">
        <w:rPr>
          <w:rFonts w:ascii="Times New Roman" w:eastAsia="Calibri" w:hAnsi="Times New Roman"/>
        </w:rPr>
        <w:t>5</w:t>
      </w:r>
      <w:r w:rsidR="001B7EBA">
        <w:rPr>
          <w:rFonts w:ascii="Times New Roman" w:eastAsia="Calibri" w:hAnsi="Times New Roman"/>
        </w:rPr>
        <w:t>,</w:t>
      </w:r>
    </w:p>
    <w:p w:rsidR="00CF56B7" w:rsidP="00597C9F">
      <w:pPr>
        <w:bidi w:val="0"/>
        <w:spacing w:line="276" w:lineRule="auto"/>
        <w:jc w:val="center"/>
        <w:rPr>
          <w:rFonts w:ascii="Times New Roman" w:hAnsi="Times New Roman"/>
        </w:rPr>
      </w:pPr>
    </w:p>
    <w:p w:rsidR="00B4015E" w:rsidP="00CC13D3">
      <w:pPr>
        <w:bidi w:val="0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ktorým sa mení </w:t>
      </w:r>
      <w:r w:rsidR="00F47094">
        <w:rPr>
          <w:rFonts w:ascii="Times New Roman" w:hAnsi="Times New Roman"/>
          <w:b/>
          <w:bCs/>
        </w:rPr>
        <w:t xml:space="preserve">a dopĺňa </w:t>
      </w:r>
      <w:r>
        <w:rPr>
          <w:rFonts w:ascii="Times New Roman" w:hAnsi="Times New Roman"/>
          <w:b/>
          <w:bCs/>
        </w:rPr>
        <w:t>zákon č. 1</w:t>
      </w:r>
      <w:r w:rsidR="00CC13D3">
        <w:rPr>
          <w:rFonts w:ascii="Times New Roman" w:hAnsi="Times New Roman"/>
          <w:b/>
          <w:bCs/>
        </w:rPr>
        <w:t>85</w:t>
      </w:r>
      <w:r>
        <w:rPr>
          <w:rFonts w:ascii="Times New Roman" w:hAnsi="Times New Roman"/>
          <w:b/>
          <w:bCs/>
        </w:rPr>
        <w:t>/200</w:t>
      </w:r>
      <w:r w:rsidR="00CC13D3">
        <w:rPr>
          <w:rFonts w:ascii="Times New Roman" w:hAnsi="Times New Roman"/>
          <w:b/>
          <w:bCs/>
        </w:rPr>
        <w:t>9</w:t>
      </w:r>
      <w:r>
        <w:rPr>
          <w:rFonts w:ascii="Times New Roman" w:hAnsi="Times New Roman"/>
          <w:b/>
          <w:bCs/>
        </w:rPr>
        <w:t xml:space="preserve"> Z. z. </w:t>
      </w:r>
      <w:r w:rsidRPr="00CC13D3" w:rsidR="00CC13D3">
        <w:rPr>
          <w:rFonts w:ascii="Times New Roman" w:hAnsi="Times New Roman"/>
          <w:b/>
          <w:bCs/>
        </w:rPr>
        <w:t>o stimuloch pre výskum a vývoj a</w:t>
      </w:r>
      <w:r w:rsidR="007736EE">
        <w:rPr>
          <w:rFonts w:ascii="Times New Roman" w:hAnsi="Times New Roman"/>
          <w:b/>
          <w:bCs/>
        </w:rPr>
        <w:t> </w:t>
      </w:r>
      <w:r w:rsidRPr="00CC13D3" w:rsidR="00CC13D3">
        <w:rPr>
          <w:rFonts w:ascii="Times New Roman" w:hAnsi="Times New Roman"/>
          <w:b/>
          <w:bCs/>
        </w:rPr>
        <w:t>o</w:t>
      </w:r>
      <w:r w:rsidR="007736EE">
        <w:rPr>
          <w:rFonts w:ascii="Times New Roman" w:hAnsi="Times New Roman"/>
          <w:b/>
          <w:bCs/>
        </w:rPr>
        <w:t> </w:t>
      </w:r>
      <w:r w:rsidRPr="00CC13D3" w:rsidR="00CC13D3">
        <w:rPr>
          <w:rFonts w:ascii="Times New Roman" w:hAnsi="Times New Roman"/>
          <w:b/>
          <w:bCs/>
        </w:rPr>
        <w:t>doplnení zákona č. 595/2003 Z.</w:t>
      </w:r>
      <w:r w:rsidR="00CC13D3">
        <w:rPr>
          <w:rFonts w:ascii="Times New Roman" w:hAnsi="Times New Roman"/>
          <w:b/>
          <w:bCs/>
        </w:rPr>
        <w:t xml:space="preserve"> </w:t>
      </w:r>
      <w:r w:rsidRPr="00CC13D3" w:rsidR="00CC13D3">
        <w:rPr>
          <w:rFonts w:ascii="Times New Roman" w:hAnsi="Times New Roman"/>
          <w:b/>
          <w:bCs/>
        </w:rPr>
        <w:t>z. o dani z príjmov v znení neskorších predpisov</w:t>
      </w:r>
      <w:r w:rsidR="004C7802">
        <w:rPr>
          <w:rFonts w:ascii="Times New Roman" w:hAnsi="Times New Roman"/>
          <w:b/>
          <w:bCs/>
        </w:rPr>
        <w:t xml:space="preserve"> v znení neskorších pre</w:t>
      </w:r>
      <w:r w:rsidR="00FB7BCC">
        <w:rPr>
          <w:rFonts w:ascii="Times New Roman" w:hAnsi="Times New Roman"/>
          <w:b/>
          <w:bCs/>
        </w:rPr>
        <w:t>d</w:t>
      </w:r>
      <w:r w:rsidR="004C7802">
        <w:rPr>
          <w:rFonts w:ascii="Times New Roman" w:hAnsi="Times New Roman"/>
          <w:b/>
          <w:bCs/>
        </w:rPr>
        <w:t>pisov</w:t>
      </w:r>
    </w:p>
    <w:p w:rsidR="00B4015E" w:rsidP="00597C9F">
      <w:pPr>
        <w:bidi w:val="0"/>
        <w:spacing w:line="276" w:lineRule="auto"/>
        <w:jc w:val="both"/>
        <w:rPr>
          <w:rFonts w:ascii="Times New Roman" w:hAnsi="Times New Roman"/>
        </w:rPr>
      </w:pPr>
    </w:p>
    <w:p w:rsidR="00B4015E" w:rsidP="00597C9F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Národná rada Slovenskej republiky sa uzniesla na tomto zákone: </w:t>
      </w:r>
    </w:p>
    <w:p w:rsidR="00B4015E" w:rsidP="00597C9F">
      <w:pPr>
        <w:pStyle w:val="Heading1"/>
        <w:bidi w:val="0"/>
        <w:spacing w:line="276" w:lineRule="auto"/>
        <w:rPr>
          <w:rFonts w:hint="default"/>
        </w:rPr>
      </w:pPr>
      <w:r>
        <w:rPr>
          <w:rFonts w:hint="default"/>
        </w:rPr>
        <w:t>Č</w:t>
      </w:r>
      <w:r>
        <w:rPr>
          <w:rFonts w:hint="default"/>
        </w:rPr>
        <w:t xml:space="preserve">l. I </w:t>
      </w:r>
    </w:p>
    <w:p w:rsidR="00B4015E" w:rsidP="00597C9F">
      <w:pPr>
        <w:bidi w:val="0"/>
        <w:spacing w:line="276" w:lineRule="auto"/>
        <w:rPr>
          <w:rFonts w:ascii="Times New Roman" w:hAnsi="Times New Roman"/>
        </w:rPr>
      </w:pPr>
    </w:p>
    <w:p w:rsidR="00B4015E" w:rsidP="00597C9F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 č. 1</w:t>
      </w:r>
      <w:r w:rsidR="00CC13D3">
        <w:rPr>
          <w:rFonts w:ascii="Times New Roman" w:hAnsi="Times New Roman"/>
        </w:rPr>
        <w:t>85/2009</w:t>
      </w:r>
      <w:r>
        <w:rPr>
          <w:rFonts w:ascii="Times New Roman" w:hAnsi="Times New Roman"/>
        </w:rPr>
        <w:t xml:space="preserve"> Z. z. </w:t>
      </w:r>
      <w:r w:rsidRPr="00CC13D3" w:rsidR="00CC13D3">
        <w:rPr>
          <w:rFonts w:ascii="Times New Roman" w:hAnsi="Times New Roman"/>
        </w:rPr>
        <w:t>o stimuloch pre výskum a vývoj a o doplnení zákona č. 595/2003 Z.</w:t>
      </w:r>
      <w:r w:rsidR="00CC13D3">
        <w:rPr>
          <w:rFonts w:ascii="Times New Roman" w:hAnsi="Times New Roman"/>
        </w:rPr>
        <w:t xml:space="preserve"> </w:t>
      </w:r>
      <w:r w:rsidRPr="00CC13D3" w:rsidR="00CC13D3">
        <w:rPr>
          <w:rFonts w:ascii="Times New Roman" w:hAnsi="Times New Roman"/>
        </w:rPr>
        <w:t>z. o</w:t>
      </w:r>
      <w:r w:rsidR="007736EE">
        <w:rPr>
          <w:rFonts w:ascii="Times New Roman" w:hAnsi="Times New Roman"/>
        </w:rPr>
        <w:t> </w:t>
      </w:r>
      <w:r w:rsidRPr="00CC13D3" w:rsidR="00CC13D3">
        <w:rPr>
          <w:rFonts w:ascii="Times New Roman" w:hAnsi="Times New Roman"/>
        </w:rPr>
        <w:t>dani z príjmov v znení neskorších predpisov</w:t>
      </w:r>
      <w:r>
        <w:rPr>
          <w:rFonts w:ascii="Times New Roman" w:hAnsi="Times New Roman"/>
        </w:rPr>
        <w:t xml:space="preserve"> v znení zákona č. </w:t>
      </w:r>
      <w:r w:rsidR="00CC13D3">
        <w:rPr>
          <w:rFonts w:ascii="Times New Roman" w:hAnsi="Times New Roman"/>
        </w:rPr>
        <w:t>40/2011</w:t>
      </w:r>
      <w:r>
        <w:rPr>
          <w:rFonts w:ascii="Times New Roman" w:hAnsi="Times New Roman"/>
        </w:rPr>
        <w:t xml:space="preserve"> Z. z., </w:t>
      </w:r>
      <w:r w:rsidR="00CC13D3">
        <w:rPr>
          <w:rFonts w:ascii="Times New Roman" w:hAnsi="Times New Roman"/>
        </w:rPr>
        <w:t>zákona č.</w:t>
      </w:r>
      <w:r w:rsidR="007736EE">
        <w:rPr>
          <w:rFonts w:ascii="Times New Roman" w:hAnsi="Times New Roman"/>
        </w:rPr>
        <w:t> </w:t>
      </w:r>
      <w:r w:rsidR="00CC13D3">
        <w:rPr>
          <w:rFonts w:ascii="Times New Roman" w:hAnsi="Times New Roman"/>
        </w:rPr>
        <w:t xml:space="preserve">547/2011 Z. z., zákona č. 352/2013 Z. z. a </w:t>
      </w:r>
      <w:r>
        <w:rPr>
          <w:rFonts w:ascii="Times New Roman" w:hAnsi="Times New Roman"/>
        </w:rPr>
        <w:t xml:space="preserve">zákona č. </w:t>
      </w:r>
      <w:r w:rsidR="00CC13D3">
        <w:rPr>
          <w:rFonts w:ascii="Times New Roman" w:hAnsi="Times New Roman"/>
        </w:rPr>
        <w:t>363/2013</w:t>
      </w:r>
      <w:r>
        <w:rPr>
          <w:rFonts w:ascii="Times New Roman" w:hAnsi="Times New Roman"/>
        </w:rPr>
        <w:t xml:space="preserve"> Z. z. sa mení </w:t>
      </w:r>
      <w:r w:rsidR="006D7D23">
        <w:rPr>
          <w:rFonts w:ascii="Times New Roman" w:hAnsi="Times New Roman"/>
        </w:rPr>
        <w:t xml:space="preserve">a dopĺňa </w:t>
      </w:r>
      <w:r>
        <w:rPr>
          <w:rFonts w:ascii="Times New Roman" w:hAnsi="Times New Roman"/>
        </w:rPr>
        <w:t>takto:</w:t>
      </w:r>
    </w:p>
    <w:p w:rsidR="00597C9F" w:rsidP="00597C9F">
      <w:pPr>
        <w:bidi w:val="0"/>
        <w:spacing w:line="276" w:lineRule="auto"/>
        <w:jc w:val="both"/>
        <w:rPr>
          <w:rFonts w:ascii="Times New Roman" w:hAnsi="Times New Roman"/>
        </w:rPr>
      </w:pPr>
    </w:p>
    <w:p w:rsidR="0076343B" w:rsidP="0076343B">
      <w:pPr>
        <w:pStyle w:val="NoSpacing"/>
        <w:numPr>
          <w:numId w:val="15"/>
        </w:numPr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Slová „aplikovaný výskum“ vo všetkých tvaroch sa v celom texte zákona nahrádzajú slovami „priemyselný výskum“ v príslušnom tvare.</w:t>
      </w:r>
    </w:p>
    <w:p w:rsidR="0076343B" w:rsidP="0076343B">
      <w:pPr>
        <w:pStyle w:val="NoSpacing"/>
        <w:bidi w:val="0"/>
        <w:spacing w:line="276" w:lineRule="auto"/>
        <w:ind w:left="720"/>
        <w:rPr>
          <w:rFonts w:ascii="Times New Roman" w:hAnsi="Times New Roman"/>
          <w:lang w:eastAsia="en-US"/>
        </w:rPr>
      </w:pPr>
    </w:p>
    <w:p w:rsidR="00DC2988" w:rsidP="00736C7F">
      <w:pPr>
        <w:pStyle w:val="NoSpacing"/>
        <w:numPr>
          <w:numId w:val="15"/>
        </w:numPr>
        <w:bidi w:val="0"/>
        <w:spacing w:line="276" w:lineRule="auto"/>
        <w:rPr>
          <w:rFonts w:ascii="Times New Roman" w:hAnsi="Times New Roman"/>
          <w:lang w:eastAsia="en-US"/>
        </w:rPr>
      </w:pPr>
      <w:r w:rsidR="00CC13D3">
        <w:rPr>
          <w:rFonts w:ascii="Times New Roman" w:hAnsi="Times New Roman"/>
          <w:lang w:eastAsia="en-US"/>
        </w:rPr>
        <w:t>Poznámka pod čiarou k odkazu 3 znie:</w:t>
      </w:r>
    </w:p>
    <w:p w:rsidR="00CC13D3" w:rsidP="00CC13D3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„</w:t>
      </w:r>
      <w:r w:rsidRPr="00CC13D3">
        <w:rPr>
          <w:rFonts w:ascii="Times New Roman" w:hAnsi="Times New Roman"/>
          <w:vertAlign w:val="superscript"/>
          <w:lang w:eastAsia="en-US"/>
        </w:rPr>
        <w:t>3</w:t>
      </w:r>
      <w:r>
        <w:rPr>
          <w:rFonts w:ascii="Times New Roman" w:hAnsi="Times New Roman"/>
          <w:lang w:eastAsia="en-US"/>
        </w:rPr>
        <w:t xml:space="preserve">) </w:t>
      </w:r>
      <w:r w:rsidRPr="00CC13D3">
        <w:rPr>
          <w:rFonts w:ascii="Times New Roman" w:hAnsi="Times New Roman"/>
          <w:lang w:eastAsia="en-US"/>
        </w:rPr>
        <w:t>Nariadenie Komisie (EÚ) č. 651/2014 zo 17. júna 2014 o vyhlásení určitých kategórií pomoci za zlučiteľné s vnútorným trhom podľa článkov 107</w:t>
      </w:r>
      <w:r w:rsidR="001F6D4D">
        <w:rPr>
          <w:rFonts w:ascii="Times New Roman" w:hAnsi="Times New Roman"/>
          <w:lang w:eastAsia="en-US"/>
        </w:rPr>
        <w:t xml:space="preserve"> </w:t>
      </w:r>
      <w:r w:rsidRPr="00CC13D3">
        <w:rPr>
          <w:rFonts w:ascii="Times New Roman" w:hAnsi="Times New Roman"/>
          <w:lang w:eastAsia="en-US"/>
        </w:rPr>
        <w:t>a 108 zmluvy (Ú. v. EÚ L 187, 26.6.2014)</w:t>
      </w:r>
      <w:r>
        <w:rPr>
          <w:rFonts w:ascii="Times New Roman" w:hAnsi="Times New Roman"/>
          <w:lang w:eastAsia="en-US"/>
        </w:rPr>
        <w:t>.“.</w:t>
      </w:r>
    </w:p>
    <w:p w:rsidR="00742065" w:rsidP="00742065">
      <w:pPr>
        <w:pStyle w:val="NoSpacing"/>
        <w:bidi w:val="0"/>
        <w:spacing w:line="276" w:lineRule="auto"/>
        <w:ind w:left="720"/>
        <w:rPr>
          <w:rFonts w:ascii="Times New Roman" w:hAnsi="Times New Roman"/>
          <w:lang w:eastAsia="en-US"/>
        </w:rPr>
      </w:pPr>
    </w:p>
    <w:p w:rsidR="00E11704" w:rsidP="00736C7F">
      <w:pPr>
        <w:pStyle w:val="NoSpacing"/>
        <w:numPr>
          <w:numId w:val="15"/>
        </w:numPr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V § 1 odsek 3 znie:</w:t>
      </w:r>
    </w:p>
    <w:p w:rsidR="00E11704" w:rsidP="00E11704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„(3) Tento zákon sa nevzťahuje na </w:t>
      </w:r>
    </w:p>
    <w:p w:rsidR="00E11704" w:rsidP="00E11704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a) štátnu pomoc poskytovanú pre výskum a vývoj a na obstarávanie nehmotného majetku podľa osobitného predpisu,</w:t>
      </w:r>
      <w:r w:rsidRPr="00E11704">
        <w:rPr>
          <w:rFonts w:ascii="Times New Roman" w:hAnsi="Times New Roman"/>
          <w:vertAlign w:val="superscript"/>
          <w:lang w:eastAsia="en-US"/>
        </w:rPr>
        <w:t>4</w:t>
      </w:r>
      <w:r>
        <w:rPr>
          <w:rFonts w:ascii="Times New Roman" w:hAnsi="Times New Roman"/>
          <w:lang w:eastAsia="en-US"/>
        </w:rPr>
        <w:t>)</w:t>
      </w:r>
    </w:p>
    <w:p w:rsidR="00E11704" w:rsidP="00E11704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b) podnikateľa v ťažkostiach,</w:t>
      </w:r>
      <w:r w:rsidRPr="00E11704">
        <w:rPr>
          <w:rFonts w:ascii="Times New Roman" w:hAnsi="Times New Roman"/>
          <w:vertAlign w:val="superscript"/>
          <w:lang w:eastAsia="en-US"/>
        </w:rPr>
        <w:t>4a</w:t>
      </w:r>
      <w:r>
        <w:rPr>
          <w:rFonts w:ascii="Times New Roman" w:hAnsi="Times New Roman"/>
          <w:lang w:eastAsia="en-US"/>
        </w:rPr>
        <w:t>)</w:t>
      </w:r>
    </w:p>
    <w:p w:rsidR="00E11704" w:rsidP="00E11704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c) podnikateľa, voči ktorému je nárokované vrátenie pomoci na základe predchádzajúceho rozhodnutia Európskej komisie, v ktorom bola táto pomoc označená za neoprávnenú a nezlučiteľnú s vnútorným trhom,</w:t>
      </w:r>
      <w:r w:rsidRPr="00E11704">
        <w:rPr>
          <w:rFonts w:ascii="Times New Roman" w:hAnsi="Times New Roman"/>
          <w:vertAlign w:val="superscript"/>
          <w:lang w:eastAsia="en-US"/>
        </w:rPr>
        <w:t>4b</w:t>
      </w:r>
      <w:r>
        <w:rPr>
          <w:rFonts w:ascii="Times New Roman" w:hAnsi="Times New Roman"/>
          <w:lang w:eastAsia="en-US"/>
        </w:rPr>
        <w:t>)</w:t>
      </w:r>
    </w:p>
    <w:p w:rsidR="00E11704" w:rsidP="00E11704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d) pomoc, ktorá nemá stimulačný účinok.</w:t>
      </w:r>
      <w:r w:rsidRPr="00E11704">
        <w:rPr>
          <w:rFonts w:ascii="Times New Roman" w:hAnsi="Times New Roman"/>
          <w:vertAlign w:val="superscript"/>
          <w:lang w:eastAsia="en-US"/>
        </w:rPr>
        <w:t>4c</w:t>
      </w:r>
      <w:r>
        <w:rPr>
          <w:rFonts w:ascii="Times New Roman" w:hAnsi="Times New Roman"/>
          <w:lang w:eastAsia="en-US"/>
        </w:rPr>
        <w:t>)“.</w:t>
      </w:r>
    </w:p>
    <w:p w:rsidR="00E11704" w:rsidP="00E11704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</w:p>
    <w:p w:rsidR="00E11704" w:rsidP="00E11704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Poznámky pod čiarou k odkazom 4a až 4c znejú:</w:t>
      </w:r>
    </w:p>
    <w:p w:rsidR="00E11704" w:rsidP="00E11704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„</w:t>
      </w:r>
      <w:r w:rsidRPr="00E11704">
        <w:rPr>
          <w:rFonts w:ascii="Times New Roman" w:hAnsi="Times New Roman"/>
          <w:vertAlign w:val="superscript"/>
          <w:lang w:eastAsia="en-US"/>
        </w:rPr>
        <w:t>4a</w:t>
      </w:r>
      <w:r>
        <w:rPr>
          <w:rFonts w:ascii="Times New Roman" w:hAnsi="Times New Roman"/>
          <w:lang w:eastAsia="en-US"/>
        </w:rPr>
        <w:t>) Čl. 2 bod 18 nariadenia (EÚ) č. 651/2014.</w:t>
      </w:r>
    </w:p>
    <w:p w:rsidR="00E11704" w:rsidP="00E11704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 w:rsidRPr="00E11704">
        <w:rPr>
          <w:rFonts w:ascii="Times New Roman" w:hAnsi="Times New Roman"/>
          <w:vertAlign w:val="superscript"/>
          <w:lang w:eastAsia="en-US"/>
        </w:rPr>
        <w:t>4b</w:t>
      </w:r>
      <w:r>
        <w:rPr>
          <w:rFonts w:ascii="Times New Roman" w:hAnsi="Times New Roman"/>
          <w:lang w:eastAsia="en-US"/>
        </w:rPr>
        <w:t>) Čl. 1 bod 4 písm. a) nariadenia (EÚ) č. 651/2014.</w:t>
      </w:r>
    </w:p>
    <w:p w:rsidR="00E11704" w:rsidP="00E11704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 w:rsidRPr="00E11704">
        <w:rPr>
          <w:rFonts w:ascii="Times New Roman" w:hAnsi="Times New Roman"/>
          <w:vertAlign w:val="superscript"/>
          <w:lang w:eastAsia="en-US"/>
        </w:rPr>
        <w:t>4c</w:t>
      </w:r>
      <w:r>
        <w:rPr>
          <w:rFonts w:ascii="Times New Roman" w:hAnsi="Times New Roman"/>
          <w:lang w:eastAsia="en-US"/>
        </w:rPr>
        <w:t>) Čl. 6 nariadenia (EÚ) č. 651/2014.“</w:t>
      </w:r>
    </w:p>
    <w:p w:rsidR="00E11704" w:rsidP="00E11704">
      <w:pPr>
        <w:pStyle w:val="NoSpacing"/>
        <w:bidi w:val="0"/>
        <w:spacing w:line="276" w:lineRule="auto"/>
        <w:ind w:left="720"/>
        <w:rPr>
          <w:rFonts w:ascii="Times New Roman" w:hAnsi="Times New Roman"/>
          <w:lang w:eastAsia="en-US"/>
        </w:rPr>
      </w:pPr>
    </w:p>
    <w:p w:rsidR="0076343B" w:rsidP="00736C7F">
      <w:pPr>
        <w:pStyle w:val="NoSpacing"/>
        <w:numPr>
          <w:numId w:val="15"/>
        </w:numPr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Poznámky pod čiarou k odkazom 7 a 8 znejú:</w:t>
      </w:r>
    </w:p>
    <w:p w:rsidR="0076343B" w:rsidP="0076343B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„</w:t>
      </w:r>
      <w:r w:rsidRPr="0076343B">
        <w:rPr>
          <w:rFonts w:ascii="Times New Roman" w:hAnsi="Times New Roman"/>
          <w:vertAlign w:val="superscript"/>
          <w:lang w:eastAsia="en-US"/>
        </w:rPr>
        <w:t>7</w:t>
      </w:r>
      <w:r>
        <w:rPr>
          <w:rFonts w:ascii="Times New Roman" w:hAnsi="Times New Roman"/>
          <w:lang w:eastAsia="en-US"/>
        </w:rPr>
        <w:t>) Čl. 2 bod 84 nariadenia (EÚ) č. 651/2014.</w:t>
      </w:r>
    </w:p>
    <w:p w:rsidR="0076343B" w:rsidP="0076343B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 w:rsidRPr="0076343B">
        <w:rPr>
          <w:rFonts w:ascii="Times New Roman" w:hAnsi="Times New Roman"/>
          <w:vertAlign w:val="superscript"/>
          <w:lang w:eastAsia="en-US"/>
        </w:rPr>
        <w:t>8</w:t>
      </w:r>
      <w:r>
        <w:rPr>
          <w:rFonts w:ascii="Times New Roman" w:hAnsi="Times New Roman"/>
          <w:lang w:eastAsia="en-US"/>
        </w:rPr>
        <w:t>) Čl. 2 bod 85 nariadenia (EÚ) č. 651/2014.“</w:t>
      </w:r>
    </w:p>
    <w:p w:rsidR="0076343B" w:rsidP="0076343B">
      <w:pPr>
        <w:pStyle w:val="NoSpacing"/>
        <w:bidi w:val="0"/>
        <w:spacing w:line="276" w:lineRule="auto"/>
        <w:ind w:left="720"/>
        <w:rPr>
          <w:rFonts w:ascii="Times New Roman" w:hAnsi="Times New Roman"/>
          <w:lang w:eastAsia="en-US"/>
        </w:rPr>
      </w:pPr>
    </w:p>
    <w:p w:rsidR="00CC13D3" w:rsidP="00736C7F">
      <w:pPr>
        <w:pStyle w:val="NoSpacing"/>
        <w:numPr>
          <w:numId w:val="15"/>
        </w:numPr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V § 2 sa vypúšťajú písmená </w:t>
      </w:r>
      <w:r w:rsidR="005624F3">
        <w:rPr>
          <w:rFonts w:ascii="Times New Roman" w:hAnsi="Times New Roman"/>
          <w:lang w:eastAsia="en-US"/>
        </w:rPr>
        <w:t>e</w:t>
      </w:r>
      <w:r>
        <w:rPr>
          <w:rFonts w:ascii="Times New Roman" w:hAnsi="Times New Roman"/>
          <w:lang w:eastAsia="en-US"/>
        </w:rPr>
        <w:t>) a</w:t>
      </w:r>
      <w:r w:rsidR="00E1552D">
        <w:rPr>
          <w:rFonts w:ascii="Times New Roman" w:hAnsi="Times New Roman"/>
          <w:lang w:eastAsia="en-US"/>
        </w:rPr>
        <w:t>ž</w:t>
      </w:r>
      <w:r>
        <w:rPr>
          <w:rFonts w:ascii="Times New Roman" w:hAnsi="Times New Roman"/>
          <w:lang w:eastAsia="en-US"/>
        </w:rPr>
        <w:t> </w:t>
      </w:r>
      <w:r w:rsidR="00E1552D">
        <w:rPr>
          <w:rFonts w:ascii="Times New Roman" w:hAnsi="Times New Roman"/>
          <w:lang w:eastAsia="en-US"/>
        </w:rPr>
        <w:t>h</w:t>
      </w:r>
      <w:r>
        <w:rPr>
          <w:rFonts w:ascii="Times New Roman" w:hAnsi="Times New Roman"/>
          <w:lang w:eastAsia="en-US"/>
        </w:rPr>
        <w:t>)</w:t>
      </w:r>
      <w:r w:rsidR="001049B5">
        <w:rPr>
          <w:rFonts w:ascii="Times New Roman" w:hAnsi="Times New Roman"/>
          <w:lang w:eastAsia="en-US"/>
        </w:rPr>
        <w:t>. P</w:t>
      </w:r>
      <w:r w:rsidR="00E44EBC">
        <w:rPr>
          <w:rFonts w:ascii="Times New Roman" w:hAnsi="Times New Roman"/>
          <w:lang w:eastAsia="en-US"/>
        </w:rPr>
        <w:t>oznámk</w:t>
      </w:r>
      <w:r w:rsidR="001049B5">
        <w:rPr>
          <w:rFonts w:ascii="Times New Roman" w:hAnsi="Times New Roman"/>
          <w:lang w:eastAsia="en-US"/>
        </w:rPr>
        <w:t>y</w:t>
      </w:r>
      <w:r w:rsidR="00E44EBC">
        <w:rPr>
          <w:rFonts w:ascii="Times New Roman" w:hAnsi="Times New Roman"/>
          <w:lang w:eastAsia="en-US"/>
        </w:rPr>
        <w:t xml:space="preserve"> pod čiarou k odkazom 9 až 11</w:t>
      </w:r>
      <w:r w:rsidR="001049B5">
        <w:rPr>
          <w:rFonts w:ascii="Times New Roman" w:hAnsi="Times New Roman"/>
          <w:lang w:eastAsia="en-US"/>
        </w:rPr>
        <w:t xml:space="preserve"> sa vypúšťajú</w:t>
      </w:r>
      <w:r w:rsidR="00E44EBC">
        <w:rPr>
          <w:rFonts w:ascii="Times New Roman" w:hAnsi="Times New Roman"/>
          <w:lang w:eastAsia="en-US"/>
        </w:rPr>
        <w:t>.</w:t>
      </w:r>
    </w:p>
    <w:p w:rsidR="00CC13D3" w:rsidP="00CC13D3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</w:p>
    <w:p w:rsidR="00CC13D3" w:rsidP="00CC13D3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Doterajšie písmen</w:t>
      </w:r>
      <w:r w:rsidR="00E1552D">
        <w:rPr>
          <w:rFonts w:ascii="Times New Roman" w:hAnsi="Times New Roman"/>
          <w:lang w:eastAsia="en-US"/>
        </w:rPr>
        <w:t>o</w:t>
      </w:r>
      <w:r>
        <w:rPr>
          <w:rFonts w:ascii="Times New Roman" w:hAnsi="Times New Roman"/>
          <w:lang w:eastAsia="en-US"/>
        </w:rPr>
        <w:t xml:space="preserve"> i) sa označuj</w:t>
      </w:r>
      <w:r w:rsidR="00E1552D">
        <w:rPr>
          <w:rFonts w:ascii="Times New Roman" w:hAnsi="Times New Roman"/>
          <w:lang w:eastAsia="en-US"/>
        </w:rPr>
        <w:t>e</w:t>
      </w:r>
      <w:r>
        <w:rPr>
          <w:rFonts w:ascii="Times New Roman" w:hAnsi="Times New Roman"/>
          <w:lang w:eastAsia="en-US"/>
        </w:rPr>
        <w:t xml:space="preserve"> ako písmen</w:t>
      </w:r>
      <w:r w:rsidR="00E1552D">
        <w:rPr>
          <w:rFonts w:ascii="Times New Roman" w:hAnsi="Times New Roman"/>
          <w:lang w:eastAsia="en-US"/>
        </w:rPr>
        <w:t>o</w:t>
      </w:r>
      <w:r w:rsidR="005624F3">
        <w:rPr>
          <w:rFonts w:ascii="Times New Roman" w:hAnsi="Times New Roman"/>
          <w:lang w:eastAsia="en-US"/>
        </w:rPr>
        <w:t xml:space="preserve"> e</w:t>
      </w:r>
      <w:r>
        <w:rPr>
          <w:rFonts w:ascii="Times New Roman" w:hAnsi="Times New Roman"/>
          <w:lang w:eastAsia="en-US"/>
        </w:rPr>
        <w:t>).</w:t>
      </w:r>
    </w:p>
    <w:p w:rsidR="00CC13D3" w:rsidP="00CC13D3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</w:p>
    <w:p w:rsidR="00CC13D3" w:rsidP="00736C7F">
      <w:pPr>
        <w:pStyle w:val="NoSpacing"/>
        <w:numPr>
          <w:numId w:val="15"/>
        </w:numPr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V § 3 ods. 1 písm. a) </w:t>
      </w:r>
      <w:r w:rsidR="00E04C31">
        <w:rPr>
          <w:rFonts w:ascii="Times New Roman" w:hAnsi="Times New Roman"/>
          <w:lang w:eastAsia="en-US"/>
        </w:rPr>
        <w:t>druh</w:t>
      </w:r>
      <w:r w:rsidR="00D90296">
        <w:rPr>
          <w:rFonts w:ascii="Times New Roman" w:hAnsi="Times New Roman"/>
          <w:lang w:eastAsia="en-US"/>
        </w:rPr>
        <w:t>ý</w:t>
      </w:r>
      <w:r w:rsidR="00E04C31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bod</w:t>
      </w:r>
      <w:r w:rsidR="00D90296">
        <w:rPr>
          <w:rFonts w:ascii="Times New Roman" w:hAnsi="Times New Roman"/>
          <w:lang w:eastAsia="en-US"/>
        </w:rPr>
        <w:t xml:space="preserve"> znie:</w:t>
      </w:r>
    </w:p>
    <w:p w:rsidR="005624F3" w:rsidP="00D90296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 w:rsidR="00D90296">
        <w:rPr>
          <w:rFonts w:ascii="Times New Roman" w:hAnsi="Times New Roman"/>
          <w:lang w:eastAsia="en-US"/>
        </w:rPr>
        <w:t xml:space="preserve">„2. </w:t>
      </w:r>
      <w:r w:rsidRPr="00D90296" w:rsidR="00D90296">
        <w:rPr>
          <w:rFonts w:ascii="Times New Roman" w:hAnsi="Times New Roman"/>
          <w:lang w:eastAsia="en-US"/>
        </w:rPr>
        <w:t>vypracovanie štúdie uskutočniteľnosti</w:t>
      </w:r>
      <w:r w:rsidRPr="005624F3">
        <w:rPr>
          <w:rFonts w:ascii="Times New Roman" w:hAnsi="Times New Roman"/>
          <w:vertAlign w:val="superscript"/>
          <w:lang w:eastAsia="en-US"/>
        </w:rPr>
        <w:t>12a</w:t>
      </w:r>
      <w:r>
        <w:rPr>
          <w:rFonts w:ascii="Times New Roman" w:hAnsi="Times New Roman"/>
          <w:lang w:eastAsia="en-US"/>
        </w:rPr>
        <w:t>)</w:t>
      </w:r>
      <w:r w:rsidRPr="00D90296" w:rsidR="00D90296">
        <w:rPr>
          <w:rFonts w:ascii="Times New Roman" w:hAnsi="Times New Roman"/>
          <w:lang w:eastAsia="en-US"/>
        </w:rPr>
        <w:t xml:space="preserve"> projektu</w:t>
      </w:r>
      <w:r>
        <w:rPr>
          <w:rFonts w:ascii="Times New Roman" w:hAnsi="Times New Roman"/>
          <w:lang w:eastAsia="en-US"/>
        </w:rPr>
        <w:t xml:space="preserve"> výskumu a vývoja (ďalej len „štúdia uskutočniteľnosti“)</w:t>
      </w:r>
      <w:r w:rsidR="00D90296">
        <w:rPr>
          <w:rFonts w:ascii="Times New Roman" w:hAnsi="Times New Roman"/>
          <w:lang w:eastAsia="en-US"/>
        </w:rPr>
        <w:t>,“</w:t>
      </w:r>
    </w:p>
    <w:p w:rsidR="005624F3" w:rsidP="00D90296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</w:p>
    <w:p w:rsidR="005624F3" w:rsidP="00D90296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Poznámka pod čiarou k odkazu 12a znie:</w:t>
      </w:r>
    </w:p>
    <w:p w:rsidR="005624F3" w:rsidP="00D90296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„</w:t>
      </w:r>
      <w:r w:rsidRPr="00617FD1">
        <w:rPr>
          <w:rFonts w:ascii="Times New Roman" w:hAnsi="Times New Roman"/>
          <w:vertAlign w:val="superscript"/>
          <w:lang w:eastAsia="en-US"/>
        </w:rPr>
        <w:t>12a</w:t>
      </w:r>
      <w:r>
        <w:rPr>
          <w:rFonts w:ascii="Times New Roman" w:hAnsi="Times New Roman"/>
          <w:lang w:eastAsia="en-US"/>
        </w:rPr>
        <w:t xml:space="preserve">) Čl. 2 bod 87 </w:t>
      </w:r>
      <w:r w:rsidRPr="00CC13D3">
        <w:rPr>
          <w:rFonts w:ascii="Times New Roman" w:hAnsi="Times New Roman"/>
          <w:lang w:eastAsia="en-US"/>
        </w:rPr>
        <w:t>nariadenia (EÚ) č. 651/2014.</w:t>
      </w:r>
      <w:r>
        <w:rPr>
          <w:rFonts w:ascii="Times New Roman" w:hAnsi="Times New Roman"/>
          <w:lang w:eastAsia="en-US"/>
        </w:rPr>
        <w:t>“.</w:t>
      </w:r>
    </w:p>
    <w:p w:rsidR="00CC13D3" w:rsidP="00CC13D3">
      <w:pPr>
        <w:pStyle w:val="NoSpacing"/>
        <w:bidi w:val="0"/>
        <w:spacing w:line="276" w:lineRule="auto"/>
        <w:ind w:left="720"/>
        <w:rPr>
          <w:rFonts w:ascii="Times New Roman" w:hAnsi="Times New Roman"/>
          <w:lang w:eastAsia="en-US"/>
        </w:rPr>
      </w:pPr>
    </w:p>
    <w:p w:rsidR="008A2899" w:rsidP="00736C7F">
      <w:pPr>
        <w:pStyle w:val="NoSpacing"/>
        <w:numPr>
          <w:numId w:val="15"/>
        </w:numPr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V § 3 ods. 1 písm. a) </w:t>
      </w:r>
      <w:r w:rsidR="00D90296">
        <w:rPr>
          <w:rFonts w:ascii="Times New Roman" w:hAnsi="Times New Roman"/>
          <w:lang w:eastAsia="en-US"/>
        </w:rPr>
        <w:t>sa</w:t>
      </w:r>
      <w:r w:rsidR="00376A63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vypúšťa</w:t>
      </w:r>
      <w:r w:rsidR="00E04C31">
        <w:rPr>
          <w:rFonts w:ascii="Times New Roman" w:hAnsi="Times New Roman"/>
          <w:lang w:eastAsia="en-US"/>
        </w:rPr>
        <w:t xml:space="preserve"> tretí a štvrtý bod</w:t>
      </w:r>
      <w:r>
        <w:rPr>
          <w:rFonts w:ascii="Times New Roman" w:hAnsi="Times New Roman"/>
          <w:lang w:eastAsia="en-US"/>
        </w:rPr>
        <w:t>.</w:t>
      </w:r>
      <w:r w:rsidR="00113A56">
        <w:rPr>
          <w:rFonts w:ascii="Times New Roman" w:hAnsi="Times New Roman"/>
          <w:lang w:eastAsia="en-US"/>
        </w:rPr>
        <w:t xml:space="preserve"> Poznámka pod čiarou k odkazu 13 sa vypúšťa.</w:t>
      </w:r>
    </w:p>
    <w:p w:rsidR="008A2899" w:rsidP="008A2899">
      <w:pPr>
        <w:pStyle w:val="ListParagraph"/>
        <w:bidi w:val="0"/>
        <w:rPr>
          <w:rFonts w:ascii="Times New Roman" w:hAnsi="Times New Roman"/>
          <w:lang w:eastAsia="en-US"/>
        </w:rPr>
      </w:pPr>
    </w:p>
    <w:p w:rsidR="00CC13D3" w:rsidP="00736C7F">
      <w:pPr>
        <w:pStyle w:val="NoSpacing"/>
        <w:numPr>
          <w:numId w:val="15"/>
        </w:numPr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Poznámk</w:t>
      </w:r>
      <w:r w:rsidR="00E1552D">
        <w:rPr>
          <w:rFonts w:ascii="Times New Roman" w:hAnsi="Times New Roman"/>
          <w:lang w:eastAsia="en-US"/>
        </w:rPr>
        <w:t>y</w:t>
      </w:r>
      <w:r>
        <w:rPr>
          <w:rFonts w:ascii="Times New Roman" w:hAnsi="Times New Roman"/>
          <w:lang w:eastAsia="en-US"/>
        </w:rPr>
        <w:t xml:space="preserve"> pod čiarou k odkaz</w:t>
      </w:r>
      <w:r w:rsidR="00E1552D">
        <w:rPr>
          <w:rFonts w:ascii="Times New Roman" w:hAnsi="Times New Roman"/>
          <w:lang w:eastAsia="en-US"/>
        </w:rPr>
        <w:t>om</w:t>
      </w:r>
      <w:r>
        <w:rPr>
          <w:rFonts w:ascii="Times New Roman" w:hAnsi="Times New Roman"/>
          <w:lang w:eastAsia="en-US"/>
        </w:rPr>
        <w:t xml:space="preserve"> 15 </w:t>
      </w:r>
      <w:r w:rsidR="00E1552D">
        <w:rPr>
          <w:rFonts w:ascii="Times New Roman" w:hAnsi="Times New Roman"/>
          <w:lang w:eastAsia="en-US"/>
        </w:rPr>
        <w:t xml:space="preserve">a 16 </w:t>
      </w:r>
      <w:r>
        <w:rPr>
          <w:rFonts w:ascii="Times New Roman" w:hAnsi="Times New Roman"/>
          <w:lang w:eastAsia="en-US"/>
        </w:rPr>
        <w:t>zne</w:t>
      </w:r>
      <w:r w:rsidR="00E1552D">
        <w:rPr>
          <w:rFonts w:ascii="Times New Roman" w:hAnsi="Times New Roman"/>
          <w:lang w:eastAsia="en-US"/>
        </w:rPr>
        <w:t>jú</w:t>
      </w:r>
      <w:r>
        <w:rPr>
          <w:rFonts w:ascii="Times New Roman" w:hAnsi="Times New Roman"/>
          <w:lang w:eastAsia="en-US"/>
        </w:rPr>
        <w:t>:</w:t>
      </w:r>
    </w:p>
    <w:p w:rsidR="00CC13D3" w:rsidP="00CC13D3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„</w:t>
      </w:r>
      <w:r w:rsidRPr="00CC13D3">
        <w:rPr>
          <w:rFonts w:ascii="Times New Roman" w:hAnsi="Times New Roman"/>
          <w:vertAlign w:val="superscript"/>
          <w:lang w:eastAsia="en-US"/>
        </w:rPr>
        <w:t>15</w:t>
      </w:r>
      <w:r>
        <w:rPr>
          <w:rFonts w:ascii="Times New Roman" w:hAnsi="Times New Roman"/>
          <w:lang w:eastAsia="en-US"/>
        </w:rPr>
        <w:t xml:space="preserve">) </w:t>
      </w:r>
      <w:r w:rsidRPr="00CC13D3">
        <w:rPr>
          <w:rFonts w:ascii="Times New Roman" w:hAnsi="Times New Roman"/>
          <w:lang w:eastAsia="en-US"/>
        </w:rPr>
        <w:t>Čl. 2 ods. 3 Prílohy 1 nariadenia (EÚ) č. 651/2014.</w:t>
      </w:r>
    </w:p>
    <w:p w:rsidR="00CC13D3" w:rsidP="00CC13D3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 w:rsidRPr="00CC13D3">
        <w:rPr>
          <w:rFonts w:ascii="Times New Roman" w:hAnsi="Times New Roman"/>
          <w:vertAlign w:val="superscript"/>
          <w:lang w:eastAsia="en-US"/>
        </w:rPr>
        <w:t>16</w:t>
      </w:r>
      <w:r>
        <w:rPr>
          <w:rFonts w:ascii="Times New Roman" w:hAnsi="Times New Roman"/>
          <w:lang w:eastAsia="en-US"/>
        </w:rPr>
        <w:t xml:space="preserve">) </w:t>
      </w:r>
      <w:r w:rsidRPr="00CC13D3">
        <w:rPr>
          <w:rFonts w:ascii="Times New Roman" w:hAnsi="Times New Roman"/>
          <w:lang w:eastAsia="en-US"/>
        </w:rPr>
        <w:t>Čl. 2 ods. 2 Prílohy 1 nari</w:t>
      </w:r>
      <w:r>
        <w:rPr>
          <w:rFonts w:ascii="Times New Roman" w:hAnsi="Times New Roman"/>
          <w:lang w:eastAsia="en-US"/>
        </w:rPr>
        <w:t>adenia (EÚ) č. 651/2014.“.</w:t>
      </w:r>
    </w:p>
    <w:p w:rsidR="00CC13D3" w:rsidP="00CC13D3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</w:p>
    <w:p w:rsidR="00DD4B7C" w:rsidP="00736C7F">
      <w:pPr>
        <w:pStyle w:val="NoSpacing"/>
        <w:numPr>
          <w:numId w:val="15"/>
        </w:numPr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V § 3 sa za odsek 6 vkladá nový odsek 7, ktorý znie:</w:t>
      </w:r>
    </w:p>
    <w:p w:rsidR="00DD4B7C" w:rsidP="00DD4B7C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„(7) Ministerstvo školstva uchováva podrobné záznamy s informáciami a podpornou dokumentáciou potrebnou na zistenie, či boli splnené všetky podmienky </w:t>
      </w:r>
      <w:r w:rsidR="001F1CA6">
        <w:rPr>
          <w:rFonts w:ascii="Times New Roman" w:hAnsi="Times New Roman"/>
          <w:lang w:eastAsia="en-US"/>
        </w:rPr>
        <w:t>u</w:t>
      </w:r>
      <w:r>
        <w:rPr>
          <w:rFonts w:ascii="Times New Roman" w:hAnsi="Times New Roman"/>
          <w:lang w:eastAsia="en-US"/>
        </w:rPr>
        <w:t>stanovené v tomto zákone</w:t>
      </w:r>
      <w:r w:rsidR="00EE1A3A">
        <w:rPr>
          <w:rFonts w:ascii="Times New Roman" w:hAnsi="Times New Roman"/>
          <w:lang w:eastAsia="en-US"/>
        </w:rPr>
        <w:t xml:space="preserve"> a v osobitnom predpise</w:t>
      </w:r>
      <w:r>
        <w:rPr>
          <w:rFonts w:ascii="Times New Roman" w:hAnsi="Times New Roman"/>
          <w:lang w:eastAsia="en-US"/>
        </w:rPr>
        <w:t>.</w:t>
      </w:r>
      <w:r w:rsidRPr="00EE1A3A" w:rsidR="00EE1A3A">
        <w:rPr>
          <w:rFonts w:ascii="Times New Roman" w:hAnsi="Times New Roman"/>
          <w:vertAlign w:val="superscript"/>
          <w:lang w:eastAsia="en-US"/>
        </w:rPr>
        <w:t>16a</w:t>
      </w:r>
      <w:r w:rsidR="00EE1A3A">
        <w:rPr>
          <w:rFonts w:ascii="Times New Roman" w:hAnsi="Times New Roman"/>
          <w:lang w:eastAsia="en-US"/>
        </w:rPr>
        <w:t>)</w:t>
      </w:r>
      <w:r>
        <w:rPr>
          <w:rFonts w:ascii="Times New Roman" w:hAnsi="Times New Roman"/>
          <w:lang w:eastAsia="en-US"/>
        </w:rPr>
        <w:t xml:space="preserve"> Takéto záznamy sa uchovávajú 10 rokov odo dňa poskytnutia posledného stimulu poskytnutého na základe tohto zákona</w:t>
      </w:r>
      <w:r w:rsidR="00EE1A3A">
        <w:rPr>
          <w:rFonts w:ascii="Times New Roman" w:hAnsi="Times New Roman"/>
          <w:lang w:eastAsia="en-US"/>
        </w:rPr>
        <w:t xml:space="preserve"> a osobitného predpisu</w:t>
      </w:r>
      <w:r>
        <w:rPr>
          <w:rFonts w:ascii="Times New Roman" w:hAnsi="Times New Roman"/>
          <w:lang w:eastAsia="en-US"/>
        </w:rPr>
        <w:t>.</w:t>
      </w:r>
      <w:r w:rsidRPr="00EE1A3A" w:rsidR="00EE1A3A">
        <w:rPr>
          <w:rFonts w:ascii="Times New Roman" w:hAnsi="Times New Roman"/>
          <w:vertAlign w:val="superscript"/>
          <w:lang w:eastAsia="en-US"/>
        </w:rPr>
        <w:t>16a</w:t>
      </w:r>
      <w:r w:rsidR="00EE1A3A">
        <w:rPr>
          <w:rFonts w:ascii="Times New Roman" w:hAnsi="Times New Roman"/>
          <w:lang w:eastAsia="en-US"/>
        </w:rPr>
        <w:t>)</w:t>
      </w:r>
      <w:r>
        <w:rPr>
          <w:rFonts w:ascii="Times New Roman" w:hAnsi="Times New Roman"/>
          <w:lang w:eastAsia="en-US"/>
        </w:rPr>
        <w:t>“.</w:t>
      </w:r>
    </w:p>
    <w:p w:rsidR="00EE1A3A" w:rsidP="00DD4B7C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</w:p>
    <w:p w:rsidR="00EE1A3A" w:rsidP="00DD4B7C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Poznámka pod čiarou k odkazu 16a znie:</w:t>
      </w:r>
    </w:p>
    <w:p w:rsidR="00EE1A3A" w:rsidP="00DD4B7C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„</w:t>
      </w:r>
      <w:r w:rsidRPr="00EE1A3A">
        <w:rPr>
          <w:rFonts w:ascii="Times New Roman" w:hAnsi="Times New Roman"/>
          <w:vertAlign w:val="superscript"/>
          <w:lang w:eastAsia="en-US"/>
        </w:rPr>
        <w:t>16a</w:t>
      </w:r>
      <w:r>
        <w:rPr>
          <w:rFonts w:ascii="Times New Roman" w:hAnsi="Times New Roman"/>
          <w:lang w:eastAsia="en-US"/>
        </w:rPr>
        <w:t>) Čl. 12 nariadenia (EÚ) č. 651/2014.</w:t>
      </w:r>
    </w:p>
    <w:p w:rsidR="00DD4B7C" w:rsidP="00DD4B7C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</w:p>
    <w:p w:rsidR="00DD4B7C" w:rsidP="00DD4B7C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Doterajší odsek 7 sa označuje ako odsek 8.</w:t>
      </w:r>
    </w:p>
    <w:p w:rsidR="00DD4B7C" w:rsidP="00DD4B7C">
      <w:pPr>
        <w:pStyle w:val="NoSpacing"/>
        <w:bidi w:val="0"/>
        <w:spacing w:line="276" w:lineRule="auto"/>
        <w:ind w:left="720"/>
        <w:rPr>
          <w:rFonts w:ascii="Times New Roman" w:hAnsi="Times New Roman"/>
          <w:lang w:eastAsia="en-US"/>
        </w:rPr>
      </w:pPr>
    </w:p>
    <w:p w:rsidR="00CC13D3" w:rsidP="00736C7F">
      <w:pPr>
        <w:pStyle w:val="NoSpacing"/>
        <w:numPr>
          <w:numId w:val="15"/>
        </w:numPr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Poznámka pod čiarou k odkazu 17 znie:</w:t>
      </w:r>
    </w:p>
    <w:p w:rsidR="00CC13D3" w:rsidP="00CC13D3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„</w:t>
      </w:r>
      <w:r w:rsidRPr="00CC13D3">
        <w:rPr>
          <w:rFonts w:ascii="Times New Roman" w:hAnsi="Times New Roman"/>
          <w:vertAlign w:val="superscript"/>
          <w:lang w:eastAsia="en-US"/>
        </w:rPr>
        <w:t>17</w:t>
      </w:r>
      <w:r>
        <w:rPr>
          <w:rFonts w:ascii="Times New Roman" w:hAnsi="Times New Roman"/>
          <w:lang w:eastAsia="en-US"/>
        </w:rPr>
        <w:t xml:space="preserve">) </w:t>
      </w:r>
      <w:r w:rsidRPr="00CC13D3">
        <w:rPr>
          <w:rFonts w:ascii="Times New Roman" w:hAnsi="Times New Roman"/>
          <w:lang w:eastAsia="en-US"/>
        </w:rPr>
        <w:t xml:space="preserve">Čl. </w:t>
      </w:r>
      <w:r>
        <w:rPr>
          <w:rFonts w:ascii="Times New Roman" w:hAnsi="Times New Roman"/>
          <w:lang w:eastAsia="en-US"/>
        </w:rPr>
        <w:t>4 ods. 1</w:t>
      </w:r>
      <w:r w:rsidR="00005506">
        <w:rPr>
          <w:rFonts w:ascii="Times New Roman" w:hAnsi="Times New Roman"/>
          <w:lang w:eastAsia="en-US"/>
        </w:rPr>
        <w:t>, čl. 8</w:t>
      </w:r>
      <w:r w:rsidRPr="00CC13D3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a čl. 25</w:t>
      </w:r>
      <w:r w:rsidRPr="00CC13D3">
        <w:rPr>
          <w:rFonts w:ascii="Times New Roman" w:hAnsi="Times New Roman"/>
          <w:lang w:eastAsia="en-US"/>
        </w:rPr>
        <w:t xml:space="preserve"> nariadenia (EÚ) č. 651/2014.</w:t>
      </w:r>
      <w:r>
        <w:rPr>
          <w:rFonts w:ascii="Times New Roman" w:hAnsi="Times New Roman"/>
          <w:lang w:eastAsia="en-US"/>
        </w:rPr>
        <w:t>“.</w:t>
      </w:r>
    </w:p>
    <w:p w:rsidR="008A2899" w:rsidP="00CC13D3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</w:p>
    <w:p w:rsidR="008A2899" w:rsidP="00736C7F">
      <w:pPr>
        <w:pStyle w:val="NoSpacing"/>
        <w:numPr>
          <w:numId w:val="15"/>
        </w:numPr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V § 4 ods. 7 sa slová „b) až g)“ nahrádzajú slovami „b) až </w:t>
      </w:r>
      <w:r w:rsidR="005624F3">
        <w:rPr>
          <w:rFonts w:ascii="Times New Roman" w:hAnsi="Times New Roman"/>
          <w:lang w:eastAsia="en-US"/>
        </w:rPr>
        <w:t>d</w:t>
      </w:r>
      <w:r>
        <w:rPr>
          <w:rFonts w:ascii="Times New Roman" w:hAnsi="Times New Roman"/>
          <w:lang w:eastAsia="en-US"/>
        </w:rPr>
        <w:t>)</w:t>
      </w:r>
      <w:r w:rsidR="005624F3">
        <w:rPr>
          <w:rFonts w:ascii="Times New Roman" w:hAnsi="Times New Roman"/>
          <w:lang w:eastAsia="en-US"/>
        </w:rPr>
        <w:t xml:space="preserve"> ani štúdia uskutočniteľnosti</w:t>
      </w:r>
      <w:r>
        <w:rPr>
          <w:rFonts w:ascii="Times New Roman" w:hAnsi="Times New Roman"/>
          <w:lang w:eastAsia="en-US"/>
        </w:rPr>
        <w:t>“.</w:t>
      </w:r>
    </w:p>
    <w:p w:rsidR="008A2899" w:rsidP="008A2899">
      <w:pPr>
        <w:pStyle w:val="NoSpacing"/>
        <w:bidi w:val="0"/>
        <w:spacing w:line="276" w:lineRule="auto"/>
        <w:ind w:left="720"/>
        <w:rPr>
          <w:rFonts w:ascii="Times New Roman" w:hAnsi="Times New Roman"/>
          <w:lang w:eastAsia="en-US"/>
        </w:rPr>
      </w:pPr>
    </w:p>
    <w:p w:rsidR="00E04C31" w:rsidP="00736C7F">
      <w:pPr>
        <w:pStyle w:val="NoSpacing"/>
        <w:numPr>
          <w:numId w:val="15"/>
        </w:numPr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P</w:t>
      </w:r>
      <w:r w:rsidR="008A2899">
        <w:rPr>
          <w:rFonts w:ascii="Times New Roman" w:hAnsi="Times New Roman"/>
          <w:lang w:eastAsia="en-US"/>
        </w:rPr>
        <w:t>oznámk</w:t>
      </w:r>
      <w:r>
        <w:rPr>
          <w:rFonts w:ascii="Times New Roman" w:hAnsi="Times New Roman"/>
          <w:lang w:eastAsia="en-US"/>
        </w:rPr>
        <w:t>a</w:t>
      </w:r>
      <w:r w:rsidR="008A2899">
        <w:rPr>
          <w:rFonts w:ascii="Times New Roman" w:hAnsi="Times New Roman"/>
          <w:lang w:eastAsia="en-US"/>
        </w:rPr>
        <w:t xml:space="preserve"> pod čiarou k odkazu 19 </w:t>
      </w:r>
      <w:r>
        <w:rPr>
          <w:rFonts w:ascii="Times New Roman" w:hAnsi="Times New Roman"/>
          <w:lang w:eastAsia="en-US"/>
        </w:rPr>
        <w:t>znie:</w:t>
      </w:r>
    </w:p>
    <w:p w:rsidR="008A2899" w:rsidP="00E04C31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 w:rsidR="00E04C31">
        <w:rPr>
          <w:rFonts w:ascii="Times New Roman" w:hAnsi="Times New Roman"/>
          <w:lang w:eastAsia="en-US"/>
        </w:rPr>
        <w:t>„</w:t>
      </w:r>
      <w:r w:rsidRPr="00E04C31" w:rsidR="00E04C31">
        <w:rPr>
          <w:rFonts w:ascii="Times New Roman" w:hAnsi="Times New Roman"/>
          <w:vertAlign w:val="superscript"/>
          <w:lang w:eastAsia="en-US"/>
        </w:rPr>
        <w:t>19</w:t>
      </w:r>
      <w:r w:rsidR="00E04C31">
        <w:rPr>
          <w:rFonts w:ascii="Times New Roman" w:hAnsi="Times New Roman"/>
          <w:lang w:eastAsia="en-US"/>
        </w:rPr>
        <w:t xml:space="preserve">) </w:t>
      </w:r>
      <w:r w:rsidRPr="00E04C31" w:rsidR="00E04C31">
        <w:rPr>
          <w:rFonts w:ascii="Times New Roman" w:hAnsi="Times New Roman"/>
          <w:lang w:eastAsia="en-US"/>
        </w:rPr>
        <w:t>§ 17 zákona č. 172/2005 Z.</w:t>
      </w:r>
      <w:r w:rsidR="00E04C31">
        <w:rPr>
          <w:rFonts w:ascii="Times New Roman" w:hAnsi="Times New Roman"/>
          <w:lang w:eastAsia="en-US"/>
        </w:rPr>
        <w:t xml:space="preserve"> </w:t>
      </w:r>
      <w:r w:rsidRPr="00E04C31" w:rsidR="00E04C31">
        <w:rPr>
          <w:rFonts w:ascii="Times New Roman" w:hAnsi="Times New Roman"/>
          <w:lang w:eastAsia="en-US"/>
        </w:rPr>
        <w:t>z. v znení zákona č. 233/2008 Z.</w:t>
      </w:r>
      <w:r w:rsidR="00E04C31">
        <w:rPr>
          <w:rFonts w:ascii="Times New Roman" w:hAnsi="Times New Roman"/>
          <w:lang w:eastAsia="en-US"/>
        </w:rPr>
        <w:t xml:space="preserve"> </w:t>
      </w:r>
      <w:r w:rsidRPr="00E04C31" w:rsidR="00E04C31">
        <w:rPr>
          <w:rFonts w:ascii="Times New Roman" w:hAnsi="Times New Roman"/>
          <w:lang w:eastAsia="en-US"/>
        </w:rPr>
        <w:t>z.</w:t>
      </w:r>
      <w:r w:rsidR="002E3EA5">
        <w:rPr>
          <w:rFonts w:ascii="Times New Roman" w:hAnsi="Times New Roman"/>
          <w:lang w:eastAsia="en-US"/>
        </w:rPr>
        <w:t>,</w:t>
      </w:r>
      <w:r w:rsidRPr="008A2899">
        <w:rPr>
          <w:rFonts w:ascii="Times New Roman" w:hAnsi="Times New Roman"/>
          <w:lang w:eastAsia="en-US"/>
        </w:rPr>
        <w:t xml:space="preserve"> </w:t>
      </w:r>
      <w:r w:rsidR="000D34AE">
        <w:rPr>
          <w:rFonts w:ascii="Times New Roman" w:hAnsi="Times New Roman"/>
          <w:lang w:eastAsia="en-US"/>
        </w:rPr>
        <w:t>č</w:t>
      </w:r>
      <w:r w:rsidRPr="008A2899">
        <w:rPr>
          <w:rFonts w:ascii="Times New Roman" w:hAnsi="Times New Roman"/>
          <w:lang w:eastAsia="en-US"/>
        </w:rPr>
        <w:t>l. 25 ods. 3 nariadenia (EÚ) č. 651/2014</w:t>
      </w:r>
      <w:r>
        <w:rPr>
          <w:rFonts w:ascii="Times New Roman" w:hAnsi="Times New Roman"/>
          <w:lang w:eastAsia="en-US"/>
        </w:rPr>
        <w:t>.“.</w:t>
      </w:r>
    </w:p>
    <w:p w:rsidR="008A2899" w:rsidP="008A2899">
      <w:pPr>
        <w:pStyle w:val="ListParagraph"/>
        <w:bidi w:val="0"/>
        <w:rPr>
          <w:rFonts w:ascii="Times New Roman" w:hAnsi="Times New Roman"/>
          <w:lang w:eastAsia="en-US"/>
        </w:rPr>
      </w:pPr>
    </w:p>
    <w:p w:rsidR="008A2899" w:rsidP="00736C7F">
      <w:pPr>
        <w:pStyle w:val="NoSpacing"/>
        <w:numPr>
          <w:numId w:val="15"/>
        </w:numPr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V § 5 odsek 2 znie:</w:t>
      </w:r>
    </w:p>
    <w:p w:rsidR="008A2899" w:rsidP="008A2899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„(2) </w:t>
      </w:r>
      <w:r w:rsidRPr="008A2899">
        <w:rPr>
          <w:rFonts w:ascii="Times New Roman" w:hAnsi="Times New Roman"/>
          <w:lang w:eastAsia="en-US"/>
        </w:rPr>
        <w:t xml:space="preserve">Oprávnené náklady na vypracovanie štúdie </w:t>
      </w:r>
      <w:r w:rsidR="00376A63">
        <w:rPr>
          <w:rFonts w:ascii="Times New Roman" w:hAnsi="Times New Roman"/>
          <w:lang w:eastAsia="en-US"/>
        </w:rPr>
        <w:t>uskutočniteľnosti</w:t>
      </w:r>
      <w:r w:rsidRPr="008A2899">
        <w:rPr>
          <w:rFonts w:ascii="Times New Roman" w:hAnsi="Times New Roman"/>
          <w:lang w:eastAsia="en-US"/>
        </w:rPr>
        <w:t xml:space="preserve"> ustanov</w:t>
      </w:r>
      <w:r w:rsidR="002E3EA5">
        <w:rPr>
          <w:rFonts w:ascii="Times New Roman" w:hAnsi="Times New Roman"/>
          <w:lang w:eastAsia="en-US"/>
        </w:rPr>
        <w:t>uje</w:t>
      </w:r>
      <w:r w:rsidRPr="008A2899">
        <w:rPr>
          <w:rFonts w:ascii="Times New Roman" w:hAnsi="Times New Roman"/>
          <w:lang w:eastAsia="en-US"/>
        </w:rPr>
        <w:t xml:space="preserve"> osobitný predpis. </w:t>
      </w:r>
      <w:r w:rsidRPr="008A2899">
        <w:rPr>
          <w:rFonts w:ascii="Times New Roman" w:hAnsi="Times New Roman"/>
          <w:vertAlign w:val="superscript"/>
          <w:lang w:eastAsia="en-US"/>
        </w:rPr>
        <w:t>20</w:t>
      </w:r>
      <w:r w:rsidRPr="008A2899">
        <w:rPr>
          <w:rFonts w:ascii="Times New Roman" w:hAnsi="Times New Roman"/>
          <w:lang w:eastAsia="en-US"/>
        </w:rPr>
        <w:t>)</w:t>
      </w:r>
      <w:r>
        <w:rPr>
          <w:rFonts w:ascii="Times New Roman" w:hAnsi="Times New Roman"/>
          <w:lang w:eastAsia="en-US"/>
        </w:rPr>
        <w:t>“.</w:t>
      </w:r>
    </w:p>
    <w:p w:rsidR="00144116" w:rsidP="008A2899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</w:p>
    <w:p w:rsidR="00144116" w:rsidP="008A2899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Poznámka pod čiarou k odkazu 20 znie:</w:t>
      </w:r>
    </w:p>
    <w:p w:rsidR="00144116" w:rsidP="008A2899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„</w:t>
      </w:r>
      <w:r w:rsidRPr="00144116">
        <w:rPr>
          <w:rFonts w:ascii="Times New Roman" w:hAnsi="Times New Roman"/>
          <w:vertAlign w:val="superscript"/>
          <w:lang w:eastAsia="en-US"/>
        </w:rPr>
        <w:t>20</w:t>
      </w:r>
      <w:r>
        <w:rPr>
          <w:rFonts w:ascii="Times New Roman" w:hAnsi="Times New Roman"/>
          <w:lang w:eastAsia="en-US"/>
        </w:rPr>
        <w:t xml:space="preserve">) </w:t>
      </w:r>
      <w:r w:rsidRPr="00144116">
        <w:rPr>
          <w:rFonts w:ascii="Times New Roman" w:hAnsi="Times New Roman"/>
          <w:lang w:eastAsia="en-US"/>
        </w:rPr>
        <w:t>Čl. 25 ods. 4 nariadenia (EÚ) č. 651/2014.</w:t>
      </w:r>
      <w:r>
        <w:rPr>
          <w:rFonts w:ascii="Times New Roman" w:hAnsi="Times New Roman"/>
          <w:lang w:eastAsia="en-US"/>
        </w:rPr>
        <w:t>“.</w:t>
      </w:r>
    </w:p>
    <w:p w:rsidR="00144116" w:rsidP="008A2899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</w:p>
    <w:p w:rsidR="00144116" w:rsidP="00736C7F">
      <w:pPr>
        <w:pStyle w:val="NoSpacing"/>
        <w:numPr>
          <w:numId w:val="15"/>
        </w:numPr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V § 5 sa vypúšťajú odseky 3 a</w:t>
      </w:r>
      <w:r w:rsidR="00791136">
        <w:rPr>
          <w:rFonts w:ascii="Times New Roman" w:hAnsi="Times New Roman"/>
          <w:lang w:eastAsia="en-US"/>
        </w:rPr>
        <w:t>ž 5</w:t>
      </w:r>
      <w:r w:rsidR="001049B5">
        <w:rPr>
          <w:rFonts w:ascii="Times New Roman" w:hAnsi="Times New Roman"/>
          <w:lang w:eastAsia="en-US"/>
        </w:rPr>
        <w:t>. P</w:t>
      </w:r>
      <w:r>
        <w:rPr>
          <w:rFonts w:ascii="Times New Roman" w:hAnsi="Times New Roman"/>
          <w:lang w:eastAsia="en-US"/>
        </w:rPr>
        <w:t>oznámk</w:t>
      </w:r>
      <w:r w:rsidR="001049B5">
        <w:rPr>
          <w:rFonts w:ascii="Times New Roman" w:hAnsi="Times New Roman"/>
          <w:lang w:eastAsia="en-US"/>
        </w:rPr>
        <w:t>y</w:t>
      </w:r>
      <w:r>
        <w:rPr>
          <w:rFonts w:ascii="Times New Roman" w:hAnsi="Times New Roman"/>
          <w:lang w:eastAsia="en-US"/>
        </w:rPr>
        <w:t xml:space="preserve"> pod čiarou k odkazom 21 až 26</w:t>
      </w:r>
      <w:r w:rsidR="001049B5">
        <w:rPr>
          <w:rFonts w:ascii="Times New Roman" w:hAnsi="Times New Roman"/>
          <w:lang w:eastAsia="en-US"/>
        </w:rPr>
        <w:t xml:space="preserve"> sa vypúšťajú</w:t>
      </w:r>
      <w:r>
        <w:rPr>
          <w:rFonts w:ascii="Times New Roman" w:hAnsi="Times New Roman"/>
          <w:lang w:eastAsia="en-US"/>
        </w:rPr>
        <w:t>.</w:t>
      </w:r>
    </w:p>
    <w:p w:rsidR="00144116" w:rsidP="00144116">
      <w:pPr>
        <w:pStyle w:val="NoSpacing"/>
        <w:bidi w:val="0"/>
        <w:spacing w:line="276" w:lineRule="auto"/>
        <w:ind w:left="720"/>
        <w:rPr>
          <w:rFonts w:ascii="Times New Roman" w:hAnsi="Times New Roman"/>
          <w:lang w:eastAsia="en-US"/>
        </w:rPr>
      </w:pPr>
    </w:p>
    <w:p w:rsidR="00144116" w:rsidP="00736C7F">
      <w:pPr>
        <w:pStyle w:val="NoSpacing"/>
        <w:numPr>
          <w:numId w:val="15"/>
        </w:numPr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V § 6 ods. 1 sa slová „b) až f)“ nahrádzajú slovami „b) až </w:t>
      </w:r>
      <w:r w:rsidR="005624F3">
        <w:rPr>
          <w:rFonts w:ascii="Times New Roman" w:hAnsi="Times New Roman"/>
          <w:lang w:eastAsia="en-US"/>
        </w:rPr>
        <w:t>d</w:t>
      </w:r>
      <w:r>
        <w:rPr>
          <w:rFonts w:ascii="Times New Roman" w:hAnsi="Times New Roman"/>
          <w:lang w:eastAsia="en-US"/>
        </w:rPr>
        <w:t>)</w:t>
      </w:r>
      <w:r w:rsidR="005624F3">
        <w:rPr>
          <w:rFonts w:ascii="Times New Roman" w:hAnsi="Times New Roman"/>
          <w:lang w:eastAsia="en-US"/>
        </w:rPr>
        <w:t xml:space="preserve"> alebo na štúdii uskutočniteľnosti</w:t>
      </w:r>
      <w:r>
        <w:rPr>
          <w:rFonts w:ascii="Times New Roman" w:hAnsi="Times New Roman"/>
          <w:lang w:eastAsia="en-US"/>
        </w:rPr>
        <w:t>“.</w:t>
      </w:r>
    </w:p>
    <w:p w:rsidR="00144116" w:rsidP="00144116">
      <w:pPr>
        <w:pStyle w:val="ListParagraph"/>
        <w:bidi w:val="0"/>
        <w:rPr>
          <w:rFonts w:ascii="Times New Roman" w:hAnsi="Times New Roman"/>
          <w:lang w:eastAsia="en-US"/>
        </w:rPr>
      </w:pPr>
    </w:p>
    <w:p w:rsidR="00144116" w:rsidP="00736C7F">
      <w:pPr>
        <w:pStyle w:val="NoSpacing"/>
        <w:numPr>
          <w:numId w:val="15"/>
        </w:numPr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V § 6 ods. 2 písm. a) </w:t>
      </w:r>
      <w:r w:rsidR="00E04C31">
        <w:rPr>
          <w:rFonts w:ascii="Times New Roman" w:hAnsi="Times New Roman"/>
          <w:lang w:eastAsia="en-US"/>
        </w:rPr>
        <w:t xml:space="preserve">prvom </w:t>
      </w:r>
      <w:r>
        <w:rPr>
          <w:rFonts w:ascii="Times New Roman" w:hAnsi="Times New Roman"/>
          <w:lang w:eastAsia="en-US"/>
        </w:rPr>
        <w:t>bod</w:t>
      </w:r>
      <w:r w:rsidR="00E04C31">
        <w:rPr>
          <w:rFonts w:ascii="Times New Roman" w:hAnsi="Times New Roman"/>
          <w:lang w:eastAsia="en-US"/>
        </w:rPr>
        <w:t>e</w:t>
      </w:r>
      <w:r>
        <w:rPr>
          <w:rFonts w:ascii="Times New Roman" w:hAnsi="Times New Roman"/>
          <w:lang w:eastAsia="en-US"/>
        </w:rPr>
        <w:t xml:space="preserve"> sa za slová „právna forma“ vklad</w:t>
      </w:r>
      <w:r w:rsidR="001855E7">
        <w:rPr>
          <w:rFonts w:ascii="Times New Roman" w:hAnsi="Times New Roman"/>
          <w:lang w:eastAsia="en-US"/>
        </w:rPr>
        <w:t>á</w:t>
      </w:r>
      <w:r>
        <w:rPr>
          <w:rFonts w:ascii="Times New Roman" w:hAnsi="Times New Roman"/>
          <w:lang w:eastAsia="en-US"/>
        </w:rPr>
        <w:t> </w:t>
      </w:r>
      <w:r w:rsidR="001855E7">
        <w:rPr>
          <w:rFonts w:ascii="Times New Roman" w:hAnsi="Times New Roman"/>
          <w:lang w:eastAsia="en-US"/>
        </w:rPr>
        <w:t xml:space="preserve">čiarka a </w:t>
      </w:r>
      <w:r>
        <w:rPr>
          <w:rFonts w:ascii="Times New Roman" w:hAnsi="Times New Roman"/>
          <w:lang w:eastAsia="en-US"/>
        </w:rPr>
        <w:t>slová „veľkosť podniku</w:t>
      </w:r>
      <w:r w:rsidRPr="00144116">
        <w:rPr>
          <w:rFonts w:ascii="Times New Roman" w:hAnsi="Times New Roman"/>
          <w:vertAlign w:val="superscript"/>
          <w:lang w:eastAsia="en-US"/>
        </w:rPr>
        <w:t>21</w:t>
      </w:r>
      <w:r>
        <w:rPr>
          <w:rFonts w:ascii="Times New Roman" w:hAnsi="Times New Roman"/>
          <w:lang w:eastAsia="en-US"/>
        </w:rPr>
        <w:t>)“.</w:t>
      </w:r>
    </w:p>
    <w:p w:rsidR="00144116" w:rsidP="00144116">
      <w:pPr>
        <w:pStyle w:val="ListParagraph"/>
        <w:bidi w:val="0"/>
        <w:rPr>
          <w:rFonts w:ascii="Times New Roman" w:hAnsi="Times New Roman"/>
          <w:lang w:eastAsia="en-US"/>
        </w:rPr>
      </w:pPr>
    </w:p>
    <w:p w:rsidR="00144116" w:rsidP="00144116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Poznámka pod čiarou k odkazu 21 znie:</w:t>
      </w:r>
    </w:p>
    <w:p w:rsidR="00144116" w:rsidP="00144116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„</w:t>
      </w:r>
      <w:r w:rsidRPr="007736EE">
        <w:rPr>
          <w:rFonts w:ascii="Times New Roman" w:hAnsi="Times New Roman"/>
          <w:vertAlign w:val="superscript"/>
          <w:lang w:eastAsia="en-US"/>
        </w:rPr>
        <w:t>21</w:t>
      </w:r>
      <w:r>
        <w:rPr>
          <w:rFonts w:ascii="Times New Roman" w:hAnsi="Times New Roman"/>
          <w:lang w:eastAsia="en-US"/>
        </w:rPr>
        <w:t xml:space="preserve">) </w:t>
      </w:r>
      <w:r w:rsidRPr="00144116">
        <w:rPr>
          <w:rFonts w:ascii="Times New Roman" w:hAnsi="Times New Roman"/>
          <w:lang w:eastAsia="en-US"/>
        </w:rPr>
        <w:t>Príloh</w:t>
      </w:r>
      <w:r w:rsidR="0076343B">
        <w:rPr>
          <w:rFonts w:ascii="Times New Roman" w:hAnsi="Times New Roman"/>
          <w:lang w:eastAsia="en-US"/>
        </w:rPr>
        <w:t>a</w:t>
      </w:r>
      <w:r w:rsidRPr="00144116">
        <w:rPr>
          <w:rFonts w:ascii="Times New Roman" w:hAnsi="Times New Roman"/>
          <w:lang w:eastAsia="en-US"/>
        </w:rPr>
        <w:t xml:space="preserve"> 1 nariadenia (EÚ) č. 651/2014.</w:t>
      </w:r>
      <w:r>
        <w:rPr>
          <w:rFonts w:ascii="Times New Roman" w:hAnsi="Times New Roman"/>
          <w:lang w:eastAsia="en-US"/>
        </w:rPr>
        <w:t>“.</w:t>
      </w:r>
    </w:p>
    <w:p w:rsidR="00144116" w:rsidP="00144116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</w:p>
    <w:p w:rsidR="00144116" w:rsidP="00736C7F">
      <w:pPr>
        <w:pStyle w:val="NoSpacing"/>
        <w:numPr>
          <w:numId w:val="15"/>
        </w:numPr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V § 6 ods. 2 písm. j) </w:t>
      </w:r>
      <w:r w:rsidR="000C740A">
        <w:rPr>
          <w:rFonts w:ascii="Times New Roman" w:hAnsi="Times New Roman"/>
          <w:lang w:eastAsia="en-US"/>
        </w:rPr>
        <w:t xml:space="preserve">uvádzacej vete </w:t>
      </w:r>
      <w:r>
        <w:rPr>
          <w:rFonts w:ascii="Times New Roman" w:hAnsi="Times New Roman"/>
          <w:lang w:eastAsia="en-US"/>
        </w:rPr>
        <w:t>sa slová „</w:t>
      </w:r>
      <w:r w:rsidR="00617FD1">
        <w:rPr>
          <w:rFonts w:ascii="Times New Roman" w:hAnsi="Times New Roman"/>
          <w:lang w:eastAsia="en-US"/>
        </w:rPr>
        <w:t xml:space="preserve">projekt podľa § 2 </w:t>
      </w:r>
      <w:r>
        <w:rPr>
          <w:rFonts w:ascii="Times New Roman" w:hAnsi="Times New Roman"/>
          <w:lang w:eastAsia="en-US"/>
        </w:rPr>
        <w:t>písm. e) až g)“ nahrádzajú slovami „</w:t>
      </w:r>
      <w:r w:rsidR="00617FD1">
        <w:rPr>
          <w:rFonts w:ascii="Times New Roman" w:hAnsi="Times New Roman"/>
          <w:lang w:eastAsia="en-US"/>
        </w:rPr>
        <w:t>štúdia uskutočniteľnosti</w:t>
      </w:r>
      <w:r>
        <w:rPr>
          <w:rFonts w:ascii="Times New Roman" w:hAnsi="Times New Roman"/>
          <w:lang w:eastAsia="en-US"/>
        </w:rPr>
        <w:t>“.</w:t>
      </w:r>
    </w:p>
    <w:p w:rsidR="00144116" w:rsidP="00144116">
      <w:pPr>
        <w:pStyle w:val="NoSpacing"/>
        <w:bidi w:val="0"/>
        <w:spacing w:line="276" w:lineRule="auto"/>
        <w:ind w:left="720"/>
        <w:rPr>
          <w:rFonts w:ascii="Times New Roman" w:hAnsi="Times New Roman"/>
          <w:lang w:eastAsia="en-US"/>
        </w:rPr>
      </w:pPr>
    </w:p>
    <w:p w:rsidR="00E04C31" w:rsidP="00736C7F">
      <w:pPr>
        <w:pStyle w:val="NoSpacing"/>
        <w:numPr>
          <w:numId w:val="15"/>
        </w:numPr>
        <w:bidi w:val="0"/>
        <w:spacing w:line="276" w:lineRule="auto"/>
        <w:rPr>
          <w:rFonts w:ascii="Times New Roman" w:hAnsi="Times New Roman"/>
          <w:lang w:eastAsia="en-US"/>
        </w:rPr>
      </w:pPr>
      <w:r w:rsidR="00144116">
        <w:rPr>
          <w:rFonts w:ascii="Times New Roman" w:hAnsi="Times New Roman"/>
          <w:lang w:eastAsia="en-US"/>
        </w:rPr>
        <w:t xml:space="preserve">V § 6 ods. 2 písm. j) </w:t>
      </w:r>
      <w:r>
        <w:rPr>
          <w:rFonts w:ascii="Times New Roman" w:hAnsi="Times New Roman"/>
          <w:lang w:eastAsia="en-US"/>
        </w:rPr>
        <w:t xml:space="preserve">piaty </w:t>
      </w:r>
      <w:r w:rsidR="00144116">
        <w:rPr>
          <w:rFonts w:ascii="Times New Roman" w:hAnsi="Times New Roman"/>
          <w:lang w:eastAsia="en-US"/>
        </w:rPr>
        <w:t xml:space="preserve">bod </w:t>
      </w:r>
      <w:r>
        <w:rPr>
          <w:rFonts w:ascii="Times New Roman" w:hAnsi="Times New Roman"/>
          <w:lang w:eastAsia="en-US"/>
        </w:rPr>
        <w:t>znie</w:t>
      </w:r>
      <w:r w:rsidR="000B1646">
        <w:rPr>
          <w:rFonts w:ascii="Times New Roman" w:hAnsi="Times New Roman"/>
          <w:lang w:eastAsia="en-US"/>
        </w:rPr>
        <w:t>:</w:t>
      </w:r>
    </w:p>
    <w:p w:rsidR="00144116" w:rsidP="00E04C31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 w:rsidR="00E04C31">
        <w:rPr>
          <w:rFonts w:ascii="Times New Roman" w:hAnsi="Times New Roman"/>
          <w:lang w:eastAsia="en-US"/>
        </w:rPr>
        <w:t xml:space="preserve">„5. </w:t>
      </w:r>
      <w:r w:rsidRPr="00E04C31" w:rsidR="00E04C31">
        <w:rPr>
          <w:rFonts w:ascii="Times New Roman" w:hAnsi="Times New Roman"/>
          <w:lang w:eastAsia="en-US"/>
        </w:rPr>
        <w:t>spôsob zabezpečenia plnenia cieľov projektu poskytnutím zoznamu účasti vlastných zamestnancov výskumu a vývoja, zoznamu vlastných prístrojov a technických zariadení a</w:t>
      </w:r>
      <w:r w:rsidR="00E1552D">
        <w:rPr>
          <w:rFonts w:ascii="Times New Roman" w:hAnsi="Times New Roman"/>
          <w:lang w:eastAsia="en-US"/>
        </w:rPr>
        <w:t> </w:t>
      </w:r>
      <w:r w:rsidRPr="00E04C31" w:rsidR="00E04C31">
        <w:rPr>
          <w:rFonts w:ascii="Times New Roman" w:hAnsi="Times New Roman"/>
          <w:lang w:eastAsia="en-US"/>
        </w:rPr>
        <w:t>popísaním požiadavky na zabezpečenie nových prístrojov a technických zariadení,</w:t>
      </w:r>
      <w:r w:rsidR="00E04C31">
        <w:rPr>
          <w:rFonts w:ascii="Times New Roman" w:hAnsi="Times New Roman"/>
          <w:lang w:eastAsia="en-US"/>
        </w:rPr>
        <w:t>“.</w:t>
      </w:r>
    </w:p>
    <w:p w:rsidR="00144116" w:rsidP="00144116">
      <w:pPr>
        <w:pStyle w:val="ListParagraph"/>
        <w:bidi w:val="0"/>
        <w:rPr>
          <w:rFonts w:ascii="Times New Roman" w:hAnsi="Times New Roman"/>
          <w:lang w:eastAsia="en-US"/>
        </w:rPr>
      </w:pPr>
    </w:p>
    <w:p w:rsidR="00376A63" w:rsidP="00736C7F">
      <w:pPr>
        <w:pStyle w:val="NoSpacing"/>
        <w:numPr>
          <w:numId w:val="15"/>
        </w:numPr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V § 9 ods. 2 sa slov</w:t>
      </w:r>
      <w:r w:rsidR="00617FD1">
        <w:rPr>
          <w:rFonts w:ascii="Times New Roman" w:hAnsi="Times New Roman"/>
          <w:lang w:eastAsia="en-US"/>
        </w:rPr>
        <w:t>á</w:t>
      </w:r>
      <w:r>
        <w:rPr>
          <w:rFonts w:ascii="Times New Roman" w:hAnsi="Times New Roman"/>
          <w:lang w:eastAsia="en-US"/>
        </w:rPr>
        <w:t xml:space="preserve"> „realizovateľnosti</w:t>
      </w:r>
      <w:r w:rsidR="00617FD1">
        <w:rPr>
          <w:rFonts w:ascii="Times New Roman" w:hAnsi="Times New Roman"/>
          <w:lang w:eastAsia="en-US"/>
        </w:rPr>
        <w:t xml:space="preserve"> projektu</w:t>
      </w:r>
      <w:r>
        <w:rPr>
          <w:rFonts w:ascii="Times New Roman" w:hAnsi="Times New Roman"/>
          <w:lang w:eastAsia="en-US"/>
        </w:rPr>
        <w:t>“ nahrádza</w:t>
      </w:r>
      <w:r w:rsidR="00617FD1">
        <w:rPr>
          <w:rFonts w:ascii="Times New Roman" w:hAnsi="Times New Roman"/>
          <w:lang w:eastAsia="en-US"/>
        </w:rPr>
        <w:t>jú</w:t>
      </w:r>
      <w:r>
        <w:rPr>
          <w:rFonts w:ascii="Times New Roman" w:hAnsi="Times New Roman"/>
          <w:lang w:eastAsia="en-US"/>
        </w:rPr>
        <w:t xml:space="preserve"> slovom „uskutočniteľnosti“.</w:t>
      </w:r>
    </w:p>
    <w:p w:rsidR="00376A63" w:rsidP="00376A63">
      <w:pPr>
        <w:pStyle w:val="NoSpacing"/>
        <w:bidi w:val="0"/>
        <w:spacing w:line="276" w:lineRule="auto"/>
        <w:ind w:left="720"/>
        <w:rPr>
          <w:rFonts w:ascii="Times New Roman" w:hAnsi="Times New Roman"/>
          <w:lang w:eastAsia="en-US"/>
        </w:rPr>
      </w:pPr>
    </w:p>
    <w:p w:rsidR="00144116" w:rsidP="00736C7F">
      <w:pPr>
        <w:pStyle w:val="NoSpacing"/>
        <w:numPr>
          <w:numId w:val="15"/>
        </w:numPr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V § 9 sa vypúšťa</w:t>
      </w:r>
      <w:r w:rsidR="00BF046E">
        <w:rPr>
          <w:rFonts w:ascii="Times New Roman" w:hAnsi="Times New Roman"/>
          <w:lang w:eastAsia="en-US"/>
        </w:rPr>
        <w:t>jú</w:t>
      </w:r>
      <w:r>
        <w:rPr>
          <w:rFonts w:ascii="Times New Roman" w:hAnsi="Times New Roman"/>
          <w:lang w:eastAsia="en-US"/>
        </w:rPr>
        <w:t xml:space="preserve"> odsek</w:t>
      </w:r>
      <w:r w:rsidR="00BF046E">
        <w:rPr>
          <w:rFonts w:ascii="Times New Roman" w:hAnsi="Times New Roman"/>
          <w:lang w:eastAsia="en-US"/>
        </w:rPr>
        <w:t>y</w:t>
      </w:r>
      <w:r>
        <w:rPr>
          <w:rFonts w:ascii="Times New Roman" w:hAnsi="Times New Roman"/>
          <w:lang w:eastAsia="en-US"/>
        </w:rPr>
        <w:t xml:space="preserve"> 3</w:t>
      </w:r>
      <w:r w:rsidR="00BF046E">
        <w:rPr>
          <w:rFonts w:ascii="Times New Roman" w:hAnsi="Times New Roman"/>
          <w:lang w:eastAsia="en-US"/>
        </w:rPr>
        <w:t xml:space="preserve"> a 5</w:t>
      </w:r>
      <w:r>
        <w:rPr>
          <w:rFonts w:ascii="Times New Roman" w:hAnsi="Times New Roman"/>
          <w:lang w:eastAsia="en-US"/>
        </w:rPr>
        <w:t>.</w:t>
      </w:r>
    </w:p>
    <w:p w:rsidR="00144116" w:rsidP="00144116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</w:p>
    <w:p w:rsidR="00144116" w:rsidP="00144116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Doterajš</w:t>
      </w:r>
      <w:r w:rsidR="00BF046E">
        <w:rPr>
          <w:rFonts w:ascii="Times New Roman" w:hAnsi="Times New Roman"/>
          <w:lang w:eastAsia="en-US"/>
        </w:rPr>
        <w:t>í</w:t>
      </w:r>
      <w:r>
        <w:rPr>
          <w:rFonts w:ascii="Times New Roman" w:hAnsi="Times New Roman"/>
          <w:lang w:eastAsia="en-US"/>
        </w:rPr>
        <w:t xml:space="preserve"> odsek 4 sa označuj</w:t>
      </w:r>
      <w:r w:rsidR="00BF046E">
        <w:rPr>
          <w:rFonts w:ascii="Times New Roman" w:hAnsi="Times New Roman"/>
          <w:lang w:eastAsia="en-US"/>
        </w:rPr>
        <w:t>e</w:t>
      </w:r>
      <w:r>
        <w:rPr>
          <w:rFonts w:ascii="Times New Roman" w:hAnsi="Times New Roman"/>
          <w:lang w:eastAsia="en-US"/>
        </w:rPr>
        <w:t xml:space="preserve"> ako odsek 3.</w:t>
      </w:r>
    </w:p>
    <w:p w:rsidR="00144116" w:rsidP="00144116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</w:p>
    <w:p w:rsidR="00144116" w:rsidP="00736C7F">
      <w:pPr>
        <w:pStyle w:val="NoSpacing"/>
        <w:numPr>
          <w:numId w:val="15"/>
        </w:numPr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V § 10 sa vypúšťa odsek 3.</w:t>
      </w:r>
    </w:p>
    <w:p w:rsidR="00144116" w:rsidP="00144116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</w:p>
    <w:p w:rsidR="00144116" w:rsidP="00144116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Doterajší odsek 4 sa označuje ako odsek 3.</w:t>
      </w:r>
    </w:p>
    <w:p w:rsidR="00144116" w:rsidP="00144116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</w:p>
    <w:p w:rsidR="00144116" w:rsidP="00736C7F">
      <w:pPr>
        <w:pStyle w:val="NoSpacing"/>
        <w:numPr>
          <w:numId w:val="15"/>
        </w:numPr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V § 11 </w:t>
      </w:r>
      <w:r w:rsidR="005E24C7">
        <w:rPr>
          <w:rFonts w:ascii="Times New Roman" w:hAnsi="Times New Roman"/>
          <w:lang w:eastAsia="en-US"/>
        </w:rPr>
        <w:t>sa vypúšťa odsek 5.</w:t>
      </w:r>
    </w:p>
    <w:p w:rsidR="005E24C7" w:rsidP="005E24C7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</w:p>
    <w:p w:rsidR="0008448A" w:rsidP="007736EE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 w:rsidR="005E24C7">
        <w:rPr>
          <w:rFonts w:ascii="Times New Roman" w:hAnsi="Times New Roman"/>
          <w:lang w:eastAsia="en-US"/>
        </w:rPr>
        <w:t>Doterajšie odseky 6 a 7 sa označujú ako odseky 5 a 6.</w:t>
      </w:r>
    </w:p>
    <w:p w:rsidR="00B4015E" w:rsidRPr="000D7A8F" w:rsidP="00597C9F">
      <w:pPr>
        <w:pStyle w:val="Heading1"/>
        <w:bidi w:val="0"/>
        <w:spacing w:line="276" w:lineRule="auto"/>
      </w:pPr>
      <w:r w:rsidRPr="000D7A8F">
        <w:rPr>
          <w:rFonts w:hint="default"/>
        </w:rPr>
        <w:t>Č</w:t>
      </w:r>
      <w:r w:rsidRPr="000D7A8F">
        <w:rPr>
          <w:rFonts w:hint="default"/>
        </w:rPr>
        <w:t>l. I</w:t>
      </w:r>
      <w:r w:rsidR="00E073B4">
        <w:t>I</w:t>
      </w:r>
    </w:p>
    <w:p w:rsidR="00B4015E" w:rsidP="00597C9F">
      <w:pPr>
        <w:bidi w:val="0"/>
        <w:spacing w:line="276" w:lineRule="auto"/>
        <w:jc w:val="both"/>
        <w:rPr>
          <w:rFonts w:ascii="Times New Roman" w:hAnsi="Times New Roman"/>
        </w:rPr>
      </w:pPr>
    </w:p>
    <w:p w:rsidR="00721532" w:rsidRPr="00A04398" w:rsidP="00597C9F">
      <w:pPr>
        <w:bidi w:val="0"/>
        <w:spacing w:line="276" w:lineRule="auto"/>
        <w:jc w:val="both"/>
        <w:rPr>
          <w:rFonts w:ascii="Times New Roman" w:hAnsi="Times New Roman"/>
        </w:rPr>
      </w:pPr>
      <w:r w:rsidR="00B4015E">
        <w:rPr>
          <w:rFonts w:ascii="Times New Roman" w:hAnsi="Times New Roman"/>
        </w:rPr>
        <w:t xml:space="preserve">Tento zákon nadobúda účinnosť </w:t>
      </w:r>
      <w:r w:rsidR="000B1646">
        <w:rPr>
          <w:rFonts w:ascii="Times New Roman" w:hAnsi="Times New Roman"/>
        </w:rPr>
        <w:t>1. marca 2015</w:t>
      </w:r>
      <w:r w:rsidR="00A04398">
        <w:rPr>
          <w:rFonts w:ascii="Times New Roman" w:hAnsi="Times New Roman"/>
        </w:rPr>
        <w:t>.</w:t>
      </w:r>
    </w:p>
    <w:sectPr w:rsidSect="00597C9F">
      <w:pgSz w:w="11906" w:h="16838"/>
      <w:pgMar w:top="1134" w:right="1418" w:bottom="1418" w:left="113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C5E0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">
    <w:nsid w:val="403B6B3C"/>
    <w:multiLevelType w:val="hybridMultilevel"/>
    <w:tmpl w:val="210E7A80"/>
    <w:lvl w:ilvl="0">
      <w:start w:val="1"/>
      <w:numFmt w:val="decimal"/>
      <w:pStyle w:val="vodnveta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8395A81"/>
    <w:multiLevelType w:val="hybridMultilevel"/>
    <w:tmpl w:val="5C7434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708"/>
  <w:hyphenationZone w:val="425"/>
  <w:characterSpacingControl w:val="doNotCompress"/>
  <w:compat/>
  <w:rsids>
    <w:rsidRoot w:val="00B4015E"/>
    <w:rsid w:val="00002F3C"/>
    <w:rsid w:val="00005506"/>
    <w:rsid w:val="00006C5B"/>
    <w:rsid w:val="00012B81"/>
    <w:rsid w:val="00014556"/>
    <w:rsid w:val="00016576"/>
    <w:rsid w:val="00022C67"/>
    <w:rsid w:val="000245C0"/>
    <w:rsid w:val="00035D7A"/>
    <w:rsid w:val="000451F3"/>
    <w:rsid w:val="00063185"/>
    <w:rsid w:val="00065F11"/>
    <w:rsid w:val="000678C8"/>
    <w:rsid w:val="000724D4"/>
    <w:rsid w:val="00077CEC"/>
    <w:rsid w:val="0008448A"/>
    <w:rsid w:val="0008774D"/>
    <w:rsid w:val="000878D5"/>
    <w:rsid w:val="00092C43"/>
    <w:rsid w:val="000A3342"/>
    <w:rsid w:val="000A58D2"/>
    <w:rsid w:val="000B0B26"/>
    <w:rsid w:val="000B1646"/>
    <w:rsid w:val="000C740A"/>
    <w:rsid w:val="000D26AD"/>
    <w:rsid w:val="000D2B30"/>
    <w:rsid w:val="000D34AE"/>
    <w:rsid w:val="000D38AF"/>
    <w:rsid w:val="000D409A"/>
    <w:rsid w:val="000D5CDB"/>
    <w:rsid w:val="000D7A8F"/>
    <w:rsid w:val="000E2379"/>
    <w:rsid w:val="000E23F2"/>
    <w:rsid w:val="000E492D"/>
    <w:rsid w:val="000E5136"/>
    <w:rsid w:val="000E7B5D"/>
    <w:rsid w:val="000F395E"/>
    <w:rsid w:val="00103DBC"/>
    <w:rsid w:val="001049B5"/>
    <w:rsid w:val="00110C87"/>
    <w:rsid w:val="00113A56"/>
    <w:rsid w:val="00116241"/>
    <w:rsid w:val="0011705B"/>
    <w:rsid w:val="00127EC7"/>
    <w:rsid w:val="00132EB8"/>
    <w:rsid w:val="00136380"/>
    <w:rsid w:val="00141D5C"/>
    <w:rsid w:val="00141E1E"/>
    <w:rsid w:val="001429C5"/>
    <w:rsid w:val="00142F15"/>
    <w:rsid w:val="00143CBC"/>
    <w:rsid w:val="00144116"/>
    <w:rsid w:val="00144CD7"/>
    <w:rsid w:val="001514DA"/>
    <w:rsid w:val="001526E7"/>
    <w:rsid w:val="001542B2"/>
    <w:rsid w:val="00157731"/>
    <w:rsid w:val="00175271"/>
    <w:rsid w:val="00177C57"/>
    <w:rsid w:val="0018465C"/>
    <w:rsid w:val="001855E7"/>
    <w:rsid w:val="0019107A"/>
    <w:rsid w:val="001B1C20"/>
    <w:rsid w:val="001B3695"/>
    <w:rsid w:val="001B4083"/>
    <w:rsid w:val="001B7EBA"/>
    <w:rsid w:val="001C34F9"/>
    <w:rsid w:val="001D6CC3"/>
    <w:rsid w:val="001E5AEC"/>
    <w:rsid w:val="001E6C8D"/>
    <w:rsid w:val="001F1CA6"/>
    <w:rsid w:val="001F6D4D"/>
    <w:rsid w:val="00200982"/>
    <w:rsid w:val="00207689"/>
    <w:rsid w:val="00210E18"/>
    <w:rsid w:val="00211661"/>
    <w:rsid w:val="00221D39"/>
    <w:rsid w:val="002232BC"/>
    <w:rsid w:val="002312FB"/>
    <w:rsid w:val="00231334"/>
    <w:rsid w:val="00236726"/>
    <w:rsid w:val="00240664"/>
    <w:rsid w:val="00243214"/>
    <w:rsid w:val="00246F17"/>
    <w:rsid w:val="00280841"/>
    <w:rsid w:val="00286092"/>
    <w:rsid w:val="0029507E"/>
    <w:rsid w:val="00295F81"/>
    <w:rsid w:val="002965F8"/>
    <w:rsid w:val="002B1456"/>
    <w:rsid w:val="002B21D7"/>
    <w:rsid w:val="002B233E"/>
    <w:rsid w:val="002B508C"/>
    <w:rsid w:val="002C078B"/>
    <w:rsid w:val="002C6F9D"/>
    <w:rsid w:val="002E3EA5"/>
    <w:rsid w:val="002E6387"/>
    <w:rsid w:val="002F3D67"/>
    <w:rsid w:val="002F7005"/>
    <w:rsid w:val="00303166"/>
    <w:rsid w:val="0030669B"/>
    <w:rsid w:val="0032685B"/>
    <w:rsid w:val="00331ABC"/>
    <w:rsid w:val="00333A63"/>
    <w:rsid w:val="00334707"/>
    <w:rsid w:val="003446DA"/>
    <w:rsid w:val="003446E0"/>
    <w:rsid w:val="00345503"/>
    <w:rsid w:val="003554C5"/>
    <w:rsid w:val="00360F12"/>
    <w:rsid w:val="00364F4E"/>
    <w:rsid w:val="00376A63"/>
    <w:rsid w:val="0037783A"/>
    <w:rsid w:val="003808FE"/>
    <w:rsid w:val="003B2081"/>
    <w:rsid w:val="003B5724"/>
    <w:rsid w:val="003C0ACA"/>
    <w:rsid w:val="003C6A92"/>
    <w:rsid w:val="003D040C"/>
    <w:rsid w:val="003D6B14"/>
    <w:rsid w:val="003E0C0C"/>
    <w:rsid w:val="003E0D30"/>
    <w:rsid w:val="003E5B87"/>
    <w:rsid w:val="003E5BC8"/>
    <w:rsid w:val="003E71C3"/>
    <w:rsid w:val="003F1AC2"/>
    <w:rsid w:val="003F220C"/>
    <w:rsid w:val="003F5556"/>
    <w:rsid w:val="0040231A"/>
    <w:rsid w:val="0040744D"/>
    <w:rsid w:val="0042464F"/>
    <w:rsid w:val="00434ACB"/>
    <w:rsid w:val="004428C3"/>
    <w:rsid w:val="00447DBD"/>
    <w:rsid w:val="00463D89"/>
    <w:rsid w:val="00466F7F"/>
    <w:rsid w:val="004904BF"/>
    <w:rsid w:val="00490AC2"/>
    <w:rsid w:val="00493969"/>
    <w:rsid w:val="00494BD2"/>
    <w:rsid w:val="004A027E"/>
    <w:rsid w:val="004A1539"/>
    <w:rsid w:val="004A502D"/>
    <w:rsid w:val="004A5433"/>
    <w:rsid w:val="004B66B4"/>
    <w:rsid w:val="004C3457"/>
    <w:rsid w:val="004C5B91"/>
    <w:rsid w:val="004C7802"/>
    <w:rsid w:val="004D1339"/>
    <w:rsid w:val="004D5871"/>
    <w:rsid w:val="004E104D"/>
    <w:rsid w:val="004E5BE5"/>
    <w:rsid w:val="00500ABB"/>
    <w:rsid w:val="005123A9"/>
    <w:rsid w:val="00514046"/>
    <w:rsid w:val="00515A57"/>
    <w:rsid w:val="00520076"/>
    <w:rsid w:val="005248E6"/>
    <w:rsid w:val="005259C9"/>
    <w:rsid w:val="005312A1"/>
    <w:rsid w:val="0054076C"/>
    <w:rsid w:val="00542BD3"/>
    <w:rsid w:val="005468ED"/>
    <w:rsid w:val="0055116D"/>
    <w:rsid w:val="005533A4"/>
    <w:rsid w:val="00561757"/>
    <w:rsid w:val="00561D56"/>
    <w:rsid w:val="005624F3"/>
    <w:rsid w:val="00576D41"/>
    <w:rsid w:val="00580C2F"/>
    <w:rsid w:val="00582596"/>
    <w:rsid w:val="00584343"/>
    <w:rsid w:val="00584E1C"/>
    <w:rsid w:val="00590919"/>
    <w:rsid w:val="00597C9F"/>
    <w:rsid w:val="005A3C80"/>
    <w:rsid w:val="005A76AE"/>
    <w:rsid w:val="005C0031"/>
    <w:rsid w:val="005D6B90"/>
    <w:rsid w:val="005E24C7"/>
    <w:rsid w:val="005E396E"/>
    <w:rsid w:val="005E5441"/>
    <w:rsid w:val="005E77ED"/>
    <w:rsid w:val="005F3D43"/>
    <w:rsid w:val="00605F36"/>
    <w:rsid w:val="006072D9"/>
    <w:rsid w:val="00610D9A"/>
    <w:rsid w:val="0061146D"/>
    <w:rsid w:val="00617FD1"/>
    <w:rsid w:val="00624A54"/>
    <w:rsid w:val="00626C15"/>
    <w:rsid w:val="00632822"/>
    <w:rsid w:val="00632FF2"/>
    <w:rsid w:val="0063562C"/>
    <w:rsid w:val="0063767E"/>
    <w:rsid w:val="00645923"/>
    <w:rsid w:val="006537BC"/>
    <w:rsid w:val="00660A0F"/>
    <w:rsid w:val="00663F91"/>
    <w:rsid w:val="0066416E"/>
    <w:rsid w:val="00667469"/>
    <w:rsid w:val="006711D9"/>
    <w:rsid w:val="00681E35"/>
    <w:rsid w:val="00683E9A"/>
    <w:rsid w:val="00684196"/>
    <w:rsid w:val="00685A67"/>
    <w:rsid w:val="00697E03"/>
    <w:rsid w:val="006A0EE8"/>
    <w:rsid w:val="006A7498"/>
    <w:rsid w:val="006C0195"/>
    <w:rsid w:val="006C54E4"/>
    <w:rsid w:val="006D1106"/>
    <w:rsid w:val="006D7D23"/>
    <w:rsid w:val="006E0EED"/>
    <w:rsid w:val="006E14CF"/>
    <w:rsid w:val="006E6413"/>
    <w:rsid w:val="006F1F9C"/>
    <w:rsid w:val="006F3F4B"/>
    <w:rsid w:val="006F4941"/>
    <w:rsid w:val="00703DE2"/>
    <w:rsid w:val="00705418"/>
    <w:rsid w:val="0071053D"/>
    <w:rsid w:val="0071176B"/>
    <w:rsid w:val="00715D2D"/>
    <w:rsid w:val="0071691D"/>
    <w:rsid w:val="0072001A"/>
    <w:rsid w:val="00721532"/>
    <w:rsid w:val="00725451"/>
    <w:rsid w:val="00726A0E"/>
    <w:rsid w:val="00736C7F"/>
    <w:rsid w:val="00742065"/>
    <w:rsid w:val="007421F2"/>
    <w:rsid w:val="00742EF5"/>
    <w:rsid w:val="0076343B"/>
    <w:rsid w:val="00766864"/>
    <w:rsid w:val="007736EE"/>
    <w:rsid w:val="0077699A"/>
    <w:rsid w:val="00776A30"/>
    <w:rsid w:val="00791136"/>
    <w:rsid w:val="007949F9"/>
    <w:rsid w:val="007C1043"/>
    <w:rsid w:val="007C710C"/>
    <w:rsid w:val="007D417B"/>
    <w:rsid w:val="007E2514"/>
    <w:rsid w:val="007E5241"/>
    <w:rsid w:val="007F3B53"/>
    <w:rsid w:val="007F5A54"/>
    <w:rsid w:val="00800FF5"/>
    <w:rsid w:val="00810616"/>
    <w:rsid w:val="00816267"/>
    <w:rsid w:val="00832114"/>
    <w:rsid w:val="00847B76"/>
    <w:rsid w:val="00847C96"/>
    <w:rsid w:val="00850D67"/>
    <w:rsid w:val="00856E73"/>
    <w:rsid w:val="008571A5"/>
    <w:rsid w:val="00857D3A"/>
    <w:rsid w:val="0086251D"/>
    <w:rsid w:val="008837C6"/>
    <w:rsid w:val="00887920"/>
    <w:rsid w:val="008A2899"/>
    <w:rsid w:val="008A5316"/>
    <w:rsid w:val="008B6B49"/>
    <w:rsid w:val="008C57AB"/>
    <w:rsid w:val="008C738A"/>
    <w:rsid w:val="008D2DBA"/>
    <w:rsid w:val="008D5780"/>
    <w:rsid w:val="008E3AF8"/>
    <w:rsid w:val="008E4D2D"/>
    <w:rsid w:val="008E6A0A"/>
    <w:rsid w:val="008F0929"/>
    <w:rsid w:val="008F68EF"/>
    <w:rsid w:val="00901FBD"/>
    <w:rsid w:val="00904337"/>
    <w:rsid w:val="00904572"/>
    <w:rsid w:val="00905439"/>
    <w:rsid w:val="00905AD1"/>
    <w:rsid w:val="00914F84"/>
    <w:rsid w:val="009157B8"/>
    <w:rsid w:val="009159A3"/>
    <w:rsid w:val="0091618B"/>
    <w:rsid w:val="0091738B"/>
    <w:rsid w:val="00950219"/>
    <w:rsid w:val="00963222"/>
    <w:rsid w:val="00967584"/>
    <w:rsid w:val="00974572"/>
    <w:rsid w:val="00975644"/>
    <w:rsid w:val="00980B45"/>
    <w:rsid w:val="0099683F"/>
    <w:rsid w:val="009B185F"/>
    <w:rsid w:val="009B3042"/>
    <w:rsid w:val="009C08CB"/>
    <w:rsid w:val="009C5CEB"/>
    <w:rsid w:val="009E3A7A"/>
    <w:rsid w:val="00A00602"/>
    <w:rsid w:val="00A01142"/>
    <w:rsid w:val="00A04398"/>
    <w:rsid w:val="00A06A51"/>
    <w:rsid w:val="00A06EC6"/>
    <w:rsid w:val="00A128D0"/>
    <w:rsid w:val="00A13262"/>
    <w:rsid w:val="00A170A6"/>
    <w:rsid w:val="00A17AE1"/>
    <w:rsid w:val="00A23282"/>
    <w:rsid w:val="00A3147E"/>
    <w:rsid w:val="00A323BC"/>
    <w:rsid w:val="00A3364B"/>
    <w:rsid w:val="00A47D4A"/>
    <w:rsid w:val="00A50DB0"/>
    <w:rsid w:val="00A51C69"/>
    <w:rsid w:val="00A6317B"/>
    <w:rsid w:val="00A7733D"/>
    <w:rsid w:val="00AA0C28"/>
    <w:rsid w:val="00AA0F98"/>
    <w:rsid w:val="00AA1FEE"/>
    <w:rsid w:val="00AA64A4"/>
    <w:rsid w:val="00AB1C19"/>
    <w:rsid w:val="00AB2539"/>
    <w:rsid w:val="00AB663A"/>
    <w:rsid w:val="00AB7CA5"/>
    <w:rsid w:val="00AC14BE"/>
    <w:rsid w:val="00AC1D52"/>
    <w:rsid w:val="00AC79FA"/>
    <w:rsid w:val="00AD5F34"/>
    <w:rsid w:val="00AE2B74"/>
    <w:rsid w:val="00AF0F6D"/>
    <w:rsid w:val="00AF74DA"/>
    <w:rsid w:val="00B11558"/>
    <w:rsid w:val="00B1389E"/>
    <w:rsid w:val="00B16939"/>
    <w:rsid w:val="00B201C0"/>
    <w:rsid w:val="00B207D5"/>
    <w:rsid w:val="00B37E08"/>
    <w:rsid w:val="00B4015E"/>
    <w:rsid w:val="00B56F49"/>
    <w:rsid w:val="00B60DF0"/>
    <w:rsid w:val="00B632D6"/>
    <w:rsid w:val="00B70EB8"/>
    <w:rsid w:val="00B70F55"/>
    <w:rsid w:val="00B713F4"/>
    <w:rsid w:val="00B7271B"/>
    <w:rsid w:val="00B757F8"/>
    <w:rsid w:val="00B86D63"/>
    <w:rsid w:val="00B90EBA"/>
    <w:rsid w:val="00B91AC8"/>
    <w:rsid w:val="00B94FCE"/>
    <w:rsid w:val="00B969FC"/>
    <w:rsid w:val="00BB33DA"/>
    <w:rsid w:val="00BB5151"/>
    <w:rsid w:val="00BC3EB9"/>
    <w:rsid w:val="00BC55DA"/>
    <w:rsid w:val="00BC642F"/>
    <w:rsid w:val="00BC7560"/>
    <w:rsid w:val="00BD6A0E"/>
    <w:rsid w:val="00BE71F1"/>
    <w:rsid w:val="00BF046E"/>
    <w:rsid w:val="00BF1BDE"/>
    <w:rsid w:val="00C048CB"/>
    <w:rsid w:val="00C058C5"/>
    <w:rsid w:val="00C130D8"/>
    <w:rsid w:val="00C173B0"/>
    <w:rsid w:val="00C23FAB"/>
    <w:rsid w:val="00C31535"/>
    <w:rsid w:val="00C3621E"/>
    <w:rsid w:val="00C438C8"/>
    <w:rsid w:val="00C5349E"/>
    <w:rsid w:val="00C60AC2"/>
    <w:rsid w:val="00C641B7"/>
    <w:rsid w:val="00C67A33"/>
    <w:rsid w:val="00C779EF"/>
    <w:rsid w:val="00C815EC"/>
    <w:rsid w:val="00C859B1"/>
    <w:rsid w:val="00C930C7"/>
    <w:rsid w:val="00C93D78"/>
    <w:rsid w:val="00C955B1"/>
    <w:rsid w:val="00CA3F23"/>
    <w:rsid w:val="00CA40D1"/>
    <w:rsid w:val="00CC13D3"/>
    <w:rsid w:val="00CD2D85"/>
    <w:rsid w:val="00CD7B86"/>
    <w:rsid w:val="00CE617B"/>
    <w:rsid w:val="00CF56B7"/>
    <w:rsid w:val="00D04D4F"/>
    <w:rsid w:val="00D06625"/>
    <w:rsid w:val="00D10A82"/>
    <w:rsid w:val="00D27300"/>
    <w:rsid w:val="00D31113"/>
    <w:rsid w:val="00D36C0E"/>
    <w:rsid w:val="00D4511E"/>
    <w:rsid w:val="00D45569"/>
    <w:rsid w:val="00D50C5C"/>
    <w:rsid w:val="00D51140"/>
    <w:rsid w:val="00D520F5"/>
    <w:rsid w:val="00D61D56"/>
    <w:rsid w:val="00D637FE"/>
    <w:rsid w:val="00D647CA"/>
    <w:rsid w:val="00D70079"/>
    <w:rsid w:val="00D7168C"/>
    <w:rsid w:val="00D83A03"/>
    <w:rsid w:val="00D90007"/>
    <w:rsid w:val="00D90296"/>
    <w:rsid w:val="00D92FDD"/>
    <w:rsid w:val="00DB53F8"/>
    <w:rsid w:val="00DC0401"/>
    <w:rsid w:val="00DC2988"/>
    <w:rsid w:val="00DD4B7C"/>
    <w:rsid w:val="00DE1E50"/>
    <w:rsid w:val="00DE2019"/>
    <w:rsid w:val="00DE52E6"/>
    <w:rsid w:val="00DF1B0B"/>
    <w:rsid w:val="00DF1C1C"/>
    <w:rsid w:val="00DF2454"/>
    <w:rsid w:val="00E01C4E"/>
    <w:rsid w:val="00E03E40"/>
    <w:rsid w:val="00E04C31"/>
    <w:rsid w:val="00E07394"/>
    <w:rsid w:val="00E073B4"/>
    <w:rsid w:val="00E11704"/>
    <w:rsid w:val="00E11E7E"/>
    <w:rsid w:val="00E1552D"/>
    <w:rsid w:val="00E1779D"/>
    <w:rsid w:val="00E22CAF"/>
    <w:rsid w:val="00E26417"/>
    <w:rsid w:val="00E33179"/>
    <w:rsid w:val="00E34081"/>
    <w:rsid w:val="00E44EBC"/>
    <w:rsid w:val="00E518EF"/>
    <w:rsid w:val="00E53B64"/>
    <w:rsid w:val="00E549D4"/>
    <w:rsid w:val="00E55665"/>
    <w:rsid w:val="00E61BE6"/>
    <w:rsid w:val="00E74E13"/>
    <w:rsid w:val="00E76071"/>
    <w:rsid w:val="00E84FD5"/>
    <w:rsid w:val="00EB6C5D"/>
    <w:rsid w:val="00EC7292"/>
    <w:rsid w:val="00ED4E0B"/>
    <w:rsid w:val="00ED63FC"/>
    <w:rsid w:val="00ED7169"/>
    <w:rsid w:val="00EE1A3A"/>
    <w:rsid w:val="00EE40F8"/>
    <w:rsid w:val="00EE42F4"/>
    <w:rsid w:val="00F06604"/>
    <w:rsid w:val="00F1124F"/>
    <w:rsid w:val="00F15A7E"/>
    <w:rsid w:val="00F217AF"/>
    <w:rsid w:val="00F22739"/>
    <w:rsid w:val="00F24E4D"/>
    <w:rsid w:val="00F26225"/>
    <w:rsid w:val="00F327AF"/>
    <w:rsid w:val="00F375B1"/>
    <w:rsid w:val="00F44BA3"/>
    <w:rsid w:val="00F47094"/>
    <w:rsid w:val="00F5698B"/>
    <w:rsid w:val="00F56FE2"/>
    <w:rsid w:val="00F655EE"/>
    <w:rsid w:val="00F7228C"/>
    <w:rsid w:val="00F75D24"/>
    <w:rsid w:val="00F87098"/>
    <w:rsid w:val="00F87D1E"/>
    <w:rsid w:val="00F917EF"/>
    <w:rsid w:val="00FA0D22"/>
    <w:rsid w:val="00FA1C0A"/>
    <w:rsid w:val="00FA4FF5"/>
    <w:rsid w:val="00FA61B8"/>
    <w:rsid w:val="00FB3E6A"/>
    <w:rsid w:val="00FB7AF2"/>
    <w:rsid w:val="00FB7BCC"/>
    <w:rsid w:val="00FC10FA"/>
    <w:rsid w:val="00FC1D14"/>
    <w:rsid w:val="00FC37C6"/>
    <w:rsid w:val="00FD2702"/>
    <w:rsid w:val="00FD3B1A"/>
    <w:rsid w:val="00FD46BB"/>
    <w:rsid w:val="00FE0E6A"/>
    <w:rsid w:val="00FE108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15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autoRedefine/>
    <w:uiPriority w:val="9"/>
    <w:qFormat/>
    <w:rsid w:val="00B4015E"/>
    <w:pPr>
      <w:keepNext/>
      <w:keepLines/>
      <w:spacing w:before="480"/>
      <w:jc w:val="center"/>
      <w:outlineLvl w:val="0"/>
    </w:pPr>
    <w:rPr>
      <w:rFonts w:ascii="Times New Roman" w:hAnsi="Times New Roman" w:eastAsiaTheme="majorEastAsia"/>
      <w:b/>
      <w:bCs/>
      <w:szCs w:val="28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B4015E"/>
    <w:pPr>
      <w:keepNext/>
      <w:keepLines/>
      <w:spacing w:before="200"/>
      <w:jc w:val="left"/>
      <w:outlineLvl w:val="1"/>
    </w:pPr>
    <w:rPr>
      <w:rFonts w:asciiTheme="majorHAnsi" w:eastAsiaTheme="majorEastAsia" w:hAnsiTheme="majorHAnsi"/>
      <w:b/>
      <w:bCs/>
      <w:color w:val="4F81BD" w:themeColor="accent1" w:themeShade="FF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4015E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B4015E"/>
    <w:pPr>
      <w:keepNext/>
      <w:keepLines/>
      <w:spacing w:before="200"/>
      <w:jc w:val="left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B4015E"/>
    <w:rPr>
      <w:rFonts w:ascii="Times New Roman" w:hAnsi="Times New Roman" w:eastAsiaTheme="majorEastAsia" w:cs="Times New Roman"/>
      <w:b/>
      <w:bCs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B4015E"/>
    <w:rPr>
      <w:rFonts w:asciiTheme="majorHAnsi" w:eastAsiaTheme="majorEastAsia" w:hAnsiTheme="majorHAnsi" w:cs="Times New Roman"/>
      <w:b/>
      <w:bCs/>
      <w:color w:val="4F81BD" w:themeColor="accent1" w:themeShade="FF"/>
      <w:sz w:val="26"/>
      <w:szCs w:val="26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4015E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B4015E"/>
    <w:rPr>
      <w:rFonts w:asciiTheme="majorHAnsi" w:eastAsiaTheme="majorEastAsia" w:hAnsiTheme="majorHAnsi" w:cs="Times New Roman"/>
      <w:color w:val="243F60" w:themeColor="accent1" w:themeShade="7F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4015E"/>
    <w:pPr>
      <w:ind w:left="720"/>
      <w:contextualSpacing/>
      <w:jc w:val="left"/>
    </w:pPr>
  </w:style>
  <w:style w:type="paragraph" w:styleId="NoSpacing">
    <w:name w:val="No Spacing"/>
    <w:uiPriority w:val="1"/>
    <w:qFormat/>
    <w:rsid w:val="00B4015E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4015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4015E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customStyle="1" w:styleId="vodnveta">
    <w:name w:val="úvodná veta"/>
    <w:basedOn w:val="Normal"/>
    <w:next w:val="NoSpacing"/>
    <w:link w:val="vodnvetaChar"/>
    <w:qFormat/>
    <w:rsid w:val="00B4015E"/>
    <w:pPr>
      <w:numPr>
        <w:numId w:val="14"/>
      </w:numPr>
      <w:jc w:val="both"/>
    </w:pPr>
  </w:style>
  <w:style w:type="paragraph" w:styleId="Header">
    <w:name w:val="header"/>
    <w:basedOn w:val="Normal"/>
    <w:link w:val="HlavikaChar"/>
    <w:uiPriority w:val="99"/>
    <w:unhideWhenUsed/>
    <w:rsid w:val="00B4015E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4015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vodnvetaChar">
    <w:name w:val="úvodná veta Char"/>
    <w:basedOn w:val="DefaultParagraphFont"/>
    <w:link w:val="vodnveta"/>
    <w:locked/>
    <w:rsid w:val="00B4015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B4015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4015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B4015E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B4015E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B4015E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B4015E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B4015E"/>
    <w:rPr>
      <w:b/>
      <w:bCs/>
    </w:rPr>
  </w:style>
  <w:style w:type="paragraph" w:customStyle="1" w:styleId="odsekzakona">
    <w:name w:val="odsek zakona"/>
    <w:basedOn w:val="ListNumber"/>
    <w:autoRedefine/>
    <w:qFormat/>
    <w:rsid w:val="00B4015E"/>
    <w:pPr>
      <w:widowControl w:val="0"/>
      <w:numPr>
        <w:numId w:val="0"/>
      </w:numPr>
      <w:tabs>
        <w:tab w:val="clear" w:pos="360"/>
      </w:tabs>
      <w:autoSpaceDE w:val="0"/>
      <w:autoSpaceDN w:val="0"/>
      <w:adjustRightInd w:val="0"/>
      <w:ind w:firstLine="0"/>
      <w:jc w:val="both"/>
    </w:pPr>
    <w:rPr>
      <w:szCs w:val="22"/>
    </w:rPr>
  </w:style>
  <w:style w:type="paragraph" w:styleId="ListNumber">
    <w:name w:val="List Number"/>
    <w:basedOn w:val="Normal"/>
    <w:uiPriority w:val="99"/>
    <w:semiHidden/>
    <w:unhideWhenUsed/>
    <w:rsid w:val="00B4015E"/>
    <w:pPr>
      <w:numPr>
        <w:numId w:val="1"/>
      </w:numPr>
      <w:ind w:left="360" w:hanging="360"/>
      <w:contextualSpacing/>
      <w:jc w:val="left"/>
    </w:pPr>
  </w:style>
  <w:style w:type="paragraph" w:customStyle="1" w:styleId="vodnvetadvodovka">
    <w:name w:val="úvodná veta dôvodovka"/>
    <w:basedOn w:val="Normal"/>
    <w:next w:val="NoSpacing"/>
    <w:link w:val="vodnvetadvodovkaChar"/>
    <w:qFormat/>
    <w:rsid w:val="00B4015E"/>
    <w:pPr>
      <w:jc w:val="left"/>
    </w:pPr>
    <w:rPr>
      <w:b/>
    </w:rPr>
  </w:style>
  <w:style w:type="character" w:styleId="Hyperlink">
    <w:name w:val="Hyperlink"/>
    <w:basedOn w:val="DefaultParagraphFont"/>
    <w:uiPriority w:val="99"/>
    <w:semiHidden/>
    <w:unhideWhenUsed/>
    <w:rsid w:val="00B4015E"/>
    <w:rPr>
      <w:rFonts w:cs="Times New Roman"/>
      <w:color w:val="0000FF"/>
      <w:u w:val="single"/>
      <w:rtl w:val="0"/>
      <w:cs w:val="0"/>
    </w:rPr>
  </w:style>
  <w:style w:type="character" w:customStyle="1" w:styleId="vodnvetadvodovkaChar">
    <w:name w:val="úvodná veta dôvodovka Char"/>
    <w:basedOn w:val="DefaultParagraphFont"/>
    <w:link w:val="vodnvetadvodovka"/>
    <w:locked/>
    <w:rsid w:val="00B4015E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Revision">
    <w:name w:val="Revision"/>
    <w:hidden/>
    <w:uiPriority w:val="99"/>
    <w:semiHidden/>
    <w:rsid w:val="00B4015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9CD07-462E-4611-AC8A-A3BA197F1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703</Words>
  <Characters>4011</Characters>
  <Application>Microsoft Office Word</Application>
  <DocSecurity>0</DocSecurity>
  <Lines>0</Lines>
  <Paragraphs>0</Paragraphs>
  <ScaleCrop>false</ScaleCrop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2014-11-04T12:35:00Z</dcterms:created>
  <dcterms:modified xsi:type="dcterms:W3CDTF">2014-11-05T09:53:00Z</dcterms:modified>
</cp:coreProperties>
</file>