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75BE" w:rsidRPr="00F522BA" w:rsidP="00F522B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522B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175BE" w:rsidRPr="00F522BA" w:rsidP="00F522BA">
      <w:pPr>
        <w:pStyle w:val="Heading1"/>
        <w:bidi w:val="0"/>
        <w:spacing w:before="120" w:line="276" w:lineRule="auto"/>
        <w:jc w:val="both"/>
        <w:rPr>
          <w:rFonts w:ascii="Book Antiqua" w:hAnsi="Book Antiqua"/>
          <w:b w:val="0"/>
          <w:sz w:val="22"/>
          <w:szCs w:val="22"/>
        </w:rPr>
      </w:pPr>
    </w:p>
    <w:p w:rsidR="00363498" w:rsidRPr="00F522BA" w:rsidP="00F522BA">
      <w:pPr>
        <w:pStyle w:val="Heading1"/>
        <w:numPr>
          <w:numId w:val="4"/>
        </w:num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F522BA" w:rsidR="003175BE">
        <w:rPr>
          <w:rFonts w:ascii="Book Antiqua" w:hAnsi="Book Antiqua"/>
          <w:sz w:val="22"/>
          <w:szCs w:val="22"/>
        </w:rPr>
        <w:t>Všeobecná časť</w:t>
      </w:r>
    </w:p>
    <w:p w:rsidR="003175BE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F522BA">
        <w:rPr>
          <w:rFonts w:ascii="Book Antiqua" w:hAnsi="Book Antiqua"/>
          <w:sz w:val="22"/>
          <w:szCs w:val="22"/>
        </w:rPr>
        <w:t>Návrh zákona</w:t>
      </w:r>
      <w:r w:rsidRPr="00F522BA" w:rsidR="00FF59F4">
        <w:rPr>
          <w:rFonts w:ascii="Book Antiqua" w:hAnsi="Book Antiqua"/>
          <w:sz w:val="22"/>
          <w:szCs w:val="22"/>
        </w:rPr>
        <w:t>,</w:t>
      </w:r>
      <w:r w:rsidRPr="00F522BA" w:rsidR="00F94CC2">
        <w:rPr>
          <w:rFonts w:ascii="Book Antiqua" w:hAnsi="Book Antiqua"/>
          <w:sz w:val="22"/>
          <w:szCs w:val="22"/>
        </w:rPr>
        <w:t xml:space="preserve"> </w:t>
      </w:r>
      <w:r w:rsidRPr="00F522BA" w:rsidR="00FF59F4">
        <w:rPr>
          <w:rFonts w:ascii="Book Antiqua" w:hAnsi="Book Antiqua"/>
          <w:bCs/>
          <w:sz w:val="22"/>
          <w:szCs w:val="22"/>
        </w:rPr>
        <w:t>ktorým sa mení a dopĺňa zákon č. 657/2004 Z. z. o tepelnej energetike v znení neskorších predpisov</w:t>
      </w:r>
      <w:r w:rsidRPr="00F522BA" w:rsidR="00FF59F4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522BA">
        <w:rPr>
          <w:rFonts w:ascii="Book Antiqua" w:hAnsi="Book Antiqua"/>
          <w:sz w:val="22"/>
          <w:szCs w:val="22"/>
        </w:rPr>
        <w:t>(ďal</w:t>
      </w:r>
      <w:r w:rsidRPr="00F522BA" w:rsidR="00844C27">
        <w:rPr>
          <w:rFonts w:ascii="Book Antiqua" w:hAnsi="Book Antiqua"/>
          <w:sz w:val="22"/>
          <w:szCs w:val="22"/>
        </w:rPr>
        <w:t>ej</w:t>
      </w:r>
      <w:r w:rsidRPr="00F522BA" w:rsidR="00463866">
        <w:rPr>
          <w:rFonts w:ascii="Book Antiqua" w:hAnsi="Book Antiqua"/>
          <w:sz w:val="22"/>
          <w:szCs w:val="22"/>
        </w:rPr>
        <w:t xml:space="preserve"> len „návrh zákona“) predklad</w:t>
      </w:r>
      <w:r w:rsidRPr="00F522BA" w:rsidR="00FF59F4">
        <w:rPr>
          <w:rFonts w:ascii="Book Antiqua" w:hAnsi="Book Antiqua"/>
          <w:sz w:val="22"/>
          <w:szCs w:val="22"/>
        </w:rPr>
        <w:t>ajú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 w:rsidR="00FF59F4">
        <w:rPr>
          <w:rFonts w:ascii="Book Antiqua" w:hAnsi="Book Antiqua"/>
          <w:sz w:val="22"/>
          <w:szCs w:val="22"/>
        </w:rPr>
        <w:t xml:space="preserve">na rokovanie Národnej rady Slovenskej republiky </w:t>
      </w:r>
      <w:r w:rsidRPr="00F522BA" w:rsidR="00F522BA">
        <w:rPr>
          <w:rFonts w:ascii="Book Antiqua" w:hAnsi="Book Antiqua"/>
          <w:sz w:val="22"/>
          <w:szCs w:val="22"/>
        </w:rPr>
        <w:t>(ďalej len „NR SR</w:t>
      </w:r>
      <w:r w:rsidRPr="00F522BA" w:rsidR="00FF59F4">
        <w:rPr>
          <w:rFonts w:ascii="Book Antiqua" w:hAnsi="Book Antiqua"/>
          <w:sz w:val="22"/>
          <w:szCs w:val="22"/>
        </w:rPr>
        <w:t>“)</w:t>
      </w:r>
      <w:r w:rsidRPr="00F522BA" w:rsidR="00F522BA">
        <w:rPr>
          <w:rFonts w:ascii="Book Antiqua" w:hAnsi="Book Antiqua"/>
          <w:sz w:val="22"/>
          <w:szCs w:val="22"/>
        </w:rPr>
        <w:t xml:space="preserve"> poslanci </w:t>
      </w:r>
      <w:r w:rsidRPr="00F522BA" w:rsidR="00FF59F4">
        <w:rPr>
          <w:rFonts w:ascii="Book Antiqua" w:hAnsi="Book Antiqua"/>
          <w:sz w:val="22"/>
          <w:szCs w:val="22"/>
        </w:rPr>
        <w:t>Jozef Viskupič a Lucia Nicholsonová.</w:t>
      </w:r>
    </w:p>
    <w:p w:rsid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F522BA" w:rsidR="0065746D">
        <w:rPr>
          <w:rFonts w:ascii="Book Antiqua" w:hAnsi="Book Antiqua"/>
          <w:b/>
          <w:sz w:val="22"/>
          <w:szCs w:val="22"/>
        </w:rPr>
        <w:t xml:space="preserve">Hlavným </w:t>
      </w:r>
      <w:r w:rsidRPr="00F522BA" w:rsidR="00FF59F4">
        <w:rPr>
          <w:rFonts w:ascii="Book Antiqua" w:hAnsi="Book Antiqua"/>
          <w:b/>
          <w:sz w:val="22"/>
          <w:szCs w:val="22"/>
        </w:rPr>
        <w:t>cieľom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F522BA" w:rsidR="0065746D">
        <w:rPr>
          <w:rFonts w:ascii="Book Antiqua" w:hAnsi="Book Antiqua"/>
          <w:b/>
          <w:sz w:val="22"/>
          <w:szCs w:val="22"/>
        </w:rPr>
        <w:t>návrhu zákona je</w:t>
      </w:r>
      <w:r w:rsidRPr="00F522BA" w:rsidR="00D9019C">
        <w:rPr>
          <w:rFonts w:ascii="Book Antiqua" w:hAnsi="Book Antiqua"/>
          <w:b/>
          <w:sz w:val="22"/>
          <w:szCs w:val="22"/>
        </w:rPr>
        <w:t xml:space="preserve">, aby si </w:t>
      </w:r>
      <w:r w:rsidR="009E053A">
        <w:rPr>
          <w:rFonts w:ascii="Book Antiqua" w:hAnsi="Book Antiqua"/>
          <w:b/>
          <w:sz w:val="22"/>
          <w:szCs w:val="22"/>
        </w:rPr>
        <w:t xml:space="preserve">žiadatelia o stavebné povolenie [napr. </w:t>
      </w:r>
      <w:r w:rsidRPr="00F522BA" w:rsidR="00D9019C">
        <w:rPr>
          <w:rFonts w:ascii="Book Antiqua" w:hAnsi="Book Antiqua"/>
          <w:b/>
          <w:sz w:val="22"/>
          <w:szCs w:val="22"/>
        </w:rPr>
        <w:t>spoločenstvá vlastníkov bytov a nebyto</w:t>
      </w:r>
      <w:r w:rsidR="009E053A">
        <w:rPr>
          <w:rFonts w:ascii="Book Antiqua" w:hAnsi="Book Antiqua"/>
          <w:b/>
          <w:sz w:val="22"/>
          <w:szCs w:val="22"/>
        </w:rPr>
        <w:t>vých priestorov v bytovom dome (</w:t>
      </w:r>
      <w:r w:rsidRPr="00F522BA" w:rsidR="00D9019C">
        <w:rPr>
          <w:rFonts w:ascii="Book Antiqua" w:hAnsi="Book Antiqua"/>
          <w:b/>
          <w:sz w:val="22"/>
          <w:szCs w:val="22"/>
        </w:rPr>
        <w:t>ďalej len „spoločenstvo“)</w:t>
      </w:r>
      <w:r w:rsidR="009E053A">
        <w:rPr>
          <w:rFonts w:ascii="Book Antiqua" w:hAnsi="Book Antiqua"/>
          <w:b/>
          <w:sz w:val="22"/>
          <w:szCs w:val="22"/>
        </w:rPr>
        <w:t>]</w:t>
      </w:r>
      <w:r w:rsidRPr="00F522BA" w:rsidR="00D9019C">
        <w:rPr>
          <w:rFonts w:ascii="Book Antiqua" w:hAnsi="Book Antiqua"/>
          <w:b/>
          <w:sz w:val="22"/>
          <w:szCs w:val="22"/>
        </w:rPr>
        <w:t xml:space="preserve"> mohli zvoliť výhodné dodávky tepla a aby im nemohla byť znemožnená výstavba vlastnej kotolne v bytovom dome.</w:t>
      </w:r>
    </w:p>
    <w:p w:rsidR="003456D6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="00F522BA">
        <w:rPr>
          <w:rFonts w:ascii="Book Antiqua" w:hAnsi="Book Antiqua"/>
          <w:b/>
          <w:sz w:val="22"/>
          <w:szCs w:val="22"/>
        </w:rPr>
        <w:t>Z</w:t>
      </w:r>
      <w:r w:rsidRPr="00F522BA" w:rsidR="00FF59F4">
        <w:rPr>
          <w:rFonts w:ascii="Book Antiqua" w:hAnsi="Book Antiqua"/>
          <w:b/>
          <w:sz w:val="22"/>
          <w:szCs w:val="22"/>
        </w:rPr>
        <w:t xml:space="preserve">o zákona </w:t>
      </w:r>
      <w:r w:rsidRPr="00F522BA" w:rsidR="00C90CCD">
        <w:rPr>
          <w:rFonts w:ascii="Book Antiqua" w:hAnsi="Book Antiqua"/>
          <w:b/>
          <w:bCs/>
          <w:sz w:val="22"/>
          <w:szCs w:val="22"/>
        </w:rPr>
        <w:t>č. 657/2004 Z. z. o tepelnej energetike</w:t>
      </w:r>
      <w:r w:rsidRPr="00F522BA" w:rsidR="00C90CCD">
        <w:rPr>
          <w:rFonts w:ascii="Book Antiqua" w:hAnsi="Book Antiqua"/>
          <w:bCs/>
          <w:sz w:val="22"/>
          <w:szCs w:val="22"/>
        </w:rPr>
        <w:t xml:space="preserve"> v znení neskorších predpisov (ďalej len „</w:t>
      </w:r>
      <w:r w:rsidRPr="00F522BA" w:rsidR="00C90CCD">
        <w:rPr>
          <w:rFonts w:ascii="Book Antiqua" w:hAnsi="Book Antiqua"/>
          <w:sz w:val="22"/>
          <w:szCs w:val="22"/>
        </w:rPr>
        <w:t xml:space="preserve">zákon </w:t>
      </w:r>
      <w:r w:rsidRPr="00F522BA" w:rsidR="00C90CCD">
        <w:rPr>
          <w:rFonts w:ascii="Book Antiqua" w:hAnsi="Book Antiqua"/>
          <w:bCs/>
          <w:sz w:val="22"/>
          <w:szCs w:val="22"/>
        </w:rPr>
        <w:t>č. 657/2004 Z. z.“)</w:t>
      </w:r>
      <w:r w:rsidRPr="00F522BA" w:rsidR="00C90CCD">
        <w:rPr>
          <w:rFonts w:ascii="Book Antiqua" w:hAnsi="Book Antiqua"/>
          <w:b/>
          <w:bCs/>
          <w:sz w:val="22"/>
          <w:szCs w:val="22"/>
        </w:rPr>
        <w:t xml:space="preserve"> </w:t>
      </w:r>
      <w:r w:rsidR="00F522BA">
        <w:rPr>
          <w:rFonts w:ascii="Book Antiqua" w:hAnsi="Book Antiqua"/>
          <w:b/>
          <w:bCs/>
          <w:sz w:val="22"/>
          <w:szCs w:val="22"/>
        </w:rPr>
        <w:t xml:space="preserve">sa preto </w:t>
      </w:r>
      <w:r w:rsidRPr="00F522BA" w:rsidR="00FF59F4">
        <w:rPr>
          <w:rFonts w:ascii="Book Antiqua" w:hAnsi="Book Antiqua"/>
          <w:b/>
          <w:sz w:val="22"/>
          <w:szCs w:val="22"/>
        </w:rPr>
        <w:t>vypúšťajú</w:t>
      </w:r>
      <w:r w:rsidRPr="00F522BA" w:rsidR="00576905">
        <w:rPr>
          <w:rFonts w:ascii="Book Antiqua" w:hAnsi="Book Antiqua"/>
          <w:b/>
          <w:sz w:val="22"/>
          <w:szCs w:val="22"/>
        </w:rPr>
        <w:t xml:space="preserve"> </w:t>
      </w:r>
      <w:r w:rsidRPr="00F522BA" w:rsidR="00FF59F4">
        <w:rPr>
          <w:rFonts w:ascii="Book Antiqua" w:hAnsi="Book Antiqua"/>
          <w:b/>
          <w:sz w:val="22"/>
          <w:szCs w:val="22"/>
        </w:rPr>
        <w:t xml:space="preserve"> ustanovenia</w:t>
      </w:r>
      <w:r w:rsidRPr="00F522BA" w:rsidR="00FF59F4">
        <w:rPr>
          <w:rFonts w:ascii="Book Antiqua" w:hAnsi="Book Antiqua"/>
          <w:sz w:val="22"/>
          <w:szCs w:val="22"/>
        </w:rPr>
        <w:t>, podľa ktorých má</w:t>
      </w:r>
      <w:r w:rsidRPr="00F522BA" w:rsidR="00FF59F4">
        <w:rPr>
          <w:rFonts w:ascii="Book Antiqua" w:hAnsi="Book Antiqua"/>
          <w:b/>
          <w:sz w:val="22"/>
          <w:szCs w:val="22"/>
        </w:rPr>
        <w:t xml:space="preserve"> </w:t>
      </w:r>
      <w:r w:rsidRPr="00F522BA">
        <w:rPr>
          <w:rFonts w:ascii="Book Antiqua" w:hAnsi="Book Antiqua"/>
          <w:b/>
          <w:sz w:val="22"/>
          <w:szCs w:val="22"/>
        </w:rPr>
        <w:t>pri výstavbe sústavy tepelných zariadení</w:t>
      </w:r>
      <w:r w:rsidRPr="00F522BA">
        <w:rPr>
          <w:rFonts w:ascii="Book Antiqua" w:hAnsi="Book Antiqua"/>
          <w:sz w:val="22"/>
          <w:szCs w:val="22"/>
        </w:rPr>
        <w:t xml:space="preserve"> na vymedzenom území </w:t>
      </w:r>
      <w:r w:rsidRPr="00F522BA" w:rsidR="00FF59F4">
        <w:rPr>
          <w:rFonts w:ascii="Book Antiqua" w:hAnsi="Book Antiqua"/>
          <w:b/>
          <w:sz w:val="22"/>
          <w:szCs w:val="22"/>
        </w:rPr>
        <w:t>dodávateľ tepla</w:t>
      </w:r>
      <w:r w:rsidRPr="00F522BA" w:rsidR="00815B74">
        <w:rPr>
          <w:rFonts w:ascii="Book Antiqua" w:hAnsi="Book Antiqua"/>
          <w:b/>
          <w:sz w:val="22"/>
          <w:szCs w:val="22"/>
        </w:rPr>
        <w:t xml:space="preserve"> </w:t>
      </w:r>
      <w:r w:rsidRPr="00F522BA" w:rsidR="00815B74">
        <w:rPr>
          <w:rFonts w:ascii="Book Antiqua" w:hAnsi="Book Antiqua"/>
          <w:sz w:val="22"/>
          <w:szCs w:val="22"/>
        </w:rPr>
        <w:t>(ďalej len „dodávateľ“)</w:t>
      </w:r>
      <w:r w:rsidRPr="00F522BA" w:rsidR="00FF59F4">
        <w:rPr>
          <w:rFonts w:ascii="Book Antiqua" w:hAnsi="Book Antiqua"/>
          <w:b/>
          <w:sz w:val="22"/>
          <w:szCs w:val="22"/>
        </w:rPr>
        <w:t xml:space="preserve"> </w:t>
      </w:r>
      <w:r w:rsidRPr="00F522BA">
        <w:rPr>
          <w:rFonts w:ascii="Book Antiqua" w:hAnsi="Book Antiqua"/>
          <w:b/>
          <w:sz w:val="22"/>
          <w:szCs w:val="22"/>
        </w:rPr>
        <w:t xml:space="preserve">v konaní </w:t>
      </w:r>
      <w:r w:rsidRPr="00F522BA">
        <w:rPr>
          <w:rFonts w:ascii="Book Antiqua" w:hAnsi="Book Antiqua"/>
          <w:b/>
          <w:bCs/>
          <w:sz w:val="22"/>
          <w:szCs w:val="22"/>
        </w:rPr>
        <w:t>podľa stavebného zákona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 w:rsidR="00FF59F4">
        <w:rPr>
          <w:rFonts w:ascii="Book Antiqua" w:hAnsi="Book Antiqua"/>
          <w:sz w:val="22"/>
          <w:szCs w:val="22"/>
        </w:rPr>
        <w:t xml:space="preserve">postavenie 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dotknutého orgánu, ktorého stanovisko je záväzné, </w:t>
      </w:r>
      <w:r w:rsidRPr="00F522BA">
        <w:rPr>
          <w:rFonts w:ascii="Book Antiqua" w:hAnsi="Book Antiqua"/>
          <w:bCs/>
          <w:sz w:val="22"/>
          <w:szCs w:val="22"/>
        </w:rPr>
        <w:t>ako aj</w:t>
      </w:r>
      <w:r w:rsidR="00F522BA">
        <w:rPr>
          <w:rFonts w:ascii="Book Antiqua" w:hAnsi="Book Antiqua"/>
          <w:b/>
          <w:bCs/>
          <w:sz w:val="22"/>
          <w:szCs w:val="22"/>
        </w:rPr>
        <w:t xml:space="preserve"> účastníka konania.</w:t>
      </w:r>
    </w:p>
    <w:p w:rsidR="00FF59F4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522BA" w:rsidR="00F522BA">
        <w:rPr>
          <w:rFonts w:ascii="Book Antiqua" w:hAnsi="Book Antiqua"/>
          <w:sz w:val="22"/>
          <w:szCs w:val="22"/>
        </w:rPr>
        <w:t xml:space="preserve">V praxi </w:t>
      </w:r>
      <w:r w:rsidRPr="00F522BA" w:rsidR="0096074E">
        <w:rPr>
          <w:rFonts w:ascii="Book Antiqua" w:hAnsi="Book Antiqua"/>
          <w:sz w:val="22"/>
          <w:szCs w:val="22"/>
        </w:rPr>
        <w:t xml:space="preserve">toto </w:t>
      </w:r>
      <w:r w:rsidRPr="00F522BA" w:rsidR="00815B74">
        <w:rPr>
          <w:rFonts w:ascii="Book Antiqua" w:hAnsi="Book Antiqua"/>
          <w:sz w:val="22"/>
          <w:szCs w:val="22"/>
        </w:rPr>
        <w:t>neprijateľné</w:t>
      </w:r>
      <w:r w:rsidRPr="00F522BA">
        <w:rPr>
          <w:rFonts w:ascii="Book Antiqua" w:hAnsi="Book Antiqua"/>
          <w:sz w:val="22"/>
          <w:szCs w:val="22"/>
        </w:rPr>
        <w:t xml:space="preserve"> ustanoveni</w:t>
      </w:r>
      <w:r w:rsidRPr="00F522BA" w:rsidR="0096074E">
        <w:rPr>
          <w:rFonts w:ascii="Book Antiqua" w:hAnsi="Book Antiqua"/>
          <w:sz w:val="22"/>
          <w:szCs w:val="22"/>
        </w:rPr>
        <w:t xml:space="preserve">e o dodávateľovi ako </w:t>
      </w:r>
      <w:r w:rsidRPr="00F522BA" w:rsidR="0096074E">
        <w:rPr>
          <w:rFonts w:ascii="Book Antiqua" w:hAnsi="Book Antiqua"/>
          <w:b/>
          <w:bCs/>
          <w:sz w:val="22"/>
          <w:szCs w:val="22"/>
        </w:rPr>
        <w:t>dotknutom orgáne vydávajúcom záväzné stanovisko</w:t>
      </w:r>
      <w:r w:rsidRPr="00F522BA" w:rsidR="0057690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F522BA" w:rsidR="00576905">
        <w:rPr>
          <w:rFonts w:ascii="Book Antiqua" w:hAnsi="Book Antiqua"/>
          <w:bCs/>
          <w:sz w:val="22"/>
          <w:szCs w:val="22"/>
        </w:rPr>
        <w:t>podľa</w:t>
      </w:r>
      <w:r w:rsidRPr="00F522BA" w:rsidR="0096074E">
        <w:rPr>
          <w:rFonts w:ascii="Book Antiqua" w:hAnsi="Book Antiqua"/>
          <w:bCs/>
          <w:sz w:val="22"/>
          <w:szCs w:val="22"/>
        </w:rPr>
        <w:t xml:space="preserve"> </w:t>
      </w:r>
      <w:r w:rsidRPr="00F522BA" w:rsidR="00576905">
        <w:rPr>
          <w:rFonts w:ascii="Book Antiqua" w:hAnsi="Book Antiqua"/>
          <w:sz w:val="22"/>
          <w:szCs w:val="22"/>
        </w:rPr>
        <w:t xml:space="preserve">zákona </w:t>
      </w:r>
      <w:r w:rsidRPr="00F522BA" w:rsidR="00576905">
        <w:rPr>
          <w:rFonts w:ascii="Book Antiqua" w:hAnsi="Book Antiqua"/>
          <w:bCs/>
          <w:sz w:val="22"/>
          <w:szCs w:val="22"/>
        </w:rPr>
        <w:t xml:space="preserve">č. 657/2004 Z. z. </w:t>
      </w:r>
      <w:r w:rsidRPr="00F522BA">
        <w:rPr>
          <w:rFonts w:ascii="Book Antiqua" w:hAnsi="Book Antiqua"/>
          <w:sz w:val="22"/>
          <w:szCs w:val="22"/>
        </w:rPr>
        <w:t>znamen</w:t>
      </w:r>
      <w:r w:rsidRPr="00F522BA" w:rsidR="00576905">
        <w:rPr>
          <w:rFonts w:ascii="Book Antiqua" w:hAnsi="Book Antiqua"/>
          <w:sz w:val="22"/>
          <w:szCs w:val="22"/>
        </w:rPr>
        <w:t xml:space="preserve">á </w:t>
      </w:r>
      <w:r w:rsidRPr="00F522BA">
        <w:rPr>
          <w:rFonts w:ascii="Book Antiqua" w:hAnsi="Book Antiqua"/>
          <w:sz w:val="22"/>
          <w:szCs w:val="22"/>
        </w:rPr>
        <w:t>právo veta miestnej teplárne</w:t>
      </w:r>
      <w:r w:rsidRPr="00F522BA" w:rsidR="000167AB">
        <w:rPr>
          <w:rFonts w:ascii="Book Antiqua" w:hAnsi="Book Antiqua"/>
          <w:sz w:val="22"/>
          <w:szCs w:val="22"/>
        </w:rPr>
        <w:t xml:space="preserve"> (miestneho dodávateľa)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 w:rsidR="000167AB">
        <w:rPr>
          <w:rFonts w:ascii="Book Antiqua" w:hAnsi="Book Antiqua"/>
          <w:sz w:val="22"/>
          <w:szCs w:val="22"/>
        </w:rPr>
        <w:t xml:space="preserve">o. i. </w:t>
      </w:r>
      <w:r w:rsidRPr="00F522BA">
        <w:rPr>
          <w:rFonts w:ascii="Book Antiqua" w:hAnsi="Book Antiqua"/>
          <w:sz w:val="22"/>
          <w:szCs w:val="22"/>
        </w:rPr>
        <w:t>na zablokovanie výstavby vlastných kotolní v bytových domoch, teda akési teplárenské nevoľníctvo. Bytové domy sú v dôsledku tohto ustanovenia de facto v nevoľníckom postavení vo vzťahu k miestnym teplárňam</w:t>
      </w:r>
      <w:r w:rsidRPr="00F522BA" w:rsidR="00815B74">
        <w:rPr>
          <w:rFonts w:ascii="Book Antiqua" w:hAnsi="Book Antiqua"/>
          <w:sz w:val="22"/>
          <w:szCs w:val="22"/>
        </w:rPr>
        <w:t>,</w:t>
      </w:r>
      <w:r w:rsidRPr="00F522BA">
        <w:rPr>
          <w:rFonts w:ascii="Book Antiqua" w:hAnsi="Book Antiqua"/>
          <w:sz w:val="22"/>
          <w:szCs w:val="22"/>
        </w:rPr>
        <w:t xml:space="preserve"> a to bez reálnej možnosti sa z tohto nevoľníctva vymaniť zriadením vlastnej kotolne</w:t>
      </w:r>
      <w:r w:rsidRPr="00F522BA" w:rsidR="00815B74">
        <w:rPr>
          <w:rFonts w:ascii="Book Antiqua" w:hAnsi="Book Antiqua"/>
          <w:sz w:val="22"/>
          <w:szCs w:val="22"/>
        </w:rPr>
        <w:t>. </w:t>
      </w:r>
      <w:r w:rsidRPr="00F522BA">
        <w:rPr>
          <w:rFonts w:ascii="Book Antiqua" w:hAnsi="Book Antiqua"/>
          <w:sz w:val="22"/>
          <w:szCs w:val="22"/>
        </w:rPr>
        <w:t xml:space="preserve">Takto nastavené podmienky nielenže odporujú predstavám predkladateľov </w:t>
      </w:r>
      <w:r w:rsidRPr="00F522BA" w:rsidR="00815B74">
        <w:rPr>
          <w:rFonts w:ascii="Book Antiqua" w:hAnsi="Book Antiqua"/>
          <w:sz w:val="22"/>
          <w:szCs w:val="22"/>
        </w:rPr>
        <w:t xml:space="preserve">návrhu zákona </w:t>
      </w:r>
      <w:r w:rsidRPr="00F522BA">
        <w:rPr>
          <w:rFonts w:ascii="Book Antiqua" w:hAnsi="Book Antiqua"/>
          <w:sz w:val="22"/>
          <w:szCs w:val="22"/>
        </w:rPr>
        <w:t xml:space="preserve">o ekonomike založenej na liberálnych princípoch, ale bezpochyby odporujú aj dobrým mravom. V slobodnej spoločnosti </w:t>
      </w:r>
      <w:r w:rsidRPr="00F522BA" w:rsidR="00815B74">
        <w:rPr>
          <w:rFonts w:ascii="Book Antiqua" w:hAnsi="Book Antiqua"/>
          <w:sz w:val="22"/>
          <w:szCs w:val="22"/>
        </w:rPr>
        <w:t xml:space="preserve">a právnom štáte </w:t>
      </w:r>
      <w:r w:rsidRPr="00F522BA">
        <w:rPr>
          <w:rFonts w:ascii="Book Antiqua" w:hAnsi="Book Antiqua"/>
          <w:sz w:val="22"/>
          <w:szCs w:val="22"/>
        </w:rPr>
        <w:t xml:space="preserve">je absurdné, aby akýkoľvek ekonomický subjekt </w:t>
      </w:r>
      <w:r w:rsidRPr="00F522BA" w:rsidR="00C15A35">
        <w:rPr>
          <w:rFonts w:ascii="Book Antiqua" w:hAnsi="Book Antiqua"/>
          <w:sz w:val="22"/>
          <w:szCs w:val="22"/>
        </w:rPr>
        <w:t xml:space="preserve">svojím stanoviskom </w:t>
      </w:r>
      <w:r w:rsidRPr="00F522BA">
        <w:rPr>
          <w:rFonts w:ascii="Book Antiqua" w:hAnsi="Book Antiqua"/>
          <w:sz w:val="22"/>
          <w:szCs w:val="22"/>
        </w:rPr>
        <w:t>mohol vetovať vznik vlastnej konkurencie</w:t>
      </w:r>
      <w:r w:rsidRPr="00F522BA" w:rsidR="00C15A35">
        <w:rPr>
          <w:rFonts w:ascii="Book Antiqua" w:hAnsi="Book Antiqua"/>
          <w:sz w:val="22"/>
          <w:szCs w:val="22"/>
        </w:rPr>
        <w:t>, či svojvoľne brániť v konaní nezaloženom na princípe podnikania</w:t>
      </w:r>
      <w:r w:rsidRPr="00F522BA">
        <w:rPr>
          <w:rFonts w:ascii="Book Antiqua" w:hAnsi="Book Antiqua"/>
          <w:sz w:val="22"/>
          <w:szCs w:val="22"/>
        </w:rPr>
        <w:t xml:space="preserve">. Tak, ako je nemysliteľné, aby napr. </w:t>
      </w:r>
      <w:r w:rsidRPr="00F522BA" w:rsidR="00E92966">
        <w:rPr>
          <w:rFonts w:ascii="Book Antiqua" w:hAnsi="Book Antiqua"/>
          <w:sz w:val="22"/>
          <w:szCs w:val="22"/>
        </w:rPr>
        <w:t xml:space="preserve">prevádzkovateľ </w:t>
      </w:r>
      <w:r w:rsidRPr="00F522BA">
        <w:rPr>
          <w:rFonts w:ascii="Book Antiqua" w:hAnsi="Book Antiqua"/>
          <w:sz w:val="22"/>
          <w:szCs w:val="22"/>
        </w:rPr>
        <w:t>hypermarket</w:t>
      </w:r>
      <w:r w:rsidRPr="00F522BA" w:rsidR="00E92966">
        <w:rPr>
          <w:rFonts w:ascii="Book Antiqua" w:hAnsi="Book Antiqua"/>
          <w:sz w:val="22"/>
          <w:szCs w:val="22"/>
        </w:rPr>
        <w:t>u</w:t>
      </w:r>
      <w:r w:rsidRPr="00F522BA">
        <w:rPr>
          <w:rFonts w:ascii="Book Antiqua" w:hAnsi="Book Antiqua"/>
          <w:sz w:val="22"/>
          <w:szCs w:val="22"/>
        </w:rPr>
        <w:t xml:space="preserve"> mohol zablokovať</w:t>
      </w:r>
      <w:r w:rsidRPr="00F522BA" w:rsidR="00D41F56">
        <w:rPr>
          <w:rFonts w:ascii="Book Antiqua" w:hAnsi="Book Antiqua"/>
          <w:sz w:val="22"/>
          <w:szCs w:val="22"/>
        </w:rPr>
        <w:t xml:space="preserve"> výrob</w:t>
      </w:r>
      <w:r w:rsidRPr="00F522BA" w:rsidR="00E92966">
        <w:rPr>
          <w:rFonts w:ascii="Book Antiqua" w:hAnsi="Book Antiqua"/>
          <w:sz w:val="22"/>
          <w:szCs w:val="22"/>
        </w:rPr>
        <w:t>u</w:t>
      </w:r>
      <w:r w:rsidRPr="00F522BA" w:rsidR="00D41F56">
        <w:rPr>
          <w:rFonts w:ascii="Book Antiqua" w:hAnsi="Book Antiqua"/>
          <w:sz w:val="22"/>
          <w:szCs w:val="22"/>
        </w:rPr>
        <w:t xml:space="preserve"> potravín z vlastných zdrojov obyvateľov</w:t>
      </w:r>
      <w:r w:rsidR="00F522BA">
        <w:rPr>
          <w:rFonts w:ascii="Book Antiqua" w:hAnsi="Book Antiqua"/>
          <w:sz w:val="22"/>
          <w:szCs w:val="22"/>
        </w:rPr>
        <w:t>,</w:t>
      </w:r>
      <w:r w:rsidRPr="00F522BA" w:rsidR="00E92966">
        <w:rPr>
          <w:rFonts w:ascii="Book Antiqua" w:hAnsi="Book Antiqua"/>
          <w:sz w:val="22"/>
          <w:szCs w:val="22"/>
        </w:rPr>
        <w:t xml:space="preserve"> či</w:t>
      </w:r>
      <w:r w:rsidRPr="00F522BA">
        <w:rPr>
          <w:rFonts w:ascii="Book Antiqua" w:hAnsi="Book Antiqua"/>
          <w:sz w:val="22"/>
          <w:szCs w:val="22"/>
        </w:rPr>
        <w:t xml:space="preserve"> otvorenie novej predajne potravín vo svojej spádovej oblasti, </w:t>
      </w:r>
      <w:r w:rsidRPr="00F522BA" w:rsidR="00F522BA">
        <w:rPr>
          <w:rFonts w:ascii="Book Antiqua" w:hAnsi="Book Antiqua"/>
          <w:sz w:val="22"/>
          <w:szCs w:val="22"/>
        </w:rPr>
        <w:t xml:space="preserve">nemalo by ani byť umožnené, aby </w:t>
      </w:r>
      <w:r w:rsidRPr="00F522BA" w:rsidR="00D41F56">
        <w:rPr>
          <w:rFonts w:ascii="Book Antiqua" w:hAnsi="Book Antiqua"/>
          <w:sz w:val="22"/>
          <w:szCs w:val="22"/>
        </w:rPr>
        <w:t xml:space="preserve">miestny dodávateľ mohol </w:t>
      </w:r>
      <w:r w:rsidRPr="00F522BA">
        <w:rPr>
          <w:rFonts w:ascii="Book Antiqua" w:hAnsi="Book Antiqua"/>
          <w:sz w:val="22"/>
          <w:szCs w:val="22"/>
        </w:rPr>
        <w:t xml:space="preserve">blokovať </w:t>
      </w:r>
      <w:r w:rsidRPr="00F522BA" w:rsidR="00D41F56">
        <w:rPr>
          <w:rFonts w:ascii="Book Antiqua" w:hAnsi="Book Antiqua"/>
          <w:sz w:val="22"/>
          <w:szCs w:val="22"/>
        </w:rPr>
        <w:t xml:space="preserve">napr. </w:t>
      </w:r>
      <w:r w:rsidRPr="00F522BA" w:rsidR="00F522BA">
        <w:rPr>
          <w:rFonts w:ascii="Book Antiqua" w:hAnsi="Book Antiqua"/>
          <w:sz w:val="22"/>
          <w:szCs w:val="22"/>
        </w:rPr>
        <w:t>zriaďovanie</w:t>
      </w:r>
      <w:r w:rsidRPr="00F522BA" w:rsidR="000B554E">
        <w:rPr>
          <w:rFonts w:ascii="Book Antiqua" w:hAnsi="Book Antiqua"/>
          <w:sz w:val="22"/>
          <w:szCs w:val="22"/>
        </w:rPr>
        <w:t xml:space="preserve"> </w:t>
      </w:r>
      <w:r w:rsidRPr="00F522BA" w:rsidR="00D41F56">
        <w:rPr>
          <w:rFonts w:ascii="Book Antiqua" w:hAnsi="Book Antiqua"/>
          <w:sz w:val="22"/>
          <w:szCs w:val="22"/>
        </w:rPr>
        <w:t xml:space="preserve">vlastnej kotolne </w:t>
      </w:r>
      <w:r w:rsidRPr="00F522BA" w:rsidR="00D9019C">
        <w:rPr>
          <w:rFonts w:ascii="Book Antiqua" w:hAnsi="Book Antiqua"/>
          <w:sz w:val="22"/>
          <w:szCs w:val="22"/>
        </w:rPr>
        <w:t>v bytovom dome</w:t>
      </w:r>
      <w:r w:rsidRPr="00F522BA" w:rsidR="00D41F56">
        <w:rPr>
          <w:rFonts w:ascii="Book Antiqua" w:hAnsi="Book Antiqua"/>
          <w:sz w:val="22"/>
          <w:szCs w:val="22"/>
        </w:rPr>
        <w:t>, či znemožniť činnosť iného potenciálneho dodávateľa, ktorý spĺňa zákonné predpoklady</w:t>
      </w:r>
      <w:r w:rsidRPr="00F522BA">
        <w:rPr>
          <w:rFonts w:ascii="Book Antiqua" w:hAnsi="Book Antiqua"/>
          <w:sz w:val="22"/>
          <w:szCs w:val="22"/>
        </w:rPr>
        <w:t>.</w:t>
      </w:r>
    </w:p>
    <w:p w:rsidR="00FF59F4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522BA" w:rsidR="00566DBD">
        <w:rPr>
          <w:rFonts w:ascii="Book Antiqua" w:hAnsi="Book Antiqua"/>
          <w:sz w:val="22"/>
          <w:szCs w:val="22"/>
        </w:rPr>
        <w:t>P</w:t>
      </w:r>
      <w:r w:rsidRPr="00F522BA">
        <w:rPr>
          <w:rFonts w:ascii="Book Antiqua" w:hAnsi="Book Antiqua"/>
          <w:sz w:val="22"/>
          <w:szCs w:val="22"/>
        </w:rPr>
        <w:t xml:space="preserve">okiaľ je </w:t>
      </w:r>
      <w:r w:rsidRPr="00F522BA" w:rsidR="00566DBD">
        <w:rPr>
          <w:rFonts w:ascii="Book Antiqua" w:hAnsi="Book Antiqua"/>
          <w:sz w:val="22"/>
          <w:szCs w:val="22"/>
        </w:rPr>
        <w:t xml:space="preserve">odberateľovi, resp. v konečnom dôsledku  konečnému </w:t>
      </w:r>
      <w:r w:rsidRPr="00F522BA">
        <w:rPr>
          <w:rFonts w:ascii="Book Antiqua" w:hAnsi="Book Antiqua"/>
          <w:sz w:val="22"/>
          <w:szCs w:val="22"/>
        </w:rPr>
        <w:t>spotrebiteľovi obmedzená možnosť alternatívneho riešenia zásobovania teplom, ktorého cieľom je predovšetkým zníženie výdavkov na energie, reálnym dopadom je najmä prehlbovanie energetickej chudoby na Slovensku.</w:t>
      </w:r>
    </w:p>
    <w:p w:rsidR="00C46AAA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iCs/>
          <w:sz w:val="22"/>
          <w:szCs w:val="22"/>
        </w:rPr>
      </w:pPr>
      <w:r w:rsidRPr="00F522BA" w:rsidR="00912327">
        <w:rPr>
          <w:rFonts w:ascii="Book Antiqua" w:hAnsi="Book Antiqua"/>
          <w:sz w:val="22"/>
          <w:szCs w:val="22"/>
        </w:rPr>
        <w:t>Predložený návrh zákona nezakladá žiadne vplyvy na rozpočet verejnej správy, na životné prostredie ani na informatizáciu spoločnosti.</w:t>
      </w:r>
      <w:r w:rsidRPr="00F522BA" w:rsidR="00576905">
        <w:rPr>
          <w:rFonts w:ascii="Book Antiqua" w:hAnsi="Book Antiqua"/>
          <w:sz w:val="22"/>
          <w:szCs w:val="22"/>
        </w:rPr>
        <w:t xml:space="preserve"> </w:t>
      </w:r>
      <w:r w:rsidRPr="00F522BA" w:rsidR="00F522BA">
        <w:rPr>
          <w:rFonts w:ascii="Book Antiqua" w:hAnsi="Book Antiqua"/>
          <w:sz w:val="22"/>
          <w:szCs w:val="22"/>
        </w:rPr>
        <w:t>Návrh zákona má pozitívne sociálne vplyvy (hospodárenie obyvateľstva) a pozitívne aj negatívne vplyvy na podnikateľské prostredie.</w:t>
      </w:r>
      <w:r w:rsidR="00F522BA">
        <w:rPr>
          <w:rFonts w:ascii="Book Antiqua" w:hAnsi="Book Antiqua"/>
          <w:iCs/>
          <w:sz w:val="22"/>
          <w:szCs w:val="22"/>
        </w:rPr>
        <w:t xml:space="preserve"> </w:t>
      </w:r>
      <w:r w:rsidRPr="00F522BA" w:rsidR="003175BE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Pr="00F522BA" w:rsidR="00B80536">
        <w:rPr>
          <w:rFonts w:ascii="Book Antiqua" w:hAnsi="Book Antiqua"/>
          <w:sz w:val="22"/>
          <w:szCs w:val="22"/>
        </w:rPr>
        <w:t>,</w:t>
      </w:r>
      <w:r w:rsidRPr="00F522BA" w:rsidR="003175BE">
        <w:rPr>
          <w:rFonts w:ascii="Book Antiqua" w:hAnsi="Book Antiqua"/>
          <w:sz w:val="22"/>
          <w:szCs w:val="22"/>
        </w:rPr>
        <w:t xml:space="preserve"> a</w:t>
      </w:r>
      <w:r w:rsidRPr="00F522BA" w:rsidR="00B80536">
        <w:rPr>
          <w:rFonts w:ascii="Book Antiqua" w:hAnsi="Book Antiqua"/>
          <w:sz w:val="22"/>
          <w:szCs w:val="22"/>
        </w:rPr>
        <w:t>ko aj</w:t>
      </w:r>
      <w:r w:rsidRPr="00F522BA" w:rsidR="003175BE">
        <w:rPr>
          <w:rFonts w:ascii="Book Antiqua" w:hAnsi="Book Antiqua"/>
          <w:sz w:val="22"/>
          <w:szCs w:val="22"/>
        </w:rPr>
        <w:t xml:space="preserve"> s právom Európskej únie.</w:t>
      </w:r>
    </w:p>
    <w:p w:rsidR="0060535F" w:rsidRPr="00F522BA" w:rsidP="0060535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522BA" w:rsidR="007B7997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F522BA">
        <w:rPr>
          <w:rFonts w:ascii="Book Antiqua" w:hAnsi="Book Antiqua"/>
          <w:b/>
          <w:sz w:val="22"/>
          <w:szCs w:val="22"/>
        </w:rPr>
        <w:t>B. Osobitná časť</w:t>
      </w:r>
    </w:p>
    <w:p w:rsidR="0060535F" w:rsidRPr="00F522BA" w:rsidP="0060535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0535F" w:rsidRPr="00F522BA" w:rsidP="0060535F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F522BA">
        <w:rPr>
          <w:rFonts w:ascii="Book Antiqua" w:hAnsi="Book Antiqua"/>
          <w:b/>
          <w:sz w:val="22"/>
          <w:szCs w:val="22"/>
        </w:rPr>
        <w:t>K Čl. I</w:t>
      </w:r>
    </w:p>
    <w:p w:rsidR="0060535F" w:rsidRPr="00F522BA" w:rsidP="0060535F">
      <w:pPr>
        <w:pStyle w:val="BodyText"/>
        <w:bidi w:val="0"/>
        <w:spacing w:after="0" w:line="276" w:lineRule="auto"/>
        <w:rPr>
          <w:rFonts w:ascii="Book Antiqua" w:hAnsi="Book Antiqua"/>
          <w:sz w:val="22"/>
          <w:szCs w:val="22"/>
          <w:u w:val="single"/>
        </w:rPr>
      </w:pPr>
      <w:r w:rsidRPr="00F522BA">
        <w:rPr>
          <w:rFonts w:ascii="Book Antiqua" w:hAnsi="Book Antiqua"/>
          <w:bCs/>
          <w:sz w:val="22"/>
          <w:szCs w:val="22"/>
          <w:u w:val="single"/>
        </w:rPr>
        <w:t>K bodu 1</w:t>
      </w:r>
    </w:p>
    <w:p w:rsidR="0060535F" w:rsidRPr="00F522BA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Cs/>
          <w:sz w:val="22"/>
          <w:szCs w:val="22"/>
        </w:rPr>
      </w:pPr>
      <w:r w:rsidRPr="00F522BA">
        <w:rPr>
          <w:rFonts w:ascii="Book Antiqua" w:hAnsi="Book Antiqua"/>
          <w:b/>
          <w:sz w:val="22"/>
          <w:szCs w:val="22"/>
        </w:rPr>
        <w:t>Z § 12</w:t>
      </w:r>
      <w:r w:rsidRPr="00F522BA">
        <w:rPr>
          <w:rFonts w:ascii="Book Antiqua" w:hAnsi="Book Antiqua"/>
          <w:sz w:val="22"/>
          <w:szCs w:val="22"/>
        </w:rPr>
        <w:t xml:space="preserve"> zákona č. 657/2004 Z. z. sa najmä v záujme odberateľov a následne aj konečných spotrebiteľov </w:t>
      </w:r>
      <w:r w:rsidRPr="00F522BA">
        <w:rPr>
          <w:rFonts w:ascii="Book Antiqua" w:hAnsi="Book Antiqua"/>
          <w:b/>
          <w:sz w:val="22"/>
          <w:szCs w:val="22"/>
        </w:rPr>
        <w:t>vypúšťa problematický odsek 10</w:t>
      </w:r>
      <w:r w:rsidRPr="00F522BA">
        <w:rPr>
          <w:rFonts w:ascii="Book Antiqua" w:hAnsi="Book Antiqua"/>
          <w:sz w:val="22"/>
          <w:szCs w:val="22"/>
        </w:rPr>
        <w:t xml:space="preserve"> účinný od </w:t>
      </w:r>
      <w:r w:rsidRPr="00F522BA">
        <w:rPr>
          <w:rFonts w:ascii="Book Antiqua" w:hAnsi="Book Antiqua" w:cs="Arial"/>
          <w:bCs/>
          <w:sz w:val="22"/>
          <w:szCs w:val="22"/>
        </w:rPr>
        <w:t>1. mája 2014</w:t>
      </w:r>
      <w:r w:rsidRPr="00F522BA">
        <w:rPr>
          <w:rFonts w:ascii="Book Antiqua" w:hAnsi="Book Antiqua"/>
          <w:sz w:val="22"/>
          <w:szCs w:val="22"/>
        </w:rPr>
        <w:t xml:space="preserve">, ktorý bol do  predmetného zákona doplnený jeho poslednou novelou (zákonom č. 100/2014 Z. z.). </w:t>
      </w:r>
      <w:r w:rsidRPr="00F522BA">
        <w:rPr>
          <w:rFonts w:ascii="Book Antiqua" w:hAnsi="Book Antiqua"/>
          <w:b/>
          <w:bCs/>
          <w:sz w:val="22"/>
          <w:szCs w:val="22"/>
        </w:rPr>
        <w:t>D</w:t>
      </w:r>
      <w:r w:rsidRPr="00F522BA">
        <w:rPr>
          <w:rFonts w:ascii="Book Antiqua" w:hAnsi="Book Antiqua"/>
          <w:b/>
          <w:sz w:val="22"/>
          <w:szCs w:val="22"/>
        </w:rPr>
        <w:t xml:space="preserve">odávateľ </w:t>
      </w:r>
      <w:r w:rsidRPr="00F522BA">
        <w:rPr>
          <w:rFonts w:ascii="Book Antiqua" w:hAnsi="Book Antiqua"/>
          <w:b/>
          <w:bCs/>
          <w:sz w:val="22"/>
          <w:szCs w:val="22"/>
        </w:rPr>
        <w:t>je v súčasnosti p</w:t>
      </w:r>
      <w:r w:rsidRPr="00F522BA">
        <w:rPr>
          <w:rFonts w:ascii="Book Antiqua" w:hAnsi="Book Antiqua"/>
          <w:b/>
          <w:sz w:val="22"/>
          <w:szCs w:val="22"/>
        </w:rPr>
        <w:t xml:space="preserve">ri výstavbe sústavy tepelných zariadení na vymedzenom území  </w:t>
      </w:r>
      <w:r w:rsidRPr="00F522BA">
        <w:rPr>
          <w:rFonts w:ascii="Book Antiqua" w:hAnsi="Book Antiqua"/>
          <w:sz w:val="22"/>
          <w:szCs w:val="22"/>
        </w:rPr>
        <w:t>(t. j. na území, na ktorom sa dodávateľovi ukladá povinnosť distribúcie a dodávky tepla)</w:t>
      </w:r>
      <w:r w:rsidRPr="00F522BA">
        <w:rPr>
          <w:rFonts w:ascii="Book Antiqua" w:hAnsi="Book Antiqua"/>
          <w:b/>
          <w:sz w:val="22"/>
          <w:szCs w:val="22"/>
        </w:rPr>
        <w:t xml:space="preserve"> v konaní podľa stavebného zákona dotknutým orgánom podľa osobitného zákona č. 657/2004 Z. z. a jeho stanovisko je v zmysle tohto osobitného zákona č. 657/2004 Z. z.  v spojení s dikciou § 140b stavebného zákona záväzné</w:t>
      </w:r>
      <w:r w:rsidRPr="00F522BA">
        <w:rPr>
          <w:rFonts w:ascii="Book Antiqua" w:hAnsi="Book Antiqua"/>
          <w:sz w:val="22"/>
          <w:szCs w:val="22"/>
        </w:rPr>
        <w:t xml:space="preserve">. </w:t>
      </w:r>
      <w:r w:rsidRPr="00F522BA">
        <w:rPr>
          <w:rFonts w:ascii="Book Antiqua" w:hAnsi="Book Antiqua"/>
          <w:bCs/>
          <w:sz w:val="22"/>
          <w:szCs w:val="22"/>
        </w:rPr>
        <w:t>Obsah záväzného stanoviska je pre správny orgán v konaní podľa stavebného zákona záväzný a bez zosúladenia záväzného stanoviska s inými záväznými stanoviskami nemôže rozhodnúť vo veci.</w:t>
      </w:r>
    </w:p>
    <w:p w:rsidR="0060535F" w:rsidRPr="0060535F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sz w:val="22"/>
          <w:szCs w:val="22"/>
        </w:rPr>
      </w:pPr>
      <w:r w:rsidRPr="0060535F">
        <w:rPr>
          <w:rFonts w:ascii="Book Antiqua" w:hAnsi="Book Antiqua"/>
          <w:bCs/>
          <w:sz w:val="22"/>
          <w:szCs w:val="22"/>
        </w:rPr>
        <w:t xml:space="preserve">V dôsledku uvedeného môže dôjsť v praxi k situáciám, keď je výstavba akejkoľvek novej sústavy tepelných zariadení na vymedzenom území znemožnená výlučne na základe nesúhlasného záväzného stanoviska súčasného dodávateľa. Sústavou tepelných zariadení sa na účely zákona č. </w:t>
      </w:r>
      <w:r w:rsidRPr="0060535F">
        <w:rPr>
          <w:rFonts w:ascii="Book Antiqua" w:hAnsi="Book Antiqua"/>
          <w:sz w:val="22"/>
          <w:szCs w:val="22"/>
        </w:rPr>
        <w:t xml:space="preserve">657/2004 Z. z. rozumejú </w:t>
      </w:r>
      <w:r w:rsidRPr="0060535F">
        <w:rPr>
          <w:rFonts w:ascii="Book Antiqua" w:hAnsi="Book Antiqua"/>
          <w:bCs/>
          <w:sz w:val="22"/>
          <w:szCs w:val="22"/>
        </w:rPr>
        <w:t>zariadenia na výrobu, rozvod alebo spotrebu tepla. Odberateľom a v konečnom dôsledku aj konečným spotrebiteľom tak nemusí byť umožnené zvoliť si pre nich čo najvýhodnejšiu dodávku tepla. Ustanovenie § 12 ods. 10 platného zákona č. 657/2004 Z. z. považujeme za nespravodlivé aj voči potenciálnym novým dodávateľom.</w:t>
      </w:r>
    </w:p>
    <w:p w:rsidR="0060535F" w:rsidRPr="00F522BA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Cs/>
          <w:sz w:val="22"/>
          <w:szCs w:val="22"/>
        </w:rPr>
      </w:pPr>
      <w:r w:rsidRPr="0060535F">
        <w:rPr>
          <w:rFonts w:ascii="Book Antiqua" w:hAnsi="Book Antiqua"/>
          <w:b/>
          <w:sz w:val="22"/>
          <w:szCs w:val="22"/>
        </w:rPr>
        <w:t xml:space="preserve"> </w:t>
      </w:r>
      <w:r w:rsidRPr="0060535F">
        <w:rPr>
          <w:rFonts w:ascii="Book Antiqua" w:hAnsi="Book Antiqua"/>
          <w:b/>
          <w:bCs/>
          <w:sz w:val="22"/>
          <w:szCs w:val="22"/>
        </w:rPr>
        <w:t>Dodávateľ by po schválení návrhu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 zákona</w:t>
      </w:r>
      <w:r w:rsidRPr="00F522BA">
        <w:rPr>
          <w:rFonts w:ascii="Book Antiqua" w:hAnsi="Book Antiqua"/>
          <w:bCs/>
          <w:sz w:val="22"/>
          <w:szCs w:val="22"/>
        </w:rPr>
        <w:t xml:space="preserve"> pri výstavbe </w:t>
      </w:r>
      <w:r w:rsidRPr="00F522BA">
        <w:rPr>
          <w:rFonts w:ascii="Book Antiqua" w:hAnsi="Book Antiqua"/>
          <w:sz w:val="22"/>
          <w:szCs w:val="22"/>
        </w:rPr>
        <w:t xml:space="preserve">sústavy tepelných zariadení na vymedzenom území 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už nebol priamo v zmysle osobitného zákona </w:t>
      </w:r>
      <w:r w:rsidRPr="00F522BA">
        <w:rPr>
          <w:rFonts w:ascii="Book Antiqua" w:hAnsi="Book Antiqua"/>
          <w:b/>
          <w:sz w:val="22"/>
          <w:szCs w:val="22"/>
        </w:rPr>
        <w:t>č. 657/2004 Z. z.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>
        <w:rPr>
          <w:rFonts w:ascii="Book Antiqua" w:hAnsi="Book Antiqua"/>
          <w:b/>
          <w:bCs/>
          <w:sz w:val="22"/>
          <w:szCs w:val="22"/>
        </w:rPr>
        <w:t>dotknutým orgánom v konaní podľa stavebného zákona ani účastníkom takéhoto konania</w:t>
      </w:r>
      <w:r w:rsidRPr="00F522BA">
        <w:rPr>
          <w:rFonts w:ascii="Book Antiqua" w:hAnsi="Book Antiqua"/>
          <w:bCs/>
          <w:sz w:val="22"/>
          <w:szCs w:val="22"/>
        </w:rPr>
        <w:t xml:space="preserve">. Dodávateľ by však po splnení zákonných predpokladov zostal účastníkom konania podľa stavebného zákona výlučne na základe ustanovení stavebného zákona. </w:t>
      </w:r>
    </w:p>
    <w:p w:rsidR="007F1866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Cs/>
          <w:sz w:val="22"/>
          <w:szCs w:val="22"/>
        </w:rPr>
      </w:pPr>
      <w:r w:rsidRPr="00F522BA" w:rsidR="0060535F">
        <w:rPr>
          <w:rFonts w:ascii="Book Antiqua" w:hAnsi="Book Antiqua"/>
          <w:b/>
          <w:bCs/>
          <w:sz w:val="22"/>
          <w:szCs w:val="22"/>
        </w:rPr>
        <w:t xml:space="preserve">Podávanie záväzného stanoviska zo strany dodávateľa podľa osobitného zákona </w:t>
      </w:r>
      <w:r w:rsidR="0060535F">
        <w:rPr>
          <w:rFonts w:ascii="Book Antiqua" w:hAnsi="Book Antiqua"/>
          <w:b/>
          <w:bCs/>
          <w:sz w:val="22"/>
          <w:szCs w:val="22"/>
        </w:rPr>
        <w:t xml:space="preserve">   </w:t>
      </w:r>
      <w:r w:rsidRPr="00F522BA" w:rsidR="0060535F">
        <w:rPr>
          <w:rFonts w:ascii="Book Antiqua" w:hAnsi="Book Antiqua"/>
          <w:b/>
          <w:sz w:val="22"/>
          <w:szCs w:val="22"/>
        </w:rPr>
        <w:t xml:space="preserve">č. 657/2004 Z. z.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>by</w:t>
      </w:r>
      <w:r w:rsidRPr="00F522BA" w:rsidR="0060535F">
        <w:rPr>
          <w:rFonts w:ascii="Book Antiqua" w:hAnsi="Book Antiqua"/>
          <w:sz w:val="22"/>
          <w:szCs w:val="22"/>
        </w:rPr>
        <w:t xml:space="preserve">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 xml:space="preserve">v dôsledku navrhovaného vypustenia ustanovenia § 12 ods. 10 </w:t>
      </w:r>
      <w:r w:rsidRPr="00F522BA" w:rsidR="0060535F">
        <w:rPr>
          <w:rFonts w:ascii="Book Antiqua" w:hAnsi="Book Antiqua"/>
          <w:bCs/>
          <w:sz w:val="22"/>
          <w:szCs w:val="22"/>
        </w:rPr>
        <w:t xml:space="preserve">z uvedeného zákona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>nebolo vôbec možné</w:t>
      </w:r>
      <w:r w:rsidRPr="00F522BA" w:rsidR="0060535F">
        <w:rPr>
          <w:rFonts w:ascii="Book Antiqua" w:hAnsi="Book Antiqua"/>
          <w:bCs/>
          <w:sz w:val="22"/>
          <w:szCs w:val="22"/>
        </w:rPr>
        <w:t xml:space="preserve">.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>Záväzné stanovisko je totiž v zmysle § 140b stavebného zákona</w:t>
      </w:r>
      <w:r w:rsidRPr="00F522BA" w:rsidR="0060535F">
        <w:rPr>
          <w:rFonts w:ascii="Book Antiqua" w:hAnsi="Book Antiqua"/>
          <w:bCs/>
          <w:sz w:val="22"/>
          <w:szCs w:val="22"/>
        </w:rPr>
        <w:t xml:space="preserve">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>na účely konaní podľa stavebného zákona</w:t>
      </w:r>
      <w:r w:rsidRPr="00F522BA" w:rsidR="0060535F">
        <w:rPr>
          <w:rFonts w:ascii="Book Antiqua" w:hAnsi="Book Antiqua"/>
          <w:bCs/>
          <w:sz w:val="22"/>
          <w:szCs w:val="22"/>
        </w:rPr>
        <w:t xml:space="preserve"> stanovisko, vyjadrenie, súhlas alebo iný správny úkon dotknutého orgánu, uplatňujúceho záujmy chránené osobitnými predpismi, 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 xml:space="preserve">ktorý je ako záväzné stanovisko upravený </w:t>
      </w:r>
      <w:r w:rsidRPr="00F522BA" w:rsidR="0060535F">
        <w:rPr>
          <w:rFonts w:ascii="Book Antiqua" w:hAnsi="Book Antiqua"/>
          <w:bCs/>
          <w:sz w:val="22"/>
          <w:szCs w:val="22"/>
        </w:rPr>
        <w:t>priamo</w:t>
      </w:r>
      <w:r w:rsidRPr="00F522BA" w:rsidR="0060535F">
        <w:rPr>
          <w:rFonts w:ascii="Book Antiqua" w:hAnsi="Book Antiqua"/>
          <w:b/>
          <w:bCs/>
          <w:sz w:val="22"/>
          <w:szCs w:val="22"/>
        </w:rPr>
        <w:t xml:space="preserve"> v osobitnom predpise</w:t>
      </w:r>
      <w:r w:rsidRPr="00F522BA" w:rsidR="0060535F">
        <w:rPr>
          <w:rFonts w:ascii="Book Antiqua" w:hAnsi="Book Antiqua"/>
          <w:bCs/>
          <w:sz w:val="22"/>
          <w:szCs w:val="22"/>
        </w:rPr>
        <w:t xml:space="preserve">. </w:t>
      </w:r>
    </w:p>
    <w:p w:rsidR="0060535F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Cs/>
          <w:sz w:val="22"/>
          <w:szCs w:val="22"/>
        </w:rPr>
      </w:pPr>
      <w:r w:rsidRPr="00F522BA">
        <w:rPr>
          <w:rFonts w:ascii="Book Antiqua" w:hAnsi="Book Antiqua"/>
          <w:bCs/>
          <w:sz w:val="22"/>
          <w:szCs w:val="22"/>
        </w:rPr>
        <w:t xml:space="preserve">Dotknutý orgán je povinný vo svojom záväznom stanovisku 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vždy uviesť </w:t>
      </w:r>
      <w:r w:rsidRPr="00F522BA">
        <w:rPr>
          <w:rFonts w:ascii="Book Antiqua" w:hAnsi="Book Antiqua"/>
          <w:bCs/>
          <w:sz w:val="22"/>
          <w:szCs w:val="22"/>
        </w:rPr>
        <w:t xml:space="preserve">príslušné 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 ustanovenie osobitného predpisu, na základe ktorého uplatňuje svoju pôsobnosť</w:t>
      </w:r>
      <w:r w:rsidRPr="00F522BA">
        <w:rPr>
          <w:rFonts w:ascii="Book Antiqua" w:hAnsi="Book Antiqua"/>
          <w:bCs/>
          <w:sz w:val="22"/>
          <w:szCs w:val="22"/>
        </w:rPr>
        <w:t xml:space="preserve">. </w:t>
      </w:r>
      <w:r w:rsidRPr="00F522BA">
        <w:rPr>
          <w:rFonts w:ascii="Book Antiqua" w:hAnsi="Book Antiqua"/>
          <w:b/>
          <w:bCs/>
          <w:sz w:val="22"/>
          <w:szCs w:val="22"/>
        </w:rPr>
        <w:t>Výlučne dodávateľ by tak už viac nemohol brániť napr. výstavbe vlastnej kotolne v bytovom dome, či výstavbe inej sústavy tepelných zariadení na vymedzenom území, resp. zmenám a úpravám v existujúcich sústavách tepelných zariadení, na ktoré sa vyžaduje stavebné povolenie</w:t>
      </w:r>
      <w:r w:rsidRPr="00F522BA">
        <w:rPr>
          <w:rFonts w:ascii="Book Antiqua" w:hAnsi="Book Antiqua"/>
          <w:bCs/>
          <w:sz w:val="22"/>
          <w:szCs w:val="22"/>
        </w:rPr>
        <w:t xml:space="preserve"> (viď aj čl. I bod 2).</w:t>
      </w:r>
    </w:p>
    <w:p w:rsidR="0060535F" w:rsidRPr="00F522BA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Cs/>
          <w:sz w:val="22"/>
          <w:szCs w:val="22"/>
        </w:rPr>
      </w:pPr>
      <w:r w:rsidRPr="0060535F">
        <w:rPr>
          <w:rFonts w:ascii="Book Antiqua" w:hAnsi="Book Antiqua"/>
          <w:bCs/>
          <w:sz w:val="22"/>
          <w:szCs w:val="22"/>
        </w:rPr>
        <w:t>Schválením navrhovaného vypustenia by došlo k náprave stavu, ktorý sa nejaví byť v právnom štáte prípustný a má negatívny vplyv tak na odberateľov a následne aj na konečných spotrebiteľov, ako aj na potenciálnych nových dodávateľov.</w:t>
      </w:r>
    </w:p>
    <w:p w:rsidR="0060535F" w:rsidRPr="00F522BA" w:rsidP="0060535F">
      <w:pPr>
        <w:pStyle w:val="BodyText"/>
        <w:bidi w:val="0"/>
        <w:spacing w:after="0" w:line="276" w:lineRule="auto"/>
        <w:rPr>
          <w:rFonts w:ascii="Book Antiqua" w:hAnsi="Book Antiqua"/>
          <w:bCs/>
          <w:sz w:val="22"/>
          <w:szCs w:val="22"/>
          <w:u w:val="single"/>
        </w:rPr>
      </w:pPr>
      <w:r w:rsidRPr="00F522BA">
        <w:rPr>
          <w:rFonts w:ascii="Book Antiqua" w:hAnsi="Book Antiqua"/>
          <w:bCs/>
          <w:sz w:val="22"/>
          <w:szCs w:val="22"/>
          <w:u w:val="single"/>
        </w:rPr>
        <w:t>K bodu 2</w:t>
      </w:r>
    </w:p>
    <w:p w:rsidR="0060535F" w:rsidRPr="00F522BA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 w:cs="Tahoma"/>
          <w:sz w:val="22"/>
          <w:szCs w:val="22"/>
        </w:rPr>
      </w:pPr>
      <w:r w:rsidRPr="00F522BA">
        <w:rPr>
          <w:rFonts w:ascii="Book Antiqua" w:hAnsi="Book Antiqua" w:cs="Tahoma"/>
          <w:sz w:val="22"/>
          <w:szCs w:val="22"/>
        </w:rPr>
        <w:t>Legislatívno-technická úprava bezprostredne súvisiaca s čl. I bodom 1.</w:t>
      </w:r>
    </w:p>
    <w:p w:rsidR="0060535F" w:rsidRPr="00F522BA" w:rsidP="0060535F">
      <w:pPr>
        <w:pStyle w:val="BodyText"/>
        <w:bidi w:val="0"/>
        <w:spacing w:after="0" w:line="276" w:lineRule="auto"/>
        <w:rPr>
          <w:rFonts w:ascii="Book Antiqua" w:hAnsi="Book Antiqua" w:cs="Tahoma"/>
          <w:sz w:val="22"/>
          <w:szCs w:val="22"/>
          <w:u w:val="single"/>
        </w:rPr>
      </w:pPr>
      <w:r w:rsidRPr="00F522BA">
        <w:rPr>
          <w:rFonts w:ascii="Book Antiqua" w:hAnsi="Book Antiqua" w:cs="Tahoma"/>
          <w:sz w:val="22"/>
          <w:szCs w:val="22"/>
          <w:u w:val="single"/>
        </w:rPr>
        <w:t>K bodu 3</w:t>
      </w:r>
    </w:p>
    <w:p w:rsidR="0060535F" w:rsidRPr="0057365F" w:rsidP="0057365F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7365F">
        <w:rPr>
          <w:rFonts w:ascii="Book Antiqua" w:hAnsi="Book Antiqua"/>
          <w:sz w:val="22"/>
          <w:szCs w:val="22"/>
        </w:rPr>
        <w:t>V prechodných ustanoveniach sa rieši vplyv</w:t>
      </w:r>
      <w:r w:rsidR="0057365F">
        <w:rPr>
          <w:rFonts w:ascii="Book Antiqua" w:hAnsi="Book Antiqua"/>
          <w:sz w:val="22"/>
          <w:szCs w:val="22"/>
        </w:rPr>
        <w:t xml:space="preserve"> </w:t>
      </w:r>
      <w:r w:rsidRPr="0057365F" w:rsidR="0057365F">
        <w:rPr>
          <w:rFonts w:ascii="Book Antiqua" w:hAnsi="Book Antiqua"/>
          <w:sz w:val="22"/>
          <w:szCs w:val="22"/>
        </w:rPr>
        <w:t>návrhu</w:t>
      </w:r>
      <w:r w:rsidRPr="0057365F">
        <w:rPr>
          <w:rFonts w:ascii="Book Antiqua" w:hAnsi="Book Antiqua"/>
          <w:sz w:val="22"/>
          <w:szCs w:val="22"/>
        </w:rPr>
        <w:t xml:space="preserve"> zákona na právne vzťahy upravené doterajším zákonom. Najmä v prospech odberateľov a v konečnom dôsledku aj konečných spotrebiteľov sa </w:t>
      </w:r>
      <w:r w:rsidRPr="0057365F">
        <w:rPr>
          <w:rFonts w:ascii="Book Antiqua" w:hAnsi="Book Antiqua"/>
          <w:bCs/>
          <w:iCs/>
          <w:sz w:val="22"/>
          <w:szCs w:val="22"/>
        </w:rPr>
        <w:t xml:space="preserve">ustanovuje, že </w:t>
      </w:r>
      <w:r w:rsidRPr="0057365F">
        <w:rPr>
          <w:rFonts w:ascii="Book Antiqua" w:hAnsi="Book Antiqua"/>
          <w:bCs/>
          <w:sz w:val="22"/>
          <w:szCs w:val="22"/>
        </w:rPr>
        <w:t xml:space="preserve">na konanie podľa stavebného zákona súvisiace s výstavbou sústavy tepelných zariadení na vymedzenom území, ktoré sa začalo pred 1. marcom 2015 a nebolo do 28. februára 2015 právoplatne ukončené, sa vzťahujú ustanovenia novej právnej úpravy (t. j. zákona č. 657/2004 Z. z. v znení účinnom od 1. marca 2015). Ak už bolo v takomto právoplatne neukončenom konaní podľa stavebného zákona do 28. februára 2015 vydané záväzné stanovisko dodávateľa (podľa ustanovenia § 12 ods. 10 zákona </w:t>
      </w:r>
      <w:r w:rsidRPr="0057365F" w:rsidR="0057365F">
        <w:rPr>
          <w:rFonts w:ascii="Book Antiqua" w:hAnsi="Book Antiqua"/>
          <w:bCs/>
          <w:sz w:val="22"/>
          <w:szCs w:val="22"/>
        </w:rPr>
        <w:t xml:space="preserve">             </w:t>
      </w:r>
      <w:r w:rsidRPr="0057365F">
        <w:rPr>
          <w:rFonts w:ascii="Book Antiqua" w:hAnsi="Book Antiqua"/>
          <w:bCs/>
          <w:sz w:val="22"/>
          <w:szCs w:val="22"/>
        </w:rPr>
        <w:t xml:space="preserve">č. 657/2004 Z. z. účinného do 28. februára 2015), má stratiť platnosť dňom nadobudnutia účinnosti navrhovanej právnej úpravy (t. j. 1. marca 2015). </w:t>
      </w:r>
    </w:p>
    <w:p w:rsidR="0060535F" w:rsidRPr="00F522BA" w:rsidP="0060535F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7365F">
        <w:rPr>
          <w:rFonts w:ascii="Book Antiqua" w:hAnsi="Book Antiqua"/>
          <w:bCs/>
          <w:sz w:val="22"/>
          <w:szCs w:val="22"/>
        </w:rPr>
        <w:t>V takýchto právoplatne neukončených konaniach podľa stavebného zákona teda dodávateľ od 1. marca 2015 viac nebude dotknutým orgánom a jeho prípadné záväzné stanovisko vydané do 28. februára 2015 stratí platnosť nadobudnutím účinnosti navrhovanej právnej úpravy.</w:t>
      </w:r>
    </w:p>
    <w:p w:rsidR="0060535F" w:rsidRPr="00F522BA" w:rsidP="0060535F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60535F" w:rsidRPr="00F522BA" w:rsidP="0060535F">
      <w:pPr>
        <w:pStyle w:val="BodyText"/>
        <w:bidi w:val="0"/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F522BA">
        <w:rPr>
          <w:rFonts w:ascii="Book Antiqua" w:hAnsi="Book Antiqua"/>
          <w:b/>
          <w:sz w:val="22"/>
          <w:szCs w:val="22"/>
        </w:rPr>
        <w:t>K Čl. II</w:t>
      </w:r>
    </w:p>
    <w:p w:rsidR="0060535F" w:rsidRPr="00F522BA" w:rsidP="0060535F">
      <w:pPr>
        <w:pStyle w:val="BodyText"/>
        <w:bidi w:val="0"/>
        <w:spacing w:after="0" w:line="276" w:lineRule="auto"/>
        <w:ind w:firstLine="709"/>
        <w:rPr>
          <w:rFonts w:ascii="Book Antiqua" w:hAnsi="Book Antiqua"/>
          <w:b/>
          <w:sz w:val="22"/>
          <w:szCs w:val="22"/>
        </w:rPr>
      </w:pPr>
      <w:r w:rsidRPr="00F522BA">
        <w:rPr>
          <w:rFonts w:ascii="Book Antiqua" w:hAnsi="Book Antiqua"/>
          <w:bCs/>
          <w:sz w:val="22"/>
          <w:szCs w:val="22"/>
        </w:rPr>
        <w:t xml:space="preserve">Vzhľadom na predpokladanú dĺžku legislatívneho procesu sa účinnosť predkladanej právnej úpravy navrhuje od 1. marca 2015. </w:t>
      </w:r>
    </w:p>
    <w:p w:rsidR="0060535F" w:rsidP="0060535F">
      <w:pPr>
        <w:bidi w:val="0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6053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1F00B2" w:rsidRPr="00F522BA" w:rsidP="00F522BA">
      <w:pPr>
        <w:bidi w:val="0"/>
        <w:spacing w:before="120" w:line="276" w:lineRule="auto"/>
        <w:ind w:firstLine="708"/>
        <w:jc w:val="center"/>
        <w:rPr>
          <w:rFonts w:ascii="Book Antiqua" w:hAnsi="Book Antiqua"/>
          <w:sz w:val="22"/>
          <w:szCs w:val="22"/>
        </w:rPr>
      </w:pPr>
      <w:r w:rsidRPr="00F522B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1F00B2" w:rsidRPr="00F522BA" w:rsidP="00F522B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F522BA" w:rsidR="00C46AAA">
        <w:rPr>
          <w:rFonts w:ascii="Book Antiqua" w:hAnsi="Book Antiqua"/>
          <w:b/>
          <w:bCs/>
          <w:sz w:val="22"/>
          <w:szCs w:val="22"/>
        </w:rPr>
        <w:t xml:space="preserve">           </w:t>
      </w:r>
      <w:r w:rsidRPr="00F522BA">
        <w:rPr>
          <w:rFonts w:ascii="Book Antiqua" w:hAnsi="Book Antiqua"/>
          <w:b/>
          <w:bCs/>
          <w:sz w:val="22"/>
          <w:szCs w:val="22"/>
        </w:rPr>
        <w:t>návrhu zákona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1F00B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522BA">
        <w:rPr>
          <w:rFonts w:ascii="Book Antiqua" w:hAnsi="Book Antiqua"/>
          <w:sz w:val="22"/>
          <w:szCs w:val="22"/>
        </w:rPr>
        <w:t> </w:t>
      </w:r>
    </w:p>
    <w:p w:rsidR="001F00B2" w:rsidRPr="00F522BA" w:rsidP="00F522B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522BA" w:rsidR="009F43CE">
        <w:rPr>
          <w:rFonts w:ascii="Book Antiqua" w:hAnsi="Book Antiqua"/>
          <w:b/>
          <w:bCs/>
          <w:sz w:val="22"/>
          <w:szCs w:val="22"/>
        </w:rPr>
        <w:t>1. Navrhovatelia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 zákona: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 w:rsidR="003D19A2">
        <w:rPr>
          <w:rFonts w:ascii="Book Antiqua" w:hAnsi="Book Antiqua"/>
          <w:sz w:val="22"/>
          <w:szCs w:val="22"/>
        </w:rPr>
        <w:t>p</w:t>
      </w:r>
      <w:r w:rsidRPr="00F522BA" w:rsidR="006171A0">
        <w:rPr>
          <w:rFonts w:ascii="Book Antiqua" w:hAnsi="Book Antiqua"/>
          <w:sz w:val="22"/>
          <w:szCs w:val="22"/>
        </w:rPr>
        <w:t>oslanc</w:t>
      </w:r>
      <w:r w:rsidRPr="00F522BA" w:rsidR="003D19A2">
        <w:rPr>
          <w:rFonts w:ascii="Book Antiqua" w:hAnsi="Book Antiqua"/>
          <w:sz w:val="22"/>
          <w:szCs w:val="22"/>
        </w:rPr>
        <w:t>i</w:t>
      </w:r>
      <w:r w:rsidRPr="00F522BA">
        <w:rPr>
          <w:rFonts w:ascii="Book Antiqua" w:hAnsi="Book Antiqua"/>
          <w:sz w:val="22"/>
          <w:szCs w:val="22"/>
        </w:rPr>
        <w:t xml:space="preserve"> Nár</w:t>
      </w:r>
      <w:r w:rsidRPr="00F522BA" w:rsidR="006171A0">
        <w:rPr>
          <w:rFonts w:ascii="Book Antiqua" w:hAnsi="Book Antiqua"/>
          <w:sz w:val="22"/>
          <w:szCs w:val="22"/>
        </w:rPr>
        <w:t>odnej rady Slovenskej republiky</w:t>
      </w:r>
      <w:r w:rsidRPr="00F522BA" w:rsidR="00406514">
        <w:rPr>
          <w:rFonts w:ascii="Book Antiqua" w:hAnsi="Book Antiqua"/>
          <w:sz w:val="22"/>
          <w:szCs w:val="22"/>
        </w:rPr>
        <w:t xml:space="preserve"> Jozef Viskupič a Lucia Nicholsonová</w:t>
      </w:r>
    </w:p>
    <w:p w:rsidR="009F1AE2" w:rsidRPr="00F522BA" w:rsidP="00F522B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1AE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522BA" w:rsidR="001F00B2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F522BA" w:rsidR="001F00B2">
        <w:rPr>
          <w:rFonts w:ascii="Book Antiqua" w:hAnsi="Book Antiqua"/>
          <w:sz w:val="22"/>
          <w:szCs w:val="22"/>
        </w:rPr>
        <w:t xml:space="preserve"> návrh zákona</w:t>
      </w:r>
      <w:r w:rsidRPr="00F522BA" w:rsidR="003D19A2">
        <w:rPr>
          <w:rFonts w:ascii="Book Antiqua" w:hAnsi="Book Antiqua"/>
          <w:sz w:val="22"/>
          <w:szCs w:val="22"/>
        </w:rPr>
        <w:t>,</w:t>
      </w:r>
      <w:r w:rsidRPr="00F522BA">
        <w:rPr>
          <w:rFonts w:ascii="Book Antiqua" w:hAnsi="Book Antiqua"/>
          <w:sz w:val="22"/>
          <w:szCs w:val="22"/>
        </w:rPr>
        <w:t xml:space="preserve"> </w:t>
      </w:r>
      <w:r w:rsidRPr="00F522BA" w:rsidR="003D19A2">
        <w:rPr>
          <w:rFonts w:ascii="Book Antiqua" w:hAnsi="Book Antiqua"/>
          <w:bCs/>
          <w:sz w:val="22"/>
          <w:szCs w:val="22"/>
        </w:rPr>
        <w:t>ktorým sa mení a dopĺňa zákon č. 657/2004 Z. z. o tepelnej energetike v znení neskorších predpisov</w:t>
      </w:r>
    </w:p>
    <w:p w:rsidR="003D19A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F00B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522B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1F00B2" w:rsidRPr="00F522BA" w:rsidP="00F522B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522BA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1F00B2" w:rsidRPr="00F522BA" w:rsidP="00F522B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522BA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1F00B2" w:rsidRPr="00F522BA" w:rsidP="00F522BA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522BA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F522BA">
        <w:rPr>
          <w:rFonts w:ascii="Book Antiqua" w:hAnsi="Book Antiqua"/>
          <w:sz w:val="22"/>
          <w:szCs w:val="22"/>
        </w:rPr>
        <w:t> </w:t>
      </w:r>
    </w:p>
    <w:p w:rsidR="001F00B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F00B2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F522BA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</w:t>
      </w:r>
      <w:r w:rsidRPr="00F522BA" w:rsidR="00406514">
        <w:rPr>
          <w:rFonts w:ascii="Book Antiqua" w:hAnsi="Book Antiqua"/>
          <w:b/>
          <w:bCs/>
          <w:sz w:val="22"/>
          <w:szCs w:val="22"/>
        </w:rPr>
        <w:t>edmetné vyjadrovať sa k bodom 4</w:t>
      </w:r>
      <w:r w:rsidRPr="00F522BA">
        <w:rPr>
          <w:rFonts w:ascii="Book Antiqua" w:hAnsi="Book Antiqua"/>
          <w:b/>
          <w:bCs/>
          <w:sz w:val="22"/>
          <w:szCs w:val="22"/>
        </w:rPr>
        <w:t xml:space="preserve"> a 5.</w:t>
      </w:r>
    </w:p>
    <w:p w:rsidR="00EF69AF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F522BA">
        <w:rPr>
          <w:rFonts w:ascii="Book Antiqua" w:hAnsi="Book Antiqua"/>
          <w:b/>
          <w:bCs/>
          <w:sz w:val="22"/>
          <w:szCs w:val="22"/>
        </w:rPr>
        <w:tab/>
      </w:r>
    </w:p>
    <w:p w:rsidR="00EF69AF" w:rsidRPr="00F522BA" w:rsidP="00F522BA">
      <w:pPr>
        <w:bidi w:val="0"/>
        <w:spacing w:before="120" w:line="276" w:lineRule="auto"/>
        <w:ind w:left="360"/>
        <w:jc w:val="both"/>
        <w:rPr>
          <w:rFonts w:ascii="Book Antiqua" w:hAnsi="Book Antiqua"/>
          <w:b/>
          <w:bCs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1F00B2" w:rsidRPr="00F522BA" w:rsidP="00F522BA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171A0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053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053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053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053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7365F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175BE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F522B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3175BE" w:rsidRPr="00F522BA" w:rsidP="00F522BA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F522BA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9F1AE2" w:rsidRPr="00F522BA" w:rsidP="00F522B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F522BA" w:rsidR="003175BE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F522BA" w:rsidR="00EF69AF">
        <w:rPr>
          <w:rFonts w:ascii="Book Antiqua" w:hAnsi="Book Antiqua"/>
          <w:sz w:val="22"/>
          <w:szCs w:val="22"/>
        </w:rPr>
        <w:t>n</w:t>
      </w:r>
      <w:r w:rsidRPr="00F522BA" w:rsidR="003175BE">
        <w:rPr>
          <w:rFonts w:ascii="Book Antiqua" w:hAnsi="Book Antiqua"/>
          <w:sz w:val="22"/>
          <w:szCs w:val="22"/>
        </w:rPr>
        <w:t>ávrh zákona</w:t>
      </w:r>
      <w:r w:rsidRPr="00F522BA" w:rsidR="003D19A2">
        <w:rPr>
          <w:rFonts w:ascii="Book Antiqua" w:hAnsi="Book Antiqua"/>
          <w:sz w:val="22"/>
          <w:szCs w:val="22"/>
        </w:rPr>
        <w:t xml:space="preserve">, </w:t>
      </w:r>
      <w:r w:rsidRPr="00F522BA" w:rsidR="003D19A2">
        <w:rPr>
          <w:rFonts w:ascii="Book Antiqua" w:hAnsi="Book Antiqua"/>
          <w:bCs/>
          <w:sz w:val="22"/>
          <w:szCs w:val="22"/>
        </w:rPr>
        <w:t>ktorým sa mení a dopĺňa zákon č. 657/2004 Z. z. o tepelnej energetike v znení neskorších predpisov</w:t>
      </w:r>
    </w:p>
    <w:p w:rsidR="0060535F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EF69AF" w:rsidRPr="00F522BA" w:rsidP="00F522BA">
      <w:pPr>
        <w:bidi w:val="0"/>
        <w:spacing w:before="12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F522BA" w:rsidR="00E00CAD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F522BA" w:rsidR="00E00CA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522BA" w:rsidR="00E00C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E00CAD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F522B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31"/>
        <w:gridCol w:w="1188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376F3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 xml:space="preserve">2. Vplyvy na podnikateľské prostredie – dochádza </w:t>
            </w:r>
            <w:r w:rsidRPr="00F522BA" w:rsidR="00376F30">
              <w:rPr>
                <w:rFonts w:ascii="Book Antiqua" w:hAnsi="Book Antiqua"/>
                <w:color w:val="000000"/>
                <w:sz w:val="22"/>
                <w:szCs w:val="22"/>
              </w:rPr>
              <w:t xml:space="preserve">         </w:t>
            </w: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0535F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60535F" w:rsidR="009B0E47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0535F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60535F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60535F" w:rsidR="00F7519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3D19A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376F30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9F1AE2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EF69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522BA" w:rsidR="00EF69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175BE" w:rsidRPr="00F522BA" w:rsidP="00F522BA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F522BA">
        <w:rPr>
          <w:rFonts w:ascii="Book Antiqua" w:hAnsi="Book Antiqua"/>
          <w:color w:val="000000"/>
          <w:sz w:val="22"/>
          <w:szCs w:val="22"/>
        </w:rPr>
        <w:t> </w:t>
      </w: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F522BA" w:rsidR="00EF69AF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60535F" w:rsidRPr="0060535F" w:rsidP="00E333C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60535F" w:rsidR="00F75198">
        <w:rPr>
          <w:rFonts w:ascii="Book Antiqua" w:hAnsi="Book Antiqua"/>
          <w:bCs/>
          <w:i/>
          <w:color w:val="000000"/>
          <w:sz w:val="22"/>
          <w:szCs w:val="22"/>
        </w:rPr>
        <w:t>Predpokladajú sa výrazné pozitívne sociálne vplyvy na hospodárenie obyvateľstva</w:t>
      </w:r>
      <w:r w:rsidRPr="0060535F" w:rsidR="00CF54EF">
        <w:rPr>
          <w:rFonts w:ascii="Book Antiqua" w:hAnsi="Book Antiqua"/>
          <w:bCs/>
          <w:i/>
          <w:color w:val="000000"/>
          <w:sz w:val="22"/>
          <w:szCs w:val="22"/>
        </w:rPr>
        <w:t>, a to</w:t>
      </w:r>
      <w:r w:rsidRPr="0060535F" w:rsidR="00F75198">
        <w:rPr>
          <w:rFonts w:ascii="Book Antiqua" w:hAnsi="Book Antiqua"/>
          <w:bCs/>
          <w:i/>
          <w:color w:val="000000"/>
          <w:sz w:val="22"/>
          <w:szCs w:val="22"/>
        </w:rPr>
        <w:t xml:space="preserve"> v súvislosti s ušetrením finančných prostriedkov, ktoré by </w:t>
      </w:r>
      <w:r w:rsidRPr="0060535F" w:rsidR="009B0E47">
        <w:rPr>
          <w:rFonts w:ascii="Book Antiqua" w:hAnsi="Book Antiqua"/>
          <w:bCs/>
          <w:i/>
          <w:color w:val="000000"/>
          <w:sz w:val="22"/>
          <w:szCs w:val="22"/>
        </w:rPr>
        <w:t xml:space="preserve">obyvatelia </w:t>
      </w:r>
      <w:r w:rsidRPr="0060535F" w:rsidR="00F75198">
        <w:rPr>
          <w:rFonts w:ascii="Book Antiqua" w:hAnsi="Book Antiqua"/>
          <w:bCs/>
          <w:i/>
          <w:color w:val="000000"/>
          <w:sz w:val="22"/>
          <w:szCs w:val="22"/>
        </w:rPr>
        <w:t xml:space="preserve">inak vynaložili na </w:t>
      </w:r>
      <w:r w:rsidRPr="0060535F" w:rsidR="00CF54EF">
        <w:rPr>
          <w:rFonts w:ascii="Book Antiqua" w:hAnsi="Book Antiqua"/>
          <w:bCs/>
          <w:i/>
          <w:color w:val="000000"/>
          <w:sz w:val="22"/>
          <w:szCs w:val="22"/>
        </w:rPr>
        <w:t>cenovo nevýhodnejšie dodávky tepla</w:t>
      </w:r>
      <w:r w:rsidRPr="0060535F">
        <w:rPr>
          <w:rFonts w:ascii="Book Antiqua" w:hAnsi="Book Antiqua"/>
          <w:bCs/>
          <w:i/>
          <w:color w:val="000000"/>
          <w:sz w:val="22"/>
          <w:szCs w:val="22"/>
        </w:rPr>
        <w:t xml:space="preserve"> (napr. pri 12-poschodovom bytovom dome sa predpokladá ročná úspora na jednu bytovú jednotku až 300 eur)</w:t>
      </w:r>
      <w:r w:rsidRPr="0060535F" w:rsidR="00CF54EF">
        <w:rPr>
          <w:rFonts w:ascii="Book Antiqua" w:hAnsi="Book Antiqua"/>
          <w:bCs/>
          <w:i/>
          <w:color w:val="000000"/>
          <w:sz w:val="22"/>
          <w:szCs w:val="22"/>
        </w:rPr>
        <w:t xml:space="preserve">. </w:t>
      </w:r>
    </w:p>
    <w:p w:rsidR="003175BE" w:rsidP="00E333C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60535F" w:rsidR="009B0E47">
        <w:rPr>
          <w:rFonts w:ascii="Book Antiqua" w:hAnsi="Book Antiqua"/>
          <w:bCs/>
          <w:i/>
          <w:color w:val="000000"/>
          <w:sz w:val="22"/>
          <w:szCs w:val="22"/>
        </w:rPr>
        <w:t xml:space="preserve">Čo sa týka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vplyvov na podnikateľské prostredie,  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>predpoklad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>ajú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>sa v závislosti od cieľovej skupiny podnikateľov súčasne pozitívne vplyvy aj negatívne vplyvy. N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 xml:space="preserve">egatívny vplyv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>s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 xml:space="preserve">a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očakáva na 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>súčasných dodávateľov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>, keďže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 po schválení návrhu zákona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>je pravdepodobná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najmä </w:t>
      </w:r>
      <w:r w:rsidRPr="0060535F" w:rsidR="00CF54EF">
        <w:rPr>
          <w:rFonts w:ascii="Book Antiqua" w:hAnsi="Book Antiqua"/>
          <w:i/>
          <w:iCs/>
          <w:sz w:val="22"/>
          <w:szCs w:val="22"/>
        </w:rPr>
        <w:t>zvýšená výstavba centrálnych zdrojov tepla v budovách na úkor centralizovaného zásobovania teplom.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>Na druhej strane, návrh zákona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pozitívne vplýva na budúcich podnikateľov, pretože okrem nepodnikateľov 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 xml:space="preserve">umožňuje vstúpiť na trh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aj 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 xml:space="preserve">novým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>podnikateľským subjektom</w:t>
      </w:r>
      <w:r w:rsidRPr="0060535F" w:rsidR="000167AB">
        <w:rPr>
          <w:rFonts w:ascii="Book Antiqua" w:hAnsi="Book Antiqua"/>
          <w:i/>
          <w:iCs/>
          <w:sz w:val="22"/>
          <w:szCs w:val="22"/>
        </w:rPr>
        <w:t xml:space="preserve">, ktorých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mohol doteraz blokovať súčasný dodávateľ. 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 xml:space="preserve">Konkrétne vyčíslenie </w:t>
      </w:r>
      <w:r w:rsidRPr="0060535F" w:rsidR="00EF576C">
        <w:rPr>
          <w:rFonts w:ascii="Book Antiqua" w:hAnsi="Book Antiqua"/>
          <w:i/>
          <w:iCs/>
          <w:sz w:val="22"/>
          <w:szCs w:val="22"/>
        </w:rPr>
        <w:t xml:space="preserve">týchto 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 xml:space="preserve">vplyvov nie je </w:t>
      </w:r>
      <w:r w:rsidRPr="0060535F" w:rsidR="009B0E47">
        <w:rPr>
          <w:rFonts w:ascii="Book Antiqua" w:hAnsi="Book Antiqua"/>
          <w:i/>
          <w:iCs/>
          <w:sz w:val="22"/>
          <w:szCs w:val="22"/>
        </w:rPr>
        <w:t xml:space="preserve">v rámci doložky vybraných vplyvov 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 xml:space="preserve">uvedené z dôvodu, že v súčasnosti nie je známy počet bytových domov, ktoré si </w:t>
      </w:r>
      <w:r w:rsidRPr="0060535F" w:rsidR="00EF576C">
        <w:rPr>
          <w:rFonts w:ascii="Book Antiqua" w:hAnsi="Book Antiqua"/>
          <w:i/>
          <w:iCs/>
          <w:sz w:val="22"/>
          <w:szCs w:val="22"/>
        </w:rPr>
        <w:t xml:space="preserve">po schválení návrhu zákona 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>budú mať záujem zriadiť vlastnú kotolňu</w:t>
      </w:r>
      <w:r w:rsidRPr="0060535F" w:rsidR="006D3885">
        <w:rPr>
          <w:rFonts w:ascii="Book Antiqua" w:hAnsi="Book Antiqua"/>
          <w:i/>
          <w:iCs/>
          <w:sz w:val="22"/>
          <w:szCs w:val="22"/>
        </w:rPr>
        <w:t>, ani počet iných záujemcov o výstavbu sústavy tepelných zariadení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>. Návrhom zákona nie je dotknuté ustanovenie § 21 zákona č. 657/2004 Z. z. o povinnom odbere tepla, ktoré sa týka tepla vyrábaného z obnoviteľných zdrojov energie a</w:t>
      </w:r>
      <w:r w:rsidRPr="0060535F" w:rsidR="000911E9">
        <w:rPr>
          <w:rFonts w:ascii="Book Antiqua" w:hAnsi="Book Antiqua"/>
          <w:i/>
          <w:iCs/>
          <w:sz w:val="22"/>
          <w:szCs w:val="22"/>
        </w:rPr>
        <w:t>lebo</w:t>
      </w:r>
      <w:r w:rsidRPr="0060535F" w:rsidR="00834094">
        <w:rPr>
          <w:rFonts w:ascii="Book Antiqua" w:hAnsi="Book Antiqua"/>
          <w:i/>
          <w:iCs/>
          <w:sz w:val="22"/>
          <w:szCs w:val="22"/>
        </w:rPr>
        <w:t xml:space="preserve"> </w:t>
      </w:r>
      <w:r w:rsidRPr="0060535F" w:rsidR="009A7347">
        <w:rPr>
          <w:rFonts w:ascii="Book Antiqua" w:hAnsi="Book Antiqua"/>
          <w:i/>
          <w:iCs/>
          <w:sz w:val="22"/>
          <w:szCs w:val="22"/>
        </w:rPr>
        <w:t xml:space="preserve">vysoko </w:t>
      </w:r>
      <w:r w:rsidRPr="0060535F" w:rsidR="000911E9">
        <w:rPr>
          <w:rFonts w:ascii="Book Antiqua" w:hAnsi="Book Antiqua"/>
          <w:i/>
          <w:iCs/>
          <w:sz w:val="22"/>
          <w:szCs w:val="22"/>
        </w:rPr>
        <w:t>účinnou kombinovanou výrobou elektriny a tepla.</w:t>
      </w:r>
    </w:p>
    <w:p w:rsidR="0060535F" w:rsidRPr="00F522BA" w:rsidP="0060535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iCs/>
          <w:sz w:val="22"/>
          <w:szCs w:val="22"/>
        </w:rPr>
      </w:pP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F522BA" w:rsidR="00EF69A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Pr="00F522BA" w:rsidR="00EF69AF">
        <w:rPr>
          <w:rFonts w:ascii="Book Antiqua" w:hAnsi="Book Antiqua"/>
          <w:i/>
          <w:color w:val="000000"/>
          <w:sz w:val="22"/>
          <w:szCs w:val="22"/>
        </w:rPr>
        <w:t>b</w:t>
      </w:r>
      <w:r w:rsidRPr="00F522BA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3175BE" w:rsidRPr="00F522BA" w:rsidP="00F522BA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175BE" w:rsidRPr="00F522BA" w:rsidP="00F522BA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F522BA">
        <w:rPr>
          <w:rFonts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 w:rsidR="003175BE" w:rsidRPr="00F522BA" w:rsidP="00E333C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F522B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BF2191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EF576C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EF576C" w:rsidRPr="00F522BA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BF2191" w:rsidRPr="0057365F" w:rsidP="00F522B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Cs/>
          <w:color w:val="000000"/>
          <w:sz w:val="22"/>
          <w:szCs w:val="22"/>
        </w:rPr>
      </w:pPr>
    </w:p>
    <w:sectPr w:rsidSect="003175B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062">
    <w:pPr>
      <w:pStyle w:val="Footer"/>
      <w:bidi w:val="0"/>
      <w:jc w:val="right"/>
      <w:rPr>
        <w:rFonts w:ascii="Times New Roman" w:hAnsi="Times New Roman"/>
      </w:rPr>
    </w:pPr>
    <w:r w:rsidR="00F44EC4">
      <w:rPr>
        <w:rFonts w:ascii="Times New Roman" w:hAnsi="Times New Roman"/>
      </w:rPr>
      <w:fldChar w:fldCharType="begin"/>
    </w:r>
    <w:r w:rsidR="00F44EC4">
      <w:rPr>
        <w:rFonts w:ascii="Times New Roman" w:hAnsi="Times New Roman"/>
      </w:rPr>
      <w:instrText xml:space="preserve"> PAGE   \* MERGEFORMAT </w:instrText>
    </w:r>
    <w:r w:rsidR="00F44EC4">
      <w:rPr>
        <w:rFonts w:ascii="Times New Roman" w:hAnsi="Times New Roman"/>
      </w:rPr>
      <w:fldChar w:fldCharType="separate"/>
    </w:r>
    <w:r w:rsidR="00944B45">
      <w:rPr>
        <w:rFonts w:ascii="Times New Roman" w:hAnsi="Times New Roman"/>
        <w:noProof/>
      </w:rPr>
      <w:t>1</w:t>
    </w:r>
    <w:r w:rsidR="00F44EC4">
      <w:rPr>
        <w:rFonts w:ascii="Times New Roman" w:hAnsi="Times New Roman"/>
      </w:rPr>
      <w:fldChar w:fldCharType="end"/>
    </w:r>
  </w:p>
  <w:p w:rsidR="001D506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B623C5"/>
    <w:multiLevelType w:val="hybridMultilevel"/>
    <w:tmpl w:val="B92093F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2B1D2BB3"/>
    <w:multiLevelType w:val="hybridMultilevel"/>
    <w:tmpl w:val="715EBC10"/>
    <w:lvl w:ilvl="0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43F7688"/>
    <w:multiLevelType w:val="hybridMultilevel"/>
    <w:tmpl w:val="1EAE709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75BE"/>
    <w:rsid w:val="000167AB"/>
    <w:rsid w:val="00054693"/>
    <w:rsid w:val="00063A0B"/>
    <w:rsid w:val="00064CF3"/>
    <w:rsid w:val="00084FC8"/>
    <w:rsid w:val="000911E9"/>
    <w:rsid w:val="000A6410"/>
    <w:rsid w:val="000B554E"/>
    <w:rsid w:val="000D3314"/>
    <w:rsid w:val="00123988"/>
    <w:rsid w:val="00165B52"/>
    <w:rsid w:val="00171CB5"/>
    <w:rsid w:val="00175B7F"/>
    <w:rsid w:val="001B41BD"/>
    <w:rsid w:val="001C4C36"/>
    <w:rsid w:val="001D4C15"/>
    <w:rsid w:val="001D5062"/>
    <w:rsid w:val="001F00B2"/>
    <w:rsid w:val="001F26A8"/>
    <w:rsid w:val="001F7ECF"/>
    <w:rsid w:val="00201740"/>
    <w:rsid w:val="00203D44"/>
    <w:rsid w:val="00215D46"/>
    <w:rsid w:val="002354D2"/>
    <w:rsid w:val="00266BC7"/>
    <w:rsid w:val="002842A2"/>
    <w:rsid w:val="00286619"/>
    <w:rsid w:val="002E266C"/>
    <w:rsid w:val="003040AE"/>
    <w:rsid w:val="003175BE"/>
    <w:rsid w:val="003434D3"/>
    <w:rsid w:val="003456D6"/>
    <w:rsid w:val="00353F2A"/>
    <w:rsid w:val="00363498"/>
    <w:rsid w:val="00372961"/>
    <w:rsid w:val="00376F30"/>
    <w:rsid w:val="00381BBC"/>
    <w:rsid w:val="00391830"/>
    <w:rsid w:val="0039236F"/>
    <w:rsid w:val="003A10BB"/>
    <w:rsid w:val="003D19A2"/>
    <w:rsid w:val="00406514"/>
    <w:rsid w:val="0041703F"/>
    <w:rsid w:val="00424139"/>
    <w:rsid w:val="0045395E"/>
    <w:rsid w:val="00457BEC"/>
    <w:rsid w:val="00463866"/>
    <w:rsid w:val="00465B53"/>
    <w:rsid w:val="00477D01"/>
    <w:rsid w:val="0048522B"/>
    <w:rsid w:val="004963E0"/>
    <w:rsid w:val="004C1E72"/>
    <w:rsid w:val="004D2CD3"/>
    <w:rsid w:val="004E79B1"/>
    <w:rsid w:val="00502794"/>
    <w:rsid w:val="00540149"/>
    <w:rsid w:val="00551EB1"/>
    <w:rsid w:val="00566DBD"/>
    <w:rsid w:val="0057365F"/>
    <w:rsid w:val="00574E14"/>
    <w:rsid w:val="00576905"/>
    <w:rsid w:val="00590FD4"/>
    <w:rsid w:val="00591DDD"/>
    <w:rsid w:val="005A287C"/>
    <w:rsid w:val="005A3E5A"/>
    <w:rsid w:val="005B0C25"/>
    <w:rsid w:val="005C02C3"/>
    <w:rsid w:val="005C4E02"/>
    <w:rsid w:val="005F1DD3"/>
    <w:rsid w:val="0060535F"/>
    <w:rsid w:val="006171A0"/>
    <w:rsid w:val="00623C2E"/>
    <w:rsid w:val="0065746D"/>
    <w:rsid w:val="00682AA7"/>
    <w:rsid w:val="006D17E8"/>
    <w:rsid w:val="006D3885"/>
    <w:rsid w:val="007469F2"/>
    <w:rsid w:val="00782D66"/>
    <w:rsid w:val="007B7997"/>
    <w:rsid w:val="007B7EEC"/>
    <w:rsid w:val="007C4A7C"/>
    <w:rsid w:val="007C75EB"/>
    <w:rsid w:val="007E7F59"/>
    <w:rsid w:val="007F1866"/>
    <w:rsid w:val="00815B74"/>
    <w:rsid w:val="00817990"/>
    <w:rsid w:val="00825B5D"/>
    <w:rsid w:val="00825CF7"/>
    <w:rsid w:val="00826879"/>
    <w:rsid w:val="00834094"/>
    <w:rsid w:val="00835FF8"/>
    <w:rsid w:val="008442D4"/>
    <w:rsid w:val="00844C27"/>
    <w:rsid w:val="00850072"/>
    <w:rsid w:val="008862D2"/>
    <w:rsid w:val="008903BA"/>
    <w:rsid w:val="0089411F"/>
    <w:rsid w:val="008B6E9B"/>
    <w:rsid w:val="00912327"/>
    <w:rsid w:val="00932C01"/>
    <w:rsid w:val="00944B45"/>
    <w:rsid w:val="0096074E"/>
    <w:rsid w:val="00993743"/>
    <w:rsid w:val="009A4263"/>
    <w:rsid w:val="009A7347"/>
    <w:rsid w:val="009B0E47"/>
    <w:rsid w:val="009E053A"/>
    <w:rsid w:val="009F1AE2"/>
    <w:rsid w:val="009F292F"/>
    <w:rsid w:val="009F43CE"/>
    <w:rsid w:val="00A23AD0"/>
    <w:rsid w:val="00A37520"/>
    <w:rsid w:val="00A41C44"/>
    <w:rsid w:val="00A843A8"/>
    <w:rsid w:val="00AB349F"/>
    <w:rsid w:val="00AB45BA"/>
    <w:rsid w:val="00AC0FA2"/>
    <w:rsid w:val="00AE2F9E"/>
    <w:rsid w:val="00B04C7F"/>
    <w:rsid w:val="00B62CC0"/>
    <w:rsid w:val="00B638E5"/>
    <w:rsid w:val="00B73974"/>
    <w:rsid w:val="00B80536"/>
    <w:rsid w:val="00BF2191"/>
    <w:rsid w:val="00C12D10"/>
    <w:rsid w:val="00C13D09"/>
    <w:rsid w:val="00C15A35"/>
    <w:rsid w:val="00C46AAA"/>
    <w:rsid w:val="00C54C2F"/>
    <w:rsid w:val="00C73B39"/>
    <w:rsid w:val="00C80768"/>
    <w:rsid w:val="00C86C8A"/>
    <w:rsid w:val="00C90CCD"/>
    <w:rsid w:val="00CF54EF"/>
    <w:rsid w:val="00D05599"/>
    <w:rsid w:val="00D41F56"/>
    <w:rsid w:val="00D424BC"/>
    <w:rsid w:val="00D9019C"/>
    <w:rsid w:val="00DC79A8"/>
    <w:rsid w:val="00DD7FF2"/>
    <w:rsid w:val="00E00CAD"/>
    <w:rsid w:val="00E13E44"/>
    <w:rsid w:val="00E175CB"/>
    <w:rsid w:val="00E20854"/>
    <w:rsid w:val="00E242E7"/>
    <w:rsid w:val="00E27536"/>
    <w:rsid w:val="00E333CB"/>
    <w:rsid w:val="00E57B4D"/>
    <w:rsid w:val="00E61EA6"/>
    <w:rsid w:val="00E85935"/>
    <w:rsid w:val="00E85959"/>
    <w:rsid w:val="00E92966"/>
    <w:rsid w:val="00EA0EF7"/>
    <w:rsid w:val="00EA75FC"/>
    <w:rsid w:val="00EC1681"/>
    <w:rsid w:val="00EC3351"/>
    <w:rsid w:val="00EF4768"/>
    <w:rsid w:val="00EF576C"/>
    <w:rsid w:val="00EF69AF"/>
    <w:rsid w:val="00F04E09"/>
    <w:rsid w:val="00F13A21"/>
    <w:rsid w:val="00F2762E"/>
    <w:rsid w:val="00F305A4"/>
    <w:rsid w:val="00F44EC4"/>
    <w:rsid w:val="00F522BA"/>
    <w:rsid w:val="00F75198"/>
    <w:rsid w:val="00F86291"/>
    <w:rsid w:val="00F94CC2"/>
    <w:rsid w:val="00FF59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3175BE"/>
    <w:rPr>
      <w:rFonts w:ascii="Cambria" w:hAnsi="Cambria" w:cs="Cambria"/>
      <w:b/>
      <w:kern w:val="32"/>
      <w:sz w:val="32"/>
      <w:lang w:val="x-none" w:eastAsia="sk-SK"/>
    </w:rPr>
  </w:style>
  <w:style w:type="paragraph" w:styleId="NormalWeb">
    <w:name w:val="Normal (Web)"/>
    <w:basedOn w:val="Normal"/>
    <w:uiPriority w:val="99"/>
    <w:rsid w:val="003175BE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3634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1E7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E2F9E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BodyTextChar">
    <w:name w:val="Body Text Char"/>
    <w:link w:val="BodyText"/>
    <w:uiPriority w:val="99"/>
    <w:locked/>
    <w:rsid w:val="00B638E5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BC7"/>
    <w:pPr>
      <w:autoSpaceDE w:val="0"/>
      <w:autoSpaceDN w:val="0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66BC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266BC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1D5062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D506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1D5062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1548</Words>
  <Characters>8828</Characters>
  <Application>Microsoft Office Word</Application>
  <DocSecurity>0</DocSecurity>
  <Lines>0</Lines>
  <Paragraphs>0</Paragraphs>
  <ScaleCrop>false</ScaleCrop>
  <Company>Kancelaria NR SR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cp:lastPrinted>2014-11-06T14:09:00Z</cp:lastPrinted>
  <dcterms:created xsi:type="dcterms:W3CDTF">2014-11-06T16:06:00Z</dcterms:created>
  <dcterms:modified xsi:type="dcterms:W3CDTF">2014-11-06T16:06:00Z</dcterms:modified>
</cp:coreProperties>
</file>