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496C" w:rsidRPr="00EF4DC2" w:rsidP="003E7117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EF4DC2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373B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EF4DC2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EF4DC2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EF4DC2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EF4DC2" w:rsidR="00D17313">
        <w:rPr>
          <w:rFonts w:ascii="Book Antiqua" w:hAnsi="Book Antiqua"/>
          <w:sz w:val="22"/>
          <w:szCs w:val="22"/>
        </w:rPr>
        <w:t>z ... 201</w:t>
      </w:r>
      <w:r w:rsidRPr="00EF4DC2" w:rsidR="00821A30">
        <w:rPr>
          <w:rFonts w:ascii="Book Antiqua" w:hAnsi="Book Antiqua"/>
          <w:sz w:val="22"/>
          <w:szCs w:val="22"/>
        </w:rPr>
        <w:t>5</w:t>
      </w:r>
      <w:r w:rsidRPr="00EF4DC2">
        <w:rPr>
          <w:rFonts w:ascii="Book Antiqua" w:hAnsi="Book Antiqua"/>
          <w:sz w:val="22"/>
          <w:szCs w:val="22"/>
        </w:rPr>
        <w:t>,</w:t>
      </w: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EF4DC2" w:rsidR="00821A30">
        <w:rPr>
          <w:rFonts w:ascii="Book Antiqua" w:hAnsi="Book Antiqua"/>
          <w:b/>
          <w:bCs/>
          <w:sz w:val="22"/>
          <w:szCs w:val="22"/>
        </w:rPr>
        <w:t>ktorým sa mení a dopĺňa zákon č. 657/2004 Z. z. o tepelnej energetike v znení neskorších predpisov</w:t>
      </w:r>
    </w:p>
    <w:p w:rsidR="00C5463E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EF4DC2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3476E4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DF496C" w:rsidRPr="00EF4DC2" w:rsidP="003E7117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EF4DC2" w:rsidR="00B545DE">
        <w:rPr>
          <w:rFonts w:ascii="Book Antiqua" w:hAnsi="Book Antiqua"/>
          <w:b/>
          <w:bCs/>
          <w:sz w:val="22"/>
          <w:szCs w:val="22"/>
        </w:rPr>
        <w:t>Čl. I</w:t>
      </w:r>
    </w:p>
    <w:p w:rsidR="00A72297" w:rsidRPr="00EF4DC2" w:rsidP="00FC6085">
      <w:pPr>
        <w:bidi w:val="0"/>
        <w:spacing w:before="12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EF4DC2" w:rsidR="00821A30">
        <w:rPr>
          <w:rFonts w:ascii="Book Antiqua" w:hAnsi="Book Antiqua"/>
          <w:bCs/>
          <w:sz w:val="22"/>
          <w:szCs w:val="22"/>
        </w:rPr>
        <w:t>Zákon č. 657/2004 Z. z. o tepelnej energetike v znení zákona č. 99/2007 Z. z., zákona č. 309/2009 Z. z., zákona č. 136/2010 Z. z., zákona č. 184/2011 Z.</w:t>
      </w:r>
      <w:r w:rsidR="00F275B8">
        <w:rPr>
          <w:rFonts w:ascii="Book Antiqua" w:hAnsi="Book Antiqua"/>
          <w:bCs/>
          <w:sz w:val="22"/>
          <w:szCs w:val="22"/>
        </w:rPr>
        <w:t xml:space="preserve"> z., zákona č. 251/2012 Z. z., </w:t>
      </w:r>
      <w:r w:rsidRPr="00EF4DC2" w:rsidR="00821A30">
        <w:rPr>
          <w:rFonts w:ascii="Book Antiqua" w:hAnsi="Book Antiqua"/>
          <w:bCs/>
          <w:sz w:val="22"/>
          <w:szCs w:val="22"/>
        </w:rPr>
        <w:t xml:space="preserve">zákona č. 100/2014 Z. z. </w:t>
      </w:r>
      <w:r w:rsidR="00F275B8">
        <w:rPr>
          <w:rFonts w:ascii="Book Antiqua" w:hAnsi="Book Antiqua"/>
          <w:bCs/>
          <w:sz w:val="22"/>
          <w:szCs w:val="22"/>
        </w:rPr>
        <w:t xml:space="preserve">a zákona č. .../2014 Z. z. </w:t>
      </w:r>
      <w:r w:rsidRPr="00EF4DC2" w:rsidR="00821A30">
        <w:rPr>
          <w:rFonts w:ascii="Book Antiqua" w:hAnsi="Book Antiqua"/>
          <w:bCs/>
          <w:sz w:val="22"/>
          <w:szCs w:val="22"/>
        </w:rPr>
        <w:t>sa mení a dopĺňa takto:</w:t>
      </w:r>
    </w:p>
    <w:p w:rsidR="00393279" w:rsidRPr="00EF4DC2" w:rsidP="00FC6085">
      <w:pPr>
        <w:bidi w:val="0"/>
        <w:spacing w:before="12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</w:p>
    <w:p w:rsidR="00FC6085" w:rsidRPr="00EF4DC2" w:rsidP="00FC6085">
      <w:pPr>
        <w:numPr>
          <w:numId w:val="3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EF4DC2" w:rsidR="00A72297">
        <w:rPr>
          <w:rFonts w:ascii="Book Antiqua" w:hAnsi="Book Antiqua"/>
          <w:bCs/>
          <w:sz w:val="22"/>
          <w:szCs w:val="22"/>
        </w:rPr>
        <w:t>V § 12 sa vypúšťa odsek 10.</w:t>
      </w:r>
    </w:p>
    <w:p w:rsidR="00FC6085" w:rsidRPr="00EF4DC2" w:rsidP="00FC6085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EF4DC2" w:rsidR="00A72297">
        <w:rPr>
          <w:rFonts w:ascii="Book Antiqua" w:hAnsi="Book Antiqua"/>
          <w:bCs/>
          <w:sz w:val="22"/>
          <w:szCs w:val="22"/>
        </w:rPr>
        <w:t>Doterajší odsek 11 sa označuje ako odsek 10.</w:t>
      </w:r>
    </w:p>
    <w:p w:rsidR="00116423" w:rsidRPr="00EF4DC2" w:rsidP="00FC6085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EF4DC2">
        <w:rPr>
          <w:rFonts w:ascii="Book Antiqua" w:hAnsi="Book Antiqua"/>
          <w:sz w:val="22"/>
          <w:szCs w:val="22"/>
        </w:rPr>
        <w:t>Poznámky pod čiarou k odkazom 13a a 13b sa vypúšťajú.</w:t>
      </w:r>
    </w:p>
    <w:p w:rsidR="00A72297" w:rsidRPr="00EF4DC2" w:rsidP="00116423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A72297" w:rsidRPr="00EF4DC2" w:rsidP="00FC6085">
      <w:pPr>
        <w:numPr>
          <w:numId w:val="3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EF4DC2">
        <w:rPr>
          <w:rFonts w:ascii="Book Antiqua" w:hAnsi="Book Antiqua"/>
          <w:bCs/>
          <w:sz w:val="22"/>
          <w:szCs w:val="22"/>
        </w:rPr>
        <w:t>V § 12 ods. 10 sa slová „odsekov 1 až 10“ nahrádzajú slovami „odsekov 1 až 9“.</w:t>
      </w:r>
    </w:p>
    <w:p w:rsidR="00116423" w:rsidRPr="00EF4DC2" w:rsidP="00116423">
      <w:pPr>
        <w:bidi w:val="0"/>
        <w:spacing w:before="120" w:line="276" w:lineRule="auto"/>
        <w:ind w:left="1429"/>
        <w:jc w:val="both"/>
        <w:rPr>
          <w:rFonts w:ascii="Book Antiqua" w:hAnsi="Book Antiqua"/>
          <w:bCs/>
          <w:sz w:val="22"/>
          <w:szCs w:val="22"/>
        </w:rPr>
      </w:pPr>
    </w:p>
    <w:p w:rsidR="00CC7D35" w:rsidRPr="00EF4DC2" w:rsidP="00FC6085">
      <w:pPr>
        <w:numPr>
          <w:numId w:val="3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EF4DC2">
        <w:rPr>
          <w:rFonts w:ascii="Book Antiqua" w:hAnsi="Book Antiqua"/>
          <w:bCs/>
          <w:sz w:val="22"/>
          <w:szCs w:val="22"/>
        </w:rPr>
        <w:t>Za § 38a</w:t>
      </w:r>
      <w:r w:rsidRPr="00EF4DC2" w:rsidR="00393279">
        <w:rPr>
          <w:rFonts w:ascii="Book Antiqua" w:hAnsi="Book Antiqua"/>
          <w:bCs/>
          <w:sz w:val="22"/>
          <w:szCs w:val="22"/>
        </w:rPr>
        <w:t>a sa vkladá § 38ab</w:t>
      </w:r>
      <w:r w:rsidRPr="00EF4DC2">
        <w:rPr>
          <w:rFonts w:ascii="Book Antiqua" w:hAnsi="Book Antiqua"/>
          <w:bCs/>
          <w:sz w:val="22"/>
          <w:szCs w:val="22"/>
        </w:rPr>
        <w:t>, ktorý vrátane nadpisu znie:</w:t>
      </w:r>
    </w:p>
    <w:p w:rsidR="00FC6085" w:rsidRPr="00EF4DC2" w:rsidP="00FC6085">
      <w:pPr>
        <w:bidi w:val="0"/>
        <w:spacing w:before="120" w:line="276" w:lineRule="auto"/>
        <w:ind w:left="142" w:firstLine="709"/>
        <w:jc w:val="center"/>
        <w:rPr>
          <w:rFonts w:ascii="Book Antiqua" w:hAnsi="Book Antiqua"/>
          <w:b/>
          <w:bCs/>
          <w:sz w:val="22"/>
          <w:szCs w:val="22"/>
        </w:rPr>
      </w:pPr>
      <w:r w:rsidRPr="00EF4DC2" w:rsidR="00CC7D35">
        <w:rPr>
          <w:rFonts w:ascii="Book Antiqua" w:hAnsi="Book Antiqua"/>
          <w:bCs/>
          <w:sz w:val="22"/>
          <w:szCs w:val="22"/>
        </w:rPr>
        <w:t>„</w:t>
      </w:r>
      <w:r w:rsidRPr="00EF4DC2" w:rsidR="00CC7D35">
        <w:rPr>
          <w:rFonts w:ascii="Book Antiqua" w:hAnsi="Book Antiqua"/>
          <w:b/>
          <w:bCs/>
          <w:sz w:val="22"/>
          <w:szCs w:val="22"/>
        </w:rPr>
        <w:t>§ 38a</w:t>
      </w:r>
      <w:r w:rsidRPr="00EF4DC2" w:rsidR="00393279">
        <w:rPr>
          <w:rFonts w:ascii="Book Antiqua" w:hAnsi="Book Antiqua"/>
          <w:b/>
          <w:bCs/>
          <w:sz w:val="22"/>
          <w:szCs w:val="22"/>
        </w:rPr>
        <w:t>b</w:t>
      </w:r>
    </w:p>
    <w:p w:rsidR="00FC6085" w:rsidRPr="00EF4DC2" w:rsidP="00FC6085">
      <w:pPr>
        <w:bidi w:val="0"/>
        <w:spacing w:before="120" w:line="276" w:lineRule="auto"/>
        <w:ind w:left="142" w:firstLine="709"/>
        <w:jc w:val="center"/>
        <w:rPr>
          <w:rFonts w:ascii="Book Antiqua" w:hAnsi="Book Antiqua"/>
          <w:b/>
          <w:bCs/>
          <w:sz w:val="22"/>
          <w:szCs w:val="22"/>
        </w:rPr>
      </w:pPr>
      <w:r w:rsidRPr="00EF4DC2" w:rsidR="00CC7D35">
        <w:rPr>
          <w:rFonts w:ascii="Book Antiqua" w:hAnsi="Book Antiqua"/>
          <w:b/>
          <w:bCs/>
          <w:sz w:val="22"/>
          <w:szCs w:val="22"/>
        </w:rPr>
        <w:t>Prechodné ustanoveni</w:t>
      </w:r>
      <w:r w:rsidRPr="00EF4DC2" w:rsidR="007B3173">
        <w:rPr>
          <w:rFonts w:ascii="Book Antiqua" w:hAnsi="Book Antiqua"/>
          <w:b/>
          <w:bCs/>
          <w:sz w:val="22"/>
          <w:szCs w:val="22"/>
        </w:rPr>
        <w:t>e</w:t>
      </w:r>
      <w:r w:rsidRPr="00EF4DC2" w:rsidR="00CC7D35">
        <w:rPr>
          <w:rFonts w:ascii="Book Antiqua" w:hAnsi="Book Antiqua"/>
          <w:b/>
          <w:bCs/>
          <w:sz w:val="22"/>
          <w:szCs w:val="22"/>
        </w:rPr>
        <w:t xml:space="preserve"> účinné od 1. </w:t>
      </w:r>
      <w:r w:rsidRPr="00EF4DC2" w:rsidR="00B2739A">
        <w:rPr>
          <w:rFonts w:ascii="Book Antiqua" w:hAnsi="Book Antiqua"/>
          <w:b/>
          <w:bCs/>
          <w:sz w:val="22"/>
          <w:szCs w:val="22"/>
        </w:rPr>
        <w:t>marca</w:t>
      </w:r>
      <w:r w:rsidRPr="00EF4DC2">
        <w:rPr>
          <w:rFonts w:ascii="Book Antiqua" w:hAnsi="Book Antiqua"/>
          <w:b/>
          <w:bCs/>
          <w:sz w:val="22"/>
          <w:szCs w:val="22"/>
        </w:rPr>
        <w:t xml:space="preserve"> 2015</w:t>
      </w:r>
    </w:p>
    <w:p w:rsidR="00812023" w:rsidRPr="00EF4DC2" w:rsidP="00FC6085">
      <w:pPr>
        <w:bidi w:val="0"/>
        <w:spacing w:before="120" w:line="276" w:lineRule="auto"/>
        <w:ind w:left="851"/>
        <w:jc w:val="both"/>
        <w:rPr>
          <w:rFonts w:ascii="Book Antiqua" w:hAnsi="Book Antiqua"/>
          <w:b/>
          <w:bCs/>
          <w:sz w:val="22"/>
          <w:szCs w:val="22"/>
        </w:rPr>
      </w:pPr>
      <w:r w:rsidRPr="00EF4DC2" w:rsidR="00643CD2">
        <w:rPr>
          <w:rFonts w:ascii="Book Antiqua" w:hAnsi="Book Antiqua"/>
          <w:bCs/>
          <w:sz w:val="22"/>
          <w:szCs w:val="22"/>
        </w:rPr>
        <w:t>Na k</w:t>
      </w:r>
      <w:r w:rsidRPr="00EF4DC2" w:rsidR="00CE7B5B">
        <w:rPr>
          <w:rFonts w:ascii="Book Antiqua" w:hAnsi="Book Antiqua"/>
          <w:bCs/>
          <w:sz w:val="22"/>
          <w:szCs w:val="22"/>
        </w:rPr>
        <w:t>onanie podľa osobitného predpisu</w:t>
      </w:r>
      <w:r w:rsidRPr="00EF4DC2" w:rsidR="00CE7B5B">
        <w:rPr>
          <w:rFonts w:ascii="Book Antiqua" w:hAnsi="Book Antiqua"/>
          <w:bCs/>
          <w:sz w:val="22"/>
          <w:szCs w:val="22"/>
          <w:vertAlign w:val="superscript"/>
        </w:rPr>
        <w:t>13)</w:t>
      </w:r>
      <w:r w:rsidRPr="00EF4DC2" w:rsidR="00CE7B5B">
        <w:rPr>
          <w:rFonts w:ascii="Book Antiqua" w:hAnsi="Book Antiqua"/>
          <w:bCs/>
          <w:sz w:val="22"/>
          <w:szCs w:val="22"/>
        </w:rPr>
        <w:t xml:space="preserve"> súvisiace s výstavbou sústavy tepelných zariadení na vymedzenom území, ktoré sa začalo pred 1.</w:t>
      </w:r>
      <w:r w:rsidRPr="00EF4DC2" w:rsidR="00B2739A">
        <w:rPr>
          <w:rFonts w:ascii="Book Antiqua" w:hAnsi="Book Antiqua"/>
          <w:bCs/>
          <w:sz w:val="22"/>
          <w:szCs w:val="22"/>
        </w:rPr>
        <w:t xml:space="preserve"> marcom</w:t>
      </w:r>
      <w:r w:rsidRPr="00EF4DC2" w:rsidR="00CE7B5B">
        <w:rPr>
          <w:rFonts w:ascii="Book Antiqua" w:hAnsi="Book Antiqua"/>
          <w:bCs/>
          <w:sz w:val="22"/>
          <w:szCs w:val="22"/>
        </w:rPr>
        <w:t xml:space="preserve"> 2015 a nebolo do </w:t>
      </w:r>
      <w:r w:rsidRPr="00EF4DC2" w:rsidR="00B2739A">
        <w:rPr>
          <w:rFonts w:ascii="Book Antiqua" w:hAnsi="Book Antiqua"/>
          <w:bCs/>
          <w:sz w:val="22"/>
          <w:szCs w:val="22"/>
        </w:rPr>
        <w:t>28</w:t>
      </w:r>
      <w:r w:rsidRPr="00EF4DC2" w:rsidR="00CE7B5B">
        <w:rPr>
          <w:rFonts w:ascii="Book Antiqua" w:hAnsi="Book Antiqua"/>
          <w:bCs/>
          <w:sz w:val="22"/>
          <w:szCs w:val="22"/>
        </w:rPr>
        <w:t xml:space="preserve">. </w:t>
      </w:r>
      <w:r w:rsidRPr="00EF4DC2" w:rsidR="00B2739A">
        <w:rPr>
          <w:rFonts w:ascii="Book Antiqua" w:hAnsi="Book Antiqua"/>
          <w:bCs/>
          <w:sz w:val="22"/>
          <w:szCs w:val="22"/>
        </w:rPr>
        <w:t>februára</w:t>
      </w:r>
      <w:r w:rsidRPr="00EF4DC2" w:rsidR="00CE7B5B">
        <w:rPr>
          <w:rFonts w:ascii="Book Antiqua" w:hAnsi="Book Antiqua"/>
          <w:bCs/>
          <w:sz w:val="22"/>
          <w:szCs w:val="22"/>
        </w:rPr>
        <w:t xml:space="preserve"> 2015 právoplatne ukončené, sa </w:t>
      </w:r>
      <w:r w:rsidRPr="00EF4DC2" w:rsidR="00643CD2">
        <w:rPr>
          <w:rFonts w:ascii="Book Antiqua" w:hAnsi="Book Antiqua"/>
          <w:bCs/>
          <w:sz w:val="22"/>
          <w:szCs w:val="22"/>
        </w:rPr>
        <w:t>vzťahujú ustanovenia</w:t>
      </w:r>
      <w:r w:rsidRPr="00EF4DC2" w:rsidR="00CE7B5B">
        <w:rPr>
          <w:rFonts w:ascii="Book Antiqua" w:hAnsi="Book Antiqua"/>
          <w:bCs/>
          <w:sz w:val="22"/>
          <w:szCs w:val="22"/>
        </w:rPr>
        <w:t xml:space="preserve"> </w:t>
      </w:r>
      <w:r w:rsidRPr="00EF4DC2" w:rsidR="007B3173">
        <w:rPr>
          <w:rFonts w:ascii="Book Antiqua" w:hAnsi="Book Antiqua"/>
          <w:bCs/>
          <w:sz w:val="22"/>
          <w:szCs w:val="22"/>
        </w:rPr>
        <w:t xml:space="preserve">tohto zákona v znení účinnom od 1. </w:t>
      </w:r>
      <w:r w:rsidRPr="00EF4DC2" w:rsidR="00B2739A">
        <w:rPr>
          <w:rFonts w:ascii="Book Antiqua" w:hAnsi="Book Antiqua"/>
          <w:bCs/>
          <w:sz w:val="22"/>
          <w:szCs w:val="22"/>
        </w:rPr>
        <w:t>marc</w:t>
      </w:r>
      <w:r w:rsidRPr="00EF4DC2" w:rsidR="007B3173">
        <w:rPr>
          <w:rFonts w:ascii="Book Antiqua" w:hAnsi="Book Antiqua"/>
          <w:bCs/>
          <w:sz w:val="22"/>
          <w:szCs w:val="22"/>
        </w:rPr>
        <w:t>a 2015</w:t>
      </w:r>
      <w:r w:rsidRPr="00EF4DC2" w:rsidR="00CE7B5B">
        <w:rPr>
          <w:rFonts w:ascii="Book Antiqua" w:hAnsi="Book Antiqua"/>
          <w:bCs/>
          <w:sz w:val="22"/>
          <w:szCs w:val="22"/>
        </w:rPr>
        <w:t>.</w:t>
      </w:r>
      <w:r w:rsidRPr="00EF4DC2" w:rsidR="001B122A">
        <w:rPr>
          <w:rFonts w:ascii="Book Antiqua" w:hAnsi="Book Antiqua"/>
          <w:bCs/>
          <w:sz w:val="22"/>
          <w:szCs w:val="22"/>
        </w:rPr>
        <w:t xml:space="preserve"> Ak bolo v konaní podľa prvej vety </w:t>
      </w:r>
      <w:r w:rsidRPr="00EF4DC2" w:rsidR="00B2739A">
        <w:rPr>
          <w:rFonts w:ascii="Book Antiqua" w:hAnsi="Book Antiqua"/>
          <w:bCs/>
          <w:sz w:val="22"/>
          <w:szCs w:val="22"/>
        </w:rPr>
        <w:t xml:space="preserve">do 28. februára </w:t>
      </w:r>
      <w:r w:rsidRPr="00EF4DC2" w:rsidR="001B122A">
        <w:rPr>
          <w:rFonts w:ascii="Book Antiqua" w:hAnsi="Book Antiqua"/>
          <w:bCs/>
          <w:sz w:val="22"/>
          <w:szCs w:val="22"/>
        </w:rPr>
        <w:t>2015</w:t>
      </w:r>
      <w:r w:rsidRPr="00EF4DC2" w:rsidR="0066457F">
        <w:rPr>
          <w:rFonts w:ascii="Book Antiqua" w:hAnsi="Book Antiqua"/>
          <w:bCs/>
          <w:sz w:val="22"/>
          <w:szCs w:val="22"/>
        </w:rPr>
        <w:t xml:space="preserve"> vydané </w:t>
      </w:r>
      <w:r w:rsidRPr="00EF4DC2" w:rsidR="001B122A">
        <w:rPr>
          <w:rFonts w:ascii="Book Antiqua" w:hAnsi="Book Antiqua"/>
          <w:bCs/>
          <w:sz w:val="22"/>
          <w:szCs w:val="22"/>
        </w:rPr>
        <w:t xml:space="preserve">záväzné stanovisko dodávateľa podľa § 12 ods. 10 účinného </w:t>
      </w:r>
      <w:r w:rsidRPr="00EF4DC2" w:rsidR="00B2739A">
        <w:rPr>
          <w:rFonts w:ascii="Book Antiqua" w:hAnsi="Book Antiqua"/>
          <w:bCs/>
          <w:sz w:val="22"/>
          <w:szCs w:val="22"/>
        </w:rPr>
        <w:t xml:space="preserve">do 28. februára </w:t>
      </w:r>
      <w:r w:rsidRPr="00EF4DC2" w:rsidR="001B122A">
        <w:rPr>
          <w:rFonts w:ascii="Book Antiqua" w:hAnsi="Book Antiqua"/>
          <w:bCs/>
          <w:sz w:val="22"/>
          <w:szCs w:val="22"/>
        </w:rPr>
        <w:t xml:space="preserve">2015, stráca platnosť </w:t>
      </w:r>
      <w:r w:rsidRPr="00EF4DC2" w:rsidR="0066457F">
        <w:rPr>
          <w:rFonts w:ascii="Book Antiqua" w:hAnsi="Book Antiqua"/>
          <w:bCs/>
          <w:sz w:val="22"/>
          <w:szCs w:val="22"/>
        </w:rPr>
        <w:t xml:space="preserve">1. </w:t>
      </w:r>
      <w:r w:rsidRPr="00EF4DC2" w:rsidR="00B2739A">
        <w:rPr>
          <w:rFonts w:ascii="Book Antiqua" w:hAnsi="Book Antiqua"/>
          <w:bCs/>
          <w:sz w:val="22"/>
          <w:szCs w:val="22"/>
        </w:rPr>
        <w:t>marca</w:t>
      </w:r>
      <w:r w:rsidRPr="00EF4DC2" w:rsidR="0066457F">
        <w:rPr>
          <w:rFonts w:ascii="Book Antiqua" w:hAnsi="Book Antiqua"/>
          <w:bCs/>
          <w:sz w:val="22"/>
          <w:szCs w:val="22"/>
        </w:rPr>
        <w:t xml:space="preserve"> 2015.</w:t>
      </w:r>
      <w:r w:rsidRPr="00EF4DC2" w:rsidR="00CE7B5B">
        <w:rPr>
          <w:rFonts w:ascii="Book Antiqua" w:hAnsi="Book Antiqua"/>
          <w:bCs/>
          <w:sz w:val="22"/>
          <w:szCs w:val="22"/>
        </w:rPr>
        <w:t>“.</w:t>
      </w:r>
    </w:p>
    <w:p w:rsidR="00904107" w:rsidRPr="00EF4DC2" w:rsidP="003E7117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88419C" w:rsidRPr="00EF4DC2" w:rsidP="003E7117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EF4DC2" w:rsidR="00552466">
        <w:rPr>
          <w:rFonts w:ascii="Book Antiqua" w:hAnsi="Book Antiqua"/>
          <w:b/>
          <w:bCs/>
          <w:sz w:val="22"/>
          <w:szCs w:val="22"/>
        </w:rPr>
        <w:t xml:space="preserve">Čl. </w:t>
      </w:r>
      <w:r w:rsidRPr="00EF4DC2" w:rsidR="00904107">
        <w:rPr>
          <w:rFonts w:ascii="Book Antiqua" w:hAnsi="Book Antiqua"/>
          <w:b/>
          <w:bCs/>
          <w:sz w:val="22"/>
          <w:szCs w:val="22"/>
        </w:rPr>
        <w:t>I</w:t>
      </w:r>
      <w:r w:rsidRPr="00EF4DC2" w:rsidR="00C97725">
        <w:rPr>
          <w:rFonts w:ascii="Book Antiqua" w:hAnsi="Book Antiqua"/>
          <w:b/>
          <w:bCs/>
          <w:sz w:val="22"/>
          <w:szCs w:val="22"/>
        </w:rPr>
        <w:t>I</w:t>
      </w:r>
    </w:p>
    <w:p w:rsidR="00A20C84" w:rsidRPr="003E7117" w:rsidP="00CE7B5B">
      <w:pPr>
        <w:bidi w:val="0"/>
        <w:spacing w:before="120" w:line="276" w:lineRule="auto"/>
        <w:ind w:left="709" w:firstLine="709"/>
        <w:jc w:val="both"/>
        <w:rPr>
          <w:rFonts w:ascii="Book Antiqua" w:hAnsi="Book Antiqua"/>
          <w:bCs/>
          <w:sz w:val="22"/>
          <w:szCs w:val="22"/>
        </w:rPr>
      </w:pPr>
      <w:r w:rsidRPr="00EF4DC2">
        <w:rPr>
          <w:rFonts w:ascii="Book Antiqua" w:hAnsi="Book Antiqua"/>
          <w:bCs/>
          <w:sz w:val="22"/>
          <w:szCs w:val="22"/>
        </w:rPr>
        <w:t xml:space="preserve">Tento zákon nadobúda účinnosť 1. </w:t>
      </w:r>
      <w:r w:rsidRPr="00EF4DC2" w:rsidR="00B2739A">
        <w:rPr>
          <w:rFonts w:ascii="Book Antiqua" w:hAnsi="Book Antiqua"/>
          <w:bCs/>
          <w:sz w:val="22"/>
          <w:szCs w:val="22"/>
        </w:rPr>
        <w:t xml:space="preserve">marca </w:t>
      </w:r>
      <w:r w:rsidRPr="00EF4DC2" w:rsidR="00552466">
        <w:rPr>
          <w:rFonts w:ascii="Book Antiqua" w:hAnsi="Book Antiqua"/>
          <w:bCs/>
          <w:sz w:val="22"/>
          <w:szCs w:val="22"/>
        </w:rPr>
        <w:t>2015</w:t>
      </w:r>
      <w:r w:rsidRPr="00EF4DC2">
        <w:rPr>
          <w:rFonts w:ascii="Book Antiqua" w:hAnsi="Book Antiqua"/>
          <w:bCs/>
          <w:sz w:val="22"/>
          <w:szCs w:val="22"/>
        </w:rPr>
        <w:t>.</w:t>
      </w:r>
    </w:p>
    <w:p w:rsidR="0046195B" w:rsidRPr="003E7117" w:rsidP="003E7117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sectPr w:rsidSect="00E61248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2A78"/>
    <w:multiLevelType w:val="hybridMultilevel"/>
    <w:tmpl w:val="C6785EF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07503D34"/>
    <w:multiLevelType w:val="hybridMultilevel"/>
    <w:tmpl w:val="6846C98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">
    <w:nsid w:val="0AA05A87"/>
    <w:multiLevelType w:val="hybridMultilevel"/>
    <w:tmpl w:val="8542C8C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0DA7631E"/>
    <w:multiLevelType w:val="hybridMultilevel"/>
    <w:tmpl w:val="DAC2FF4E"/>
    <w:lvl w:ilvl="0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0FAC68E4"/>
    <w:multiLevelType w:val="hybridMultilevel"/>
    <w:tmpl w:val="C6E8338C"/>
    <w:lvl w:ilvl="0">
      <w:start w:val="2"/>
      <w:numFmt w:val="decimal"/>
      <w:lvlText w:val="%1"/>
      <w:lvlJc w:val="left"/>
      <w:pPr>
        <w:ind w:left="1068" w:hanging="36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5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6">
    <w:nsid w:val="1B5F530D"/>
    <w:multiLevelType w:val="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8">
    <w:nsid w:val="1BCB72C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9">
    <w:nsid w:val="1DC42D8E"/>
    <w:multiLevelType w:val="hybridMultilevel"/>
    <w:tmpl w:val="C5D4F8D8"/>
    <w:lvl w:ilvl="0">
      <w:start w:val="1"/>
      <w:numFmt w:val="decimal"/>
      <w:lvlText w:val="%1."/>
      <w:lvlJc w:val="left"/>
      <w:pPr>
        <w:ind w:left="199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71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43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15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87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59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1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03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755" w:hanging="180"/>
      </w:pPr>
      <w:rPr>
        <w:rFonts w:cs="Times New Roman"/>
        <w:rtl w:val="0"/>
        <w:cs w:val="0"/>
      </w:rPr>
    </w:lvl>
  </w:abstractNum>
  <w:abstractNum w:abstractNumId="10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11">
    <w:nsid w:val="2F6457E2"/>
    <w:multiLevelType w:val="hybridMultilevel"/>
    <w:tmpl w:val="6AE408F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2">
    <w:nsid w:val="37462753"/>
    <w:multiLevelType w:val="hybridMultilevel"/>
    <w:tmpl w:val="02E8F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99F41CF"/>
    <w:multiLevelType w:val="hybridMultilevel"/>
    <w:tmpl w:val="DFA686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D37206B"/>
    <w:multiLevelType w:val="hybridMultilevel"/>
    <w:tmpl w:val="A77820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D3849D9"/>
    <w:multiLevelType w:val="hybridMultilevel"/>
    <w:tmpl w:val="BF546C8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6">
    <w:nsid w:val="3EE22D22"/>
    <w:multiLevelType w:val="hybridMultilevel"/>
    <w:tmpl w:val="9D74D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1424886"/>
    <w:multiLevelType w:val="hybridMultilevel"/>
    <w:tmpl w:val="2F006A04"/>
    <w:lvl w:ilvl="0">
      <w:start w:val="1"/>
      <w:numFmt w:val="decimal"/>
      <w:lvlText w:val="§ %1"/>
      <w:lvlJc w:val="center"/>
      <w:pPr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1A108DC"/>
    <w:multiLevelType w:val="hybridMultilevel"/>
    <w:tmpl w:val="FDA06FC2"/>
    <w:lvl w:ilvl="0">
      <w:start w:val="1"/>
      <w:numFmt w:val="decimal"/>
      <w:lvlText w:val="%1."/>
      <w:lvlJc w:val="left"/>
      <w:pPr>
        <w:ind w:left="11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rFonts w:cs="Times New Roman"/>
        <w:rtl w:val="0"/>
        <w:cs w:val="0"/>
      </w:rPr>
    </w:lvl>
  </w:abstractNum>
  <w:abstractNum w:abstractNumId="19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0">
    <w:nsid w:val="45BD35BB"/>
    <w:multiLevelType w:val="hybridMultilevel"/>
    <w:tmpl w:val="E61EB8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04705A2"/>
    <w:multiLevelType w:val="hybridMultilevel"/>
    <w:tmpl w:val="9D74D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0A346BB"/>
    <w:multiLevelType w:val="hybridMultilevel"/>
    <w:tmpl w:val="9D74D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539A05FD"/>
    <w:multiLevelType w:val="hybridMultilevel"/>
    <w:tmpl w:val="92FA123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4">
    <w:nsid w:val="596C4492"/>
    <w:multiLevelType w:val="hybridMultilevel"/>
    <w:tmpl w:val="B17699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59F84BB5"/>
    <w:multiLevelType w:val="hybridMultilevel"/>
    <w:tmpl w:val="21D069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6">
    <w:nsid w:val="5E3C6EA3"/>
    <w:multiLevelType w:val="hybridMultilevel"/>
    <w:tmpl w:val="4F642C2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7">
    <w:nsid w:val="61C621C8"/>
    <w:multiLevelType w:val="hybridMultilevel"/>
    <w:tmpl w:val="58C843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65F0764D"/>
    <w:multiLevelType w:val="hybridMultilevel"/>
    <w:tmpl w:val="DF9874BC"/>
    <w:lvl w:ilvl="0">
      <w:start w:val="1"/>
      <w:numFmt w:val="decimal"/>
      <w:lvlText w:val="%1."/>
      <w:lvlJc w:val="left"/>
      <w:pPr>
        <w:ind w:left="861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9">
    <w:nsid w:val="69280016"/>
    <w:multiLevelType w:val="multilevel"/>
    <w:tmpl w:val="C76630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69DD0ECE"/>
    <w:multiLevelType w:val="hybridMultilevel"/>
    <w:tmpl w:val="37ECC2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6F6663CA"/>
    <w:multiLevelType w:val="hybridMultilevel"/>
    <w:tmpl w:val="1132F9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724221BC"/>
    <w:multiLevelType w:val="hybridMultilevel"/>
    <w:tmpl w:val="E9C0143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75D5331D"/>
    <w:multiLevelType w:val="hybridMultilevel"/>
    <w:tmpl w:val="3A38F97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4">
    <w:nsid w:val="77AA137B"/>
    <w:multiLevelType w:val="hybridMultilevel"/>
    <w:tmpl w:val="7206B2B0"/>
    <w:lvl w:ilvl="0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cs="Times New Roman"/>
        <w:rtl w:val="0"/>
        <w:cs w:val="0"/>
      </w:rPr>
    </w:lvl>
  </w:abstractNum>
  <w:abstractNum w:abstractNumId="35">
    <w:nsid w:val="78E11CBD"/>
    <w:multiLevelType w:val="hybridMultilevel"/>
    <w:tmpl w:val="6004ED8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6">
    <w:nsid w:val="7B14722A"/>
    <w:multiLevelType w:val="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10"/>
  </w:num>
  <w:num w:numId="3">
    <w:abstractNumId w:val="19"/>
  </w:num>
  <w:num w:numId="4">
    <w:abstractNumId w:val="5"/>
  </w:num>
  <w:num w:numId="5">
    <w:abstractNumId w:val="6"/>
  </w:num>
  <w:num w:numId="6">
    <w:abstractNumId w:val="29"/>
  </w:num>
  <w:num w:numId="7">
    <w:abstractNumId w:val="36"/>
  </w:num>
  <w:num w:numId="8">
    <w:abstractNumId w:val="8"/>
  </w:num>
  <w:num w:numId="9">
    <w:abstractNumId w:val="4"/>
  </w:num>
  <w:num w:numId="10">
    <w:abstractNumId w:val="22"/>
  </w:num>
  <w:num w:numId="11">
    <w:abstractNumId w:val="23"/>
  </w:num>
  <w:num w:numId="12">
    <w:abstractNumId w:val="1"/>
  </w:num>
  <w:num w:numId="13">
    <w:abstractNumId w:val="14"/>
  </w:num>
  <w:num w:numId="14">
    <w:abstractNumId w:val="15"/>
  </w:num>
  <w:num w:numId="15">
    <w:abstractNumId w:val="30"/>
  </w:num>
  <w:num w:numId="16">
    <w:abstractNumId w:val="11"/>
  </w:num>
  <w:num w:numId="17">
    <w:abstractNumId w:val="13"/>
  </w:num>
  <w:num w:numId="18">
    <w:abstractNumId w:val="35"/>
  </w:num>
  <w:num w:numId="19">
    <w:abstractNumId w:val="27"/>
  </w:num>
  <w:num w:numId="20">
    <w:abstractNumId w:val="33"/>
  </w:num>
  <w:num w:numId="21">
    <w:abstractNumId w:val="26"/>
  </w:num>
  <w:num w:numId="22">
    <w:abstractNumId w:val="12"/>
  </w:num>
  <w:num w:numId="23">
    <w:abstractNumId w:val="24"/>
  </w:num>
  <w:num w:numId="24">
    <w:abstractNumId w:val="18"/>
  </w:num>
  <w:num w:numId="25">
    <w:abstractNumId w:val="25"/>
  </w:num>
  <w:num w:numId="26">
    <w:abstractNumId w:val="2"/>
  </w:num>
  <w:num w:numId="27">
    <w:abstractNumId w:val="16"/>
  </w:num>
  <w:num w:numId="28">
    <w:abstractNumId w:val="21"/>
  </w:num>
  <w:num w:numId="29">
    <w:abstractNumId w:val="31"/>
  </w:num>
  <w:num w:numId="30">
    <w:abstractNumId w:val="20"/>
  </w:num>
  <w:num w:numId="31">
    <w:abstractNumId w:val="32"/>
  </w:num>
  <w:num w:numId="32">
    <w:abstractNumId w:val="0"/>
  </w:num>
  <w:num w:numId="33">
    <w:abstractNumId w:val="17"/>
  </w:num>
  <w:num w:numId="34">
    <w:abstractNumId w:val="34"/>
  </w:num>
  <w:num w:numId="35">
    <w:abstractNumId w:val="28"/>
  </w:num>
  <w:num w:numId="36">
    <w:abstractNumId w:val="3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85A29"/>
    <w:rsid w:val="00000B56"/>
    <w:rsid w:val="00000DB7"/>
    <w:rsid w:val="0001089B"/>
    <w:rsid w:val="00016417"/>
    <w:rsid w:val="0003276E"/>
    <w:rsid w:val="00040A32"/>
    <w:rsid w:val="00043B29"/>
    <w:rsid w:val="00045C6E"/>
    <w:rsid w:val="00050632"/>
    <w:rsid w:val="00055036"/>
    <w:rsid w:val="00057D57"/>
    <w:rsid w:val="0006032D"/>
    <w:rsid w:val="00070F0A"/>
    <w:rsid w:val="00071193"/>
    <w:rsid w:val="00083ECD"/>
    <w:rsid w:val="00087DE9"/>
    <w:rsid w:val="00096340"/>
    <w:rsid w:val="000A15AE"/>
    <w:rsid w:val="000A6A44"/>
    <w:rsid w:val="000B0093"/>
    <w:rsid w:val="000B5118"/>
    <w:rsid w:val="000B687E"/>
    <w:rsid w:val="000C16FE"/>
    <w:rsid w:val="000C1D35"/>
    <w:rsid w:val="000C6681"/>
    <w:rsid w:val="000D00EB"/>
    <w:rsid w:val="000D1BAF"/>
    <w:rsid w:val="000D4DE7"/>
    <w:rsid w:val="000E3712"/>
    <w:rsid w:val="000F019E"/>
    <w:rsid w:val="000F2195"/>
    <w:rsid w:val="000F2B76"/>
    <w:rsid w:val="000F358E"/>
    <w:rsid w:val="00116423"/>
    <w:rsid w:val="001236BB"/>
    <w:rsid w:val="00125E97"/>
    <w:rsid w:val="001314A5"/>
    <w:rsid w:val="001332A0"/>
    <w:rsid w:val="00137E82"/>
    <w:rsid w:val="001412E4"/>
    <w:rsid w:val="0014210F"/>
    <w:rsid w:val="00151862"/>
    <w:rsid w:val="00155465"/>
    <w:rsid w:val="00155943"/>
    <w:rsid w:val="0016288E"/>
    <w:rsid w:val="00177289"/>
    <w:rsid w:val="00183A6A"/>
    <w:rsid w:val="001B122A"/>
    <w:rsid w:val="001B3623"/>
    <w:rsid w:val="001C16A5"/>
    <w:rsid w:val="001D398B"/>
    <w:rsid w:val="001E24E9"/>
    <w:rsid w:val="001F38F7"/>
    <w:rsid w:val="00200E51"/>
    <w:rsid w:val="002320BB"/>
    <w:rsid w:val="00234B6F"/>
    <w:rsid w:val="00235EA5"/>
    <w:rsid w:val="00236286"/>
    <w:rsid w:val="00240E03"/>
    <w:rsid w:val="0024597E"/>
    <w:rsid w:val="00254F57"/>
    <w:rsid w:val="00263408"/>
    <w:rsid w:val="00276418"/>
    <w:rsid w:val="00276ADE"/>
    <w:rsid w:val="00281A0F"/>
    <w:rsid w:val="0028335A"/>
    <w:rsid w:val="00291630"/>
    <w:rsid w:val="00292899"/>
    <w:rsid w:val="002A263D"/>
    <w:rsid w:val="002A6EBA"/>
    <w:rsid w:val="002B3483"/>
    <w:rsid w:val="002B390F"/>
    <w:rsid w:val="002B7CE5"/>
    <w:rsid w:val="002C2A29"/>
    <w:rsid w:val="002D0DFA"/>
    <w:rsid w:val="002D1C11"/>
    <w:rsid w:val="002D2E18"/>
    <w:rsid w:val="002E2F42"/>
    <w:rsid w:val="002F3B04"/>
    <w:rsid w:val="003023B5"/>
    <w:rsid w:val="00314ACF"/>
    <w:rsid w:val="00332138"/>
    <w:rsid w:val="003338C6"/>
    <w:rsid w:val="00341818"/>
    <w:rsid w:val="00342BD2"/>
    <w:rsid w:val="003476E4"/>
    <w:rsid w:val="00350CD4"/>
    <w:rsid w:val="00367FBF"/>
    <w:rsid w:val="00372589"/>
    <w:rsid w:val="00374C07"/>
    <w:rsid w:val="003750B2"/>
    <w:rsid w:val="0037581D"/>
    <w:rsid w:val="003910C6"/>
    <w:rsid w:val="00393279"/>
    <w:rsid w:val="00394895"/>
    <w:rsid w:val="003C6068"/>
    <w:rsid w:val="003D1987"/>
    <w:rsid w:val="003D45A0"/>
    <w:rsid w:val="003E3BA7"/>
    <w:rsid w:val="003E4AAD"/>
    <w:rsid w:val="003E5341"/>
    <w:rsid w:val="003E58CA"/>
    <w:rsid w:val="003E5C85"/>
    <w:rsid w:val="003E7117"/>
    <w:rsid w:val="003E77D8"/>
    <w:rsid w:val="003F01D0"/>
    <w:rsid w:val="003F100A"/>
    <w:rsid w:val="0040622B"/>
    <w:rsid w:val="004117C4"/>
    <w:rsid w:val="004131E2"/>
    <w:rsid w:val="00421AD3"/>
    <w:rsid w:val="004320A2"/>
    <w:rsid w:val="00442622"/>
    <w:rsid w:val="00443A87"/>
    <w:rsid w:val="0046195B"/>
    <w:rsid w:val="00462B9B"/>
    <w:rsid w:val="004643BD"/>
    <w:rsid w:val="00464CD4"/>
    <w:rsid w:val="004729C2"/>
    <w:rsid w:val="00486020"/>
    <w:rsid w:val="004941F0"/>
    <w:rsid w:val="004A235E"/>
    <w:rsid w:val="004B01CC"/>
    <w:rsid w:val="004B53F6"/>
    <w:rsid w:val="004B6EFF"/>
    <w:rsid w:val="004C0465"/>
    <w:rsid w:val="004C3404"/>
    <w:rsid w:val="004D261C"/>
    <w:rsid w:val="004D4786"/>
    <w:rsid w:val="004E563B"/>
    <w:rsid w:val="004E5672"/>
    <w:rsid w:val="004E7584"/>
    <w:rsid w:val="004F0E9F"/>
    <w:rsid w:val="004F4A10"/>
    <w:rsid w:val="004F74BF"/>
    <w:rsid w:val="005008BC"/>
    <w:rsid w:val="00502C98"/>
    <w:rsid w:val="00506A87"/>
    <w:rsid w:val="005121A4"/>
    <w:rsid w:val="00515977"/>
    <w:rsid w:val="00520155"/>
    <w:rsid w:val="00520A58"/>
    <w:rsid w:val="00532CE2"/>
    <w:rsid w:val="0053372D"/>
    <w:rsid w:val="00534D2B"/>
    <w:rsid w:val="00537A3D"/>
    <w:rsid w:val="0054261A"/>
    <w:rsid w:val="00542DCE"/>
    <w:rsid w:val="00552466"/>
    <w:rsid w:val="0055519F"/>
    <w:rsid w:val="00562F8E"/>
    <w:rsid w:val="0058225A"/>
    <w:rsid w:val="00586D7A"/>
    <w:rsid w:val="005A7986"/>
    <w:rsid w:val="005B4A70"/>
    <w:rsid w:val="005C1D44"/>
    <w:rsid w:val="005D58E0"/>
    <w:rsid w:val="005F0B39"/>
    <w:rsid w:val="00600962"/>
    <w:rsid w:val="0061052D"/>
    <w:rsid w:val="00626F2D"/>
    <w:rsid w:val="00627A99"/>
    <w:rsid w:val="006304A0"/>
    <w:rsid w:val="00632E4D"/>
    <w:rsid w:val="0063506B"/>
    <w:rsid w:val="00635A1C"/>
    <w:rsid w:val="00643CD2"/>
    <w:rsid w:val="006445F4"/>
    <w:rsid w:val="00651E4A"/>
    <w:rsid w:val="00662A0C"/>
    <w:rsid w:val="0066457F"/>
    <w:rsid w:val="00672D91"/>
    <w:rsid w:val="00676B86"/>
    <w:rsid w:val="00681AFB"/>
    <w:rsid w:val="00683485"/>
    <w:rsid w:val="00683526"/>
    <w:rsid w:val="00690075"/>
    <w:rsid w:val="00697557"/>
    <w:rsid w:val="006B70D5"/>
    <w:rsid w:val="006C60CD"/>
    <w:rsid w:val="006C6E36"/>
    <w:rsid w:val="006D0749"/>
    <w:rsid w:val="006D1CC1"/>
    <w:rsid w:val="006D513B"/>
    <w:rsid w:val="006D736F"/>
    <w:rsid w:val="006E2D36"/>
    <w:rsid w:val="006E6FE7"/>
    <w:rsid w:val="006F08B3"/>
    <w:rsid w:val="006F6B9C"/>
    <w:rsid w:val="00702C5D"/>
    <w:rsid w:val="00705C3A"/>
    <w:rsid w:val="00714078"/>
    <w:rsid w:val="00727F69"/>
    <w:rsid w:val="007360EB"/>
    <w:rsid w:val="0074166B"/>
    <w:rsid w:val="00741A99"/>
    <w:rsid w:val="00746D81"/>
    <w:rsid w:val="00752116"/>
    <w:rsid w:val="007546A1"/>
    <w:rsid w:val="007802A2"/>
    <w:rsid w:val="00781AF8"/>
    <w:rsid w:val="00784064"/>
    <w:rsid w:val="00792E82"/>
    <w:rsid w:val="00793C1C"/>
    <w:rsid w:val="007A393E"/>
    <w:rsid w:val="007B3173"/>
    <w:rsid w:val="007B47C6"/>
    <w:rsid w:val="007B4F8A"/>
    <w:rsid w:val="007B5D01"/>
    <w:rsid w:val="007B7F2E"/>
    <w:rsid w:val="007C3B68"/>
    <w:rsid w:val="007C5D26"/>
    <w:rsid w:val="007D1F9C"/>
    <w:rsid w:val="007D6758"/>
    <w:rsid w:val="007E7B90"/>
    <w:rsid w:val="007F06AB"/>
    <w:rsid w:val="007F651C"/>
    <w:rsid w:val="00806507"/>
    <w:rsid w:val="00810C02"/>
    <w:rsid w:val="00812023"/>
    <w:rsid w:val="00820143"/>
    <w:rsid w:val="00821A30"/>
    <w:rsid w:val="0082207A"/>
    <w:rsid w:val="00834B6D"/>
    <w:rsid w:val="00834E26"/>
    <w:rsid w:val="00836E18"/>
    <w:rsid w:val="0084061D"/>
    <w:rsid w:val="00841A67"/>
    <w:rsid w:val="008465C9"/>
    <w:rsid w:val="00872039"/>
    <w:rsid w:val="0087227F"/>
    <w:rsid w:val="0088419C"/>
    <w:rsid w:val="00884390"/>
    <w:rsid w:val="008A15CC"/>
    <w:rsid w:val="008B2FBE"/>
    <w:rsid w:val="008B5170"/>
    <w:rsid w:val="008C1B4D"/>
    <w:rsid w:val="008C2E46"/>
    <w:rsid w:val="008D2206"/>
    <w:rsid w:val="008D7D19"/>
    <w:rsid w:val="008E216C"/>
    <w:rsid w:val="008F0213"/>
    <w:rsid w:val="008F4849"/>
    <w:rsid w:val="008F666F"/>
    <w:rsid w:val="00903D9C"/>
    <w:rsid w:val="00904107"/>
    <w:rsid w:val="00907B3A"/>
    <w:rsid w:val="00910803"/>
    <w:rsid w:val="009241FA"/>
    <w:rsid w:val="00936E5C"/>
    <w:rsid w:val="00941B03"/>
    <w:rsid w:val="00956608"/>
    <w:rsid w:val="0095733C"/>
    <w:rsid w:val="00960717"/>
    <w:rsid w:val="00962115"/>
    <w:rsid w:val="00966D99"/>
    <w:rsid w:val="00973C4B"/>
    <w:rsid w:val="009754F3"/>
    <w:rsid w:val="009769AA"/>
    <w:rsid w:val="00980C2B"/>
    <w:rsid w:val="00983784"/>
    <w:rsid w:val="009A1957"/>
    <w:rsid w:val="009A2707"/>
    <w:rsid w:val="009A4CFA"/>
    <w:rsid w:val="009B2778"/>
    <w:rsid w:val="009B5FB6"/>
    <w:rsid w:val="009C3F3F"/>
    <w:rsid w:val="009D69B8"/>
    <w:rsid w:val="009E46A7"/>
    <w:rsid w:val="009F5660"/>
    <w:rsid w:val="00A20C84"/>
    <w:rsid w:val="00A319D0"/>
    <w:rsid w:val="00A36D9D"/>
    <w:rsid w:val="00A37F54"/>
    <w:rsid w:val="00A4393A"/>
    <w:rsid w:val="00A43ADD"/>
    <w:rsid w:val="00A45585"/>
    <w:rsid w:val="00A5061A"/>
    <w:rsid w:val="00A549EA"/>
    <w:rsid w:val="00A65A6E"/>
    <w:rsid w:val="00A70242"/>
    <w:rsid w:val="00A72297"/>
    <w:rsid w:val="00A74877"/>
    <w:rsid w:val="00A81D45"/>
    <w:rsid w:val="00A82AD2"/>
    <w:rsid w:val="00A85A29"/>
    <w:rsid w:val="00A93849"/>
    <w:rsid w:val="00A94B1C"/>
    <w:rsid w:val="00AA6159"/>
    <w:rsid w:val="00AC2EF4"/>
    <w:rsid w:val="00AC7E7B"/>
    <w:rsid w:val="00AD54F3"/>
    <w:rsid w:val="00AE328D"/>
    <w:rsid w:val="00AE3F31"/>
    <w:rsid w:val="00AE4A7B"/>
    <w:rsid w:val="00AE4E23"/>
    <w:rsid w:val="00B21F07"/>
    <w:rsid w:val="00B2739A"/>
    <w:rsid w:val="00B31AE8"/>
    <w:rsid w:val="00B35D11"/>
    <w:rsid w:val="00B41D91"/>
    <w:rsid w:val="00B47EC0"/>
    <w:rsid w:val="00B51213"/>
    <w:rsid w:val="00B545DE"/>
    <w:rsid w:val="00B57EF0"/>
    <w:rsid w:val="00B66552"/>
    <w:rsid w:val="00B66860"/>
    <w:rsid w:val="00B669AF"/>
    <w:rsid w:val="00B778E6"/>
    <w:rsid w:val="00B82A0C"/>
    <w:rsid w:val="00B919B4"/>
    <w:rsid w:val="00BA348A"/>
    <w:rsid w:val="00BB07F1"/>
    <w:rsid w:val="00BB2A84"/>
    <w:rsid w:val="00BE2C48"/>
    <w:rsid w:val="00BE6ACB"/>
    <w:rsid w:val="00BE7764"/>
    <w:rsid w:val="00BF0E6F"/>
    <w:rsid w:val="00C10B3C"/>
    <w:rsid w:val="00C16BED"/>
    <w:rsid w:val="00C30B57"/>
    <w:rsid w:val="00C33973"/>
    <w:rsid w:val="00C373BC"/>
    <w:rsid w:val="00C442DA"/>
    <w:rsid w:val="00C47569"/>
    <w:rsid w:val="00C5463E"/>
    <w:rsid w:val="00C625B9"/>
    <w:rsid w:val="00C707A0"/>
    <w:rsid w:val="00C710BA"/>
    <w:rsid w:val="00C71330"/>
    <w:rsid w:val="00C72781"/>
    <w:rsid w:val="00C847D3"/>
    <w:rsid w:val="00C85E35"/>
    <w:rsid w:val="00C932A2"/>
    <w:rsid w:val="00C93841"/>
    <w:rsid w:val="00C97725"/>
    <w:rsid w:val="00CA3863"/>
    <w:rsid w:val="00CC07D3"/>
    <w:rsid w:val="00CC5C6B"/>
    <w:rsid w:val="00CC7D35"/>
    <w:rsid w:val="00CD163A"/>
    <w:rsid w:val="00CD6988"/>
    <w:rsid w:val="00CD705B"/>
    <w:rsid w:val="00CE60A7"/>
    <w:rsid w:val="00CE7B5B"/>
    <w:rsid w:val="00CF3354"/>
    <w:rsid w:val="00CF5EC3"/>
    <w:rsid w:val="00D01F4B"/>
    <w:rsid w:val="00D03C35"/>
    <w:rsid w:val="00D10C87"/>
    <w:rsid w:val="00D10F3F"/>
    <w:rsid w:val="00D11760"/>
    <w:rsid w:val="00D15C42"/>
    <w:rsid w:val="00D17313"/>
    <w:rsid w:val="00D1766C"/>
    <w:rsid w:val="00D246BA"/>
    <w:rsid w:val="00D26DAF"/>
    <w:rsid w:val="00D274A0"/>
    <w:rsid w:val="00D27664"/>
    <w:rsid w:val="00D31F1B"/>
    <w:rsid w:val="00D327C2"/>
    <w:rsid w:val="00D34832"/>
    <w:rsid w:val="00D46F98"/>
    <w:rsid w:val="00D52B73"/>
    <w:rsid w:val="00D60D3A"/>
    <w:rsid w:val="00D634C9"/>
    <w:rsid w:val="00D67143"/>
    <w:rsid w:val="00D723F3"/>
    <w:rsid w:val="00D72577"/>
    <w:rsid w:val="00D82C85"/>
    <w:rsid w:val="00D91C07"/>
    <w:rsid w:val="00D93F28"/>
    <w:rsid w:val="00D97A01"/>
    <w:rsid w:val="00DB3DA1"/>
    <w:rsid w:val="00DC08EB"/>
    <w:rsid w:val="00DC0AB7"/>
    <w:rsid w:val="00DC6292"/>
    <w:rsid w:val="00DD4A83"/>
    <w:rsid w:val="00DD4DD9"/>
    <w:rsid w:val="00DD68C1"/>
    <w:rsid w:val="00DE2DB9"/>
    <w:rsid w:val="00DE32B0"/>
    <w:rsid w:val="00DF1897"/>
    <w:rsid w:val="00DF229A"/>
    <w:rsid w:val="00DF496C"/>
    <w:rsid w:val="00E35A2B"/>
    <w:rsid w:val="00E52752"/>
    <w:rsid w:val="00E530FE"/>
    <w:rsid w:val="00E61248"/>
    <w:rsid w:val="00E627AB"/>
    <w:rsid w:val="00E85E26"/>
    <w:rsid w:val="00E97D60"/>
    <w:rsid w:val="00EA3624"/>
    <w:rsid w:val="00EB79EF"/>
    <w:rsid w:val="00EC6275"/>
    <w:rsid w:val="00ED31C5"/>
    <w:rsid w:val="00EE083A"/>
    <w:rsid w:val="00EE4A53"/>
    <w:rsid w:val="00EF0AAE"/>
    <w:rsid w:val="00EF1D41"/>
    <w:rsid w:val="00EF4DC2"/>
    <w:rsid w:val="00F20473"/>
    <w:rsid w:val="00F275B8"/>
    <w:rsid w:val="00F3448C"/>
    <w:rsid w:val="00F63722"/>
    <w:rsid w:val="00F7657C"/>
    <w:rsid w:val="00F80D47"/>
    <w:rsid w:val="00F97C59"/>
    <w:rsid w:val="00FC036A"/>
    <w:rsid w:val="00FC6085"/>
    <w:rsid w:val="00FE397C"/>
    <w:rsid w:val="00FE645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248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1248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1248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1248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1248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1248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locked/>
    <w:rsid w:val="00E61248"/>
    <w:rPr>
      <w:b/>
      <w:i/>
      <w:sz w:val="26"/>
    </w:rPr>
  </w:style>
  <w:style w:type="character" w:customStyle="1" w:styleId="Heading6Char">
    <w:name w:val="Heading 6 Char"/>
    <w:link w:val="Heading6"/>
    <w:uiPriority w:val="99"/>
    <w:locked/>
    <w:rsid w:val="00E61248"/>
    <w:rPr>
      <w:b/>
    </w:rPr>
  </w:style>
  <w:style w:type="character" w:customStyle="1" w:styleId="Heading7Char">
    <w:name w:val="Heading 7 Char"/>
    <w:link w:val="Heading7"/>
    <w:uiPriority w:val="99"/>
    <w:locked/>
    <w:rsid w:val="00E61248"/>
    <w:rPr>
      <w:sz w:val="24"/>
    </w:rPr>
  </w:style>
  <w:style w:type="character" w:customStyle="1" w:styleId="Heading8Char">
    <w:name w:val="Heading 8 Char"/>
    <w:link w:val="Heading8"/>
    <w:uiPriority w:val="99"/>
    <w:locked/>
    <w:rsid w:val="00E61248"/>
    <w:rPr>
      <w:i/>
      <w:sz w:val="24"/>
    </w:rPr>
  </w:style>
  <w:style w:type="character" w:customStyle="1" w:styleId="Heading9Char">
    <w:name w:val="Heading 9 Char"/>
    <w:link w:val="Heading9"/>
    <w:uiPriority w:val="99"/>
    <w:locked/>
    <w:rsid w:val="00E61248"/>
  </w:style>
  <w:style w:type="paragraph" w:customStyle="1" w:styleId="Nadpis2loha">
    <w:name w:val="Nadpis 2.Úloha"/>
    <w:basedOn w:val="Normal"/>
    <w:uiPriority w:val="99"/>
    <w:rsid w:val="00E61248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uiPriority w:val="99"/>
    <w:rsid w:val="00E61248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3Podloha">
    <w:name w:val="Nadpis 3.Podúloha"/>
    <w:basedOn w:val="Normal"/>
    <w:uiPriority w:val="99"/>
    <w:rsid w:val="00E61248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rsid w:val="00E61248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61248"/>
    <w:pPr>
      <w:jc w:val="both"/>
    </w:pPr>
  </w:style>
  <w:style w:type="character" w:customStyle="1" w:styleId="BodyTextChar">
    <w:name w:val="Body Text Char"/>
    <w:link w:val="BodyText"/>
    <w:uiPriority w:val="99"/>
    <w:locked/>
    <w:rsid w:val="00E61248"/>
    <w:rPr>
      <w:rFonts w:ascii="Times New Roman" w:hAnsi="Times New Roman" w:cs="Times New Roman"/>
      <w:sz w:val="20"/>
    </w:rPr>
  </w:style>
  <w:style w:type="character" w:styleId="CommentReference">
    <w:name w:val="annotation reference"/>
    <w:uiPriority w:val="99"/>
    <w:rsid w:val="00E61248"/>
    <w:rPr>
      <w:sz w:val="16"/>
    </w:rPr>
  </w:style>
  <w:style w:type="character" w:customStyle="1" w:styleId="Heading1CharorobasChar">
    <w:name w:val="Heading 1 Char.Čo robí (časť) Char"/>
    <w:uiPriority w:val="99"/>
    <w:rsid w:val="00E61248"/>
    <w:rPr>
      <w:rFonts w:ascii="Times New Roman" w:hAnsi="Times New Roman" w:cs="Times New Roman"/>
      <w:b/>
      <w:kern w:val="32"/>
      <w:sz w:val="28"/>
    </w:rPr>
  </w:style>
  <w:style w:type="paragraph" w:styleId="CommentText">
    <w:name w:val="annotation text"/>
    <w:basedOn w:val="Normal"/>
    <w:link w:val="CommentTextChar"/>
    <w:uiPriority w:val="99"/>
    <w:rsid w:val="00E61248"/>
    <w:pPr>
      <w:jc w:val="left"/>
    </w:pPr>
  </w:style>
  <w:style w:type="character" w:customStyle="1" w:styleId="CommentTextChar">
    <w:name w:val="Comment Text Char"/>
    <w:link w:val="CommentText"/>
    <w:uiPriority w:val="99"/>
    <w:locked/>
    <w:rsid w:val="00E61248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6A1"/>
    <w:pPr>
      <w:jc w:val="left"/>
    </w:pPr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7546A1"/>
    <w:rPr>
      <w:rFonts w:ascii="Times New Roman" w:hAnsi="Times New Roman"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rsid w:val="00E61248"/>
    <w:pPr>
      <w:jc w:val="left"/>
    </w:pPr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locked/>
    <w:rsid w:val="00E61248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34"/>
    <w:qFormat/>
    <w:rsid w:val="00B919B4"/>
    <w:pPr>
      <w:ind w:left="720"/>
      <w:contextualSpacing/>
      <w:jc w:val="left"/>
    </w:pPr>
  </w:style>
  <w:style w:type="character" w:customStyle="1" w:styleId="apple-converted-space">
    <w:name w:val="apple-converted-space"/>
    <w:basedOn w:val="DefaultParagraphFont"/>
    <w:rsid w:val="00B545DE"/>
    <w:rPr>
      <w:rFonts w:cs="Times New Roman"/>
      <w:rtl w:val="0"/>
      <w:cs w:val="0"/>
    </w:rPr>
  </w:style>
  <w:style w:type="character" w:styleId="Hyperlink">
    <w:name w:val="Hyperlink"/>
    <w:uiPriority w:val="99"/>
    <w:semiHidden/>
    <w:unhideWhenUsed/>
    <w:rsid w:val="00B545DE"/>
    <w:rPr>
      <w:color w:val="0000FF"/>
      <w:u w:val="single"/>
    </w:rPr>
  </w:style>
  <w:style w:type="character" w:customStyle="1" w:styleId="new">
    <w:name w:val="new"/>
    <w:basedOn w:val="DefaultParagraphFont"/>
    <w:rsid w:val="00B545DE"/>
    <w:rPr>
      <w:rFonts w:cs="Times New Roman"/>
      <w:rtl w:val="0"/>
      <w: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76E4"/>
    <w:pPr>
      <w:jc w:val="left"/>
    </w:pPr>
  </w:style>
  <w:style w:type="character" w:customStyle="1" w:styleId="FootnoteTextChar">
    <w:name w:val="Footnote Text Char"/>
    <w:link w:val="FootnoteText"/>
    <w:uiPriority w:val="99"/>
    <w:semiHidden/>
    <w:locked/>
    <w:rsid w:val="003476E4"/>
    <w:rPr>
      <w:rFonts w:ascii="Times New Roman" w:hAnsi="Times New Roman" w:cs="Times New Roman"/>
    </w:rPr>
  </w:style>
  <w:style w:type="character" w:styleId="FootnoteReference">
    <w:name w:val="footnote reference"/>
    <w:uiPriority w:val="99"/>
    <w:semiHidden/>
    <w:unhideWhenUsed/>
    <w:rsid w:val="003476E4"/>
    <w:rPr>
      <w:vertAlign w:val="superscript"/>
    </w:rPr>
  </w:style>
  <w:style w:type="character" w:customStyle="1" w:styleId="terminated">
    <w:name w:val="terminated"/>
    <w:basedOn w:val="DefaultParagraphFont"/>
    <w:rsid w:val="00BE2C48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1A249-3D08-48E6-8A75-F7E3ED7C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199</Words>
  <Characters>1137</Characters>
  <Application>Microsoft Office Word</Application>
  <DocSecurity>0</DocSecurity>
  <Lines>0</Lines>
  <Paragraphs>0</Paragraphs>
  <ScaleCrop>false</ScaleCrop>
  <Company>Kancelaria NR SR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Gašparíková, Jarmila</cp:lastModifiedBy>
  <cp:revision>2</cp:revision>
  <dcterms:created xsi:type="dcterms:W3CDTF">2014-11-06T16:06:00Z</dcterms:created>
  <dcterms:modified xsi:type="dcterms:W3CDTF">2014-11-06T16:06:00Z</dcterms:modified>
</cp:coreProperties>
</file>