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0DFE" w:rsidRPr="0084558B" w:rsidP="007B04E5">
      <w:pPr>
        <w:pBdr>
          <w:bottom w:val="single" w:sz="12" w:space="1" w:color="auto"/>
        </w:pBdr>
        <w:bidi w:val="0"/>
        <w:spacing w:before="120" w:line="276" w:lineRule="auto"/>
        <w:jc w:val="center"/>
        <w:rPr>
          <w:rFonts w:ascii="Book Antiqua" w:hAnsi="Book Antiqua"/>
          <w:b/>
          <w:bCs/>
          <w:spacing w:val="20"/>
          <w:sz w:val="22"/>
          <w:szCs w:val="22"/>
        </w:rPr>
      </w:pPr>
      <w:r w:rsidRPr="0084558B">
        <w:rPr>
          <w:rFonts w:ascii="Book Antiqua" w:hAnsi="Book Antiqua"/>
          <w:b/>
          <w:bCs/>
          <w:spacing w:val="20"/>
          <w:sz w:val="22"/>
          <w:szCs w:val="22"/>
        </w:rPr>
        <w:t>NÁRODNÁ  RADA  SLOVENSKEJ  REPUBLIKY</w:t>
      </w:r>
    </w:p>
    <w:p w:rsidR="00880DFE" w:rsidRPr="0084558B" w:rsidP="007B04E5">
      <w:pPr>
        <w:bidi w:val="0"/>
        <w:spacing w:before="120" w:line="276" w:lineRule="auto"/>
        <w:jc w:val="center"/>
        <w:rPr>
          <w:rFonts w:ascii="Book Antiqua" w:hAnsi="Book Antiqua"/>
          <w:spacing w:val="20"/>
          <w:sz w:val="22"/>
          <w:szCs w:val="22"/>
        </w:rPr>
      </w:pPr>
    </w:p>
    <w:p w:rsidR="00880DFE" w:rsidRPr="0084558B" w:rsidP="007B04E5">
      <w:pPr>
        <w:bidi w:val="0"/>
        <w:spacing w:before="120" w:line="276" w:lineRule="auto"/>
        <w:jc w:val="center"/>
        <w:rPr>
          <w:rFonts w:ascii="Book Antiqua" w:hAnsi="Book Antiqua"/>
          <w:spacing w:val="20"/>
          <w:sz w:val="22"/>
          <w:szCs w:val="22"/>
        </w:rPr>
      </w:pPr>
      <w:r w:rsidRPr="0084558B">
        <w:rPr>
          <w:rFonts w:ascii="Book Antiqua" w:hAnsi="Book Antiqua"/>
          <w:spacing w:val="20"/>
          <w:sz w:val="22"/>
          <w:szCs w:val="22"/>
        </w:rPr>
        <w:t>VI. volebné obdobie</w:t>
      </w:r>
    </w:p>
    <w:p w:rsidR="00880DFE" w:rsidRPr="0084558B" w:rsidP="007B04E5">
      <w:pPr>
        <w:bidi w:val="0"/>
        <w:spacing w:before="120" w:line="276" w:lineRule="auto"/>
        <w:rPr>
          <w:rFonts w:ascii="Book Antiqua" w:hAnsi="Book Antiqua"/>
          <w:b/>
          <w:bCs/>
          <w:spacing w:val="30"/>
          <w:sz w:val="22"/>
          <w:szCs w:val="22"/>
        </w:rPr>
      </w:pPr>
    </w:p>
    <w:p w:rsidR="00880DFE" w:rsidRPr="0084558B" w:rsidP="007B04E5">
      <w:pPr>
        <w:bidi w:val="0"/>
        <w:spacing w:before="120" w:line="276" w:lineRule="auto"/>
        <w:jc w:val="center"/>
        <w:rPr>
          <w:rFonts w:ascii="Book Antiqua" w:hAnsi="Book Antiqua"/>
          <w:b/>
          <w:bCs/>
          <w:spacing w:val="30"/>
          <w:sz w:val="22"/>
          <w:szCs w:val="22"/>
        </w:rPr>
      </w:pPr>
      <w:r w:rsidRPr="0084558B">
        <w:rPr>
          <w:rFonts w:ascii="Book Antiqua" w:hAnsi="Book Antiqua"/>
          <w:b/>
          <w:bCs/>
          <w:spacing w:val="30"/>
          <w:sz w:val="22"/>
          <w:szCs w:val="22"/>
        </w:rPr>
        <w:t xml:space="preserve">Návrh </w:t>
      </w:r>
    </w:p>
    <w:p w:rsidR="00880DFE" w:rsidRPr="0084558B" w:rsidP="007B04E5">
      <w:pPr>
        <w:bidi w:val="0"/>
        <w:spacing w:before="120" w:line="276" w:lineRule="auto"/>
        <w:jc w:val="center"/>
        <w:rPr>
          <w:rFonts w:ascii="Book Antiqua" w:hAnsi="Book Antiqua"/>
          <w:b/>
          <w:bCs/>
          <w:spacing w:val="30"/>
          <w:sz w:val="22"/>
          <w:szCs w:val="22"/>
        </w:rPr>
      </w:pPr>
    </w:p>
    <w:p w:rsidR="00880DFE" w:rsidRPr="0084558B" w:rsidP="007B04E5">
      <w:pPr>
        <w:bidi w:val="0"/>
        <w:spacing w:before="120" w:line="276" w:lineRule="auto"/>
        <w:jc w:val="center"/>
        <w:rPr>
          <w:rFonts w:ascii="Book Antiqua" w:hAnsi="Book Antiqua"/>
          <w:b/>
          <w:bCs/>
          <w:caps/>
          <w:spacing w:val="30"/>
          <w:sz w:val="22"/>
          <w:szCs w:val="22"/>
        </w:rPr>
      </w:pPr>
      <w:r w:rsidRPr="0084558B">
        <w:rPr>
          <w:rFonts w:ascii="Book Antiqua" w:hAnsi="Book Antiqua"/>
          <w:b/>
          <w:bCs/>
          <w:caps/>
          <w:spacing w:val="30"/>
          <w:sz w:val="22"/>
          <w:szCs w:val="22"/>
        </w:rPr>
        <w:t>zákon</w:t>
      </w:r>
    </w:p>
    <w:p w:rsidR="00880DFE" w:rsidRPr="0084558B" w:rsidP="007B04E5">
      <w:pPr>
        <w:bidi w:val="0"/>
        <w:spacing w:before="120" w:line="276" w:lineRule="auto"/>
        <w:jc w:val="center"/>
        <w:rPr>
          <w:rFonts w:ascii="Book Antiqua" w:hAnsi="Book Antiqua"/>
          <w:sz w:val="22"/>
          <w:szCs w:val="22"/>
        </w:rPr>
      </w:pPr>
    </w:p>
    <w:p w:rsidR="00880DFE" w:rsidRPr="0084558B" w:rsidP="007B04E5">
      <w:pPr>
        <w:bidi w:val="0"/>
        <w:spacing w:before="120" w:line="276" w:lineRule="auto"/>
        <w:jc w:val="center"/>
        <w:rPr>
          <w:rFonts w:ascii="Book Antiqua" w:hAnsi="Book Antiqua"/>
          <w:sz w:val="22"/>
          <w:szCs w:val="22"/>
        </w:rPr>
      </w:pPr>
      <w:r w:rsidR="006205FE">
        <w:rPr>
          <w:rFonts w:ascii="Book Antiqua" w:hAnsi="Book Antiqua"/>
          <w:sz w:val="22"/>
          <w:szCs w:val="22"/>
        </w:rPr>
        <w:t>z ... 2015</w:t>
      </w:r>
    </w:p>
    <w:p w:rsidR="00880DFE" w:rsidRPr="0084558B" w:rsidP="007B04E5">
      <w:pPr>
        <w:bidi w:val="0"/>
        <w:spacing w:before="120" w:line="276" w:lineRule="auto"/>
        <w:jc w:val="center"/>
        <w:rPr>
          <w:rFonts w:ascii="Book Antiqua" w:hAnsi="Book Antiqua"/>
          <w:sz w:val="22"/>
          <w:szCs w:val="22"/>
        </w:rPr>
      </w:pPr>
    </w:p>
    <w:p w:rsidR="00880DFE" w:rsidRPr="0084558B" w:rsidP="00D849B4">
      <w:pPr>
        <w:bidi w:val="0"/>
        <w:spacing w:before="120" w:line="276" w:lineRule="auto"/>
        <w:jc w:val="center"/>
        <w:rPr>
          <w:rFonts w:ascii="Book Antiqua" w:hAnsi="Book Antiqua"/>
          <w:b/>
          <w:bCs/>
          <w:sz w:val="22"/>
          <w:szCs w:val="22"/>
        </w:rPr>
      </w:pPr>
      <w:r w:rsidRPr="0084558B">
        <w:rPr>
          <w:rFonts w:ascii="Book Antiqua" w:hAnsi="Book Antiqua"/>
          <w:b/>
          <w:bCs/>
          <w:sz w:val="22"/>
          <w:szCs w:val="22"/>
        </w:rPr>
        <w:t>o čiastočnom odškodnení klientov nebankových subjektov</w:t>
      </w:r>
    </w:p>
    <w:p w:rsidR="00880DFE" w:rsidRPr="0084558B" w:rsidP="007B04E5">
      <w:pPr>
        <w:bidi w:val="0"/>
        <w:spacing w:before="120" w:line="276" w:lineRule="auto"/>
        <w:jc w:val="both"/>
        <w:rPr>
          <w:rFonts w:ascii="Book Antiqua" w:hAnsi="Book Antiqua"/>
          <w:sz w:val="22"/>
          <w:szCs w:val="22"/>
        </w:rPr>
      </w:pPr>
    </w:p>
    <w:p w:rsidR="00880DFE" w:rsidRPr="0084558B" w:rsidP="00494EF6">
      <w:pPr>
        <w:bidi w:val="0"/>
        <w:spacing w:before="120" w:line="276" w:lineRule="auto"/>
        <w:jc w:val="both"/>
        <w:rPr>
          <w:rFonts w:ascii="Book Antiqua" w:hAnsi="Book Antiqua"/>
          <w:sz w:val="22"/>
          <w:szCs w:val="22"/>
        </w:rPr>
      </w:pPr>
      <w:r w:rsidRPr="0084558B">
        <w:rPr>
          <w:rFonts w:ascii="Book Antiqua" w:hAnsi="Book Antiqua"/>
          <w:sz w:val="22"/>
          <w:szCs w:val="22"/>
        </w:rPr>
        <w:t xml:space="preserve">Národná rada Slovenskej republiky sa uzniesla na tomto zákone: </w:t>
      </w:r>
    </w:p>
    <w:p w:rsidR="00880DFE" w:rsidRPr="0084558B" w:rsidP="007B04E5">
      <w:pPr>
        <w:bidi w:val="0"/>
        <w:spacing w:before="120" w:line="276" w:lineRule="auto"/>
        <w:rPr>
          <w:rFonts w:ascii="Book Antiqua" w:hAnsi="Book Antiqua"/>
          <w:sz w:val="22"/>
          <w:szCs w:val="22"/>
        </w:rPr>
      </w:pPr>
    </w:p>
    <w:p w:rsidR="00880DFE" w:rsidRPr="0084558B" w:rsidP="007B04E5">
      <w:pPr>
        <w:tabs>
          <w:tab w:val="left" w:pos="885"/>
        </w:tabs>
        <w:bidi w:val="0"/>
        <w:spacing w:before="120" w:line="276" w:lineRule="auto"/>
        <w:jc w:val="center"/>
        <w:rPr>
          <w:rFonts w:ascii="Book Antiqua" w:hAnsi="Book Antiqua"/>
          <w:bCs/>
          <w:sz w:val="22"/>
          <w:szCs w:val="22"/>
        </w:rPr>
      </w:pPr>
      <w:r w:rsidRPr="0084558B">
        <w:rPr>
          <w:rFonts w:ascii="Book Antiqua" w:hAnsi="Book Antiqua"/>
          <w:b/>
          <w:sz w:val="22"/>
          <w:szCs w:val="22"/>
        </w:rPr>
        <w:t>§ 1</w:t>
      </w:r>
    </w:p>
    <w:p w:rsidR="00880DFE" w:rsidRPr="0084558B" w:rsidP="007B04E5">
      <w:pPr>
        <w:bidi w:val="0"/>
        <w:spacing w:before="120" w:line="276" w:lineRule="auto"/>
        <w:jc w:val="center"/>
        <w:rPr>
          <w:rFonts w:ascii="Book Antiqua" w:hAnsi="Book Antiqua"/>
          <w:bCs/>
          <w:sz w:val="22"/>
          <w:szCs w:val="22"/>
        </w:rPr>
      </w:pPr>
      <w:r w:rsidRPr="0084558B">
        <w:rPr>
          <w:rFonts w:ascii="Book Antiqua" w:hAnsi="Book Antiqua"/>
          <w:b/>
          <w:sz w:val="22"/>
          <w:szCs w:val="22"/>
        </w:rPr>
        <w:t xml:space="preserve">Predmet úpravy </w:t>
      </w:r>
    </w:p>
    <w:p w:rsidR="00880DFE" w:rsidRPr="0084558B" w:rsidP="007B04E5">
      <w:pPr>
        <w:bidi w:val="0"/>
        <w:spacing w:before="120" w:line="276" w:lineRule="auto"/>
        <w:ind w:left="426" w:hanging="426"/>
        <w:jc w:val="both"/>
        <w:rPr>
          <w:rFonts w:ascii="Book Antiqua" w:hAnsi="Book Antiqua"/>
          <w:sz w:val="22"/>
          <w:szCs w:val="22"/>
        </w:rPr>
      </w:pPr>
      <w:r w:rsidRPr="0084558B">
        <w:rPr>
          <w:rFonts w:ascii="Book Antiqua" w:hAnsi="Book Antiqua"/>
          <w:sz w:val="22"/>
          <w:szCs w:val="22"/>
        </w:rPr>
        <w:t>Tento zákon upravuje</w:t>
      </w:r>
    </w:p>
    <w:p w:rsidR="00880DFE" w:rsidRPr="0084558B" w:rsidP="007B04E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okruh oprávnených osôb, ktorým sa poskytuje čiastočné odškodnenie,</w:t>
      </w:r>
    </w:p>
    <w:p w:rsidR="00880DFE" w:rsidRPr="0084558B" w:rsidP="007B04E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 xml:space="preserve">podmienky poskytnutia čiastočného odškodnenia a jeho výšku, </w:t>
      </w:r>
    </w:p>
    <w:p w:rsidR="00880DFE" w:rsidRPr="0084558B" w:rsidP="003E60C5">
      <w:pPr>
        <w:numPr>
          <w:numId w:val="6"/>
        </w:numPr>
        <w:bidi w:val="0"/>
        <w:spacing w:before="120" w:line="276" w:lineRule="auto"/>
        <w:jc w:val="both"/>
        <w:rPr>
          <w:rFonts w:ascii="Book Antiqua" w:hAnsi="Book Antiqua"/>
          <w:sz w:val="22"/>
          <w:szCs w:val="22"/>
        </w:rPr>
      </w:pPr>
      <w:r w:rsidRPr="0084558B">
        <w:rPr>
          <w:rFonts w:ascii="Book Antiqua" w:hAnsi="Book Antiqua"/>
          <w:sz w:val="22"/>
          <w:szCs w:val="22"/>
        </w:rPr>
        <w:t>postup pri poskytovaní čiastočného odškodnenia.</w:t>
      </w:r>
    </w:p>
    <w:p w:rsidR="00880DFE" w:rsidRPr="0084558B" w:rsidP="007B04E5">
      <w:pPr>
        <w:bidi w:val="0"/>
        <w:spacing w:before="120" w:line="276" w:lineRule="auto"/>
        <w:jc w:val="both"/>
        <w:rPr>
          <w:rFonts w:ascii="Book Antiqua" w:hAnsi="Book Antiqua"/>
          <w:bCs/>
          <w:sz w:val="22"/>
          <w:szCs w:val="22"/>
        </w:rPr>
      </w:pP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2</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Vymedzenie základných pojmov</w:t>
      </w:r>
    </w:p>
    <w:p w:rsidR="00880DFE" w:rsidRPr="0084558B" w:rsidP="007B04E5">
      <w:pPr>
        <w:bidi w:val="0"/>
        <w:spacing w:before="120" w:line="276" w:lineRule="auto"/>
        <w:rPr>
          <w:rFonts w:ascii="Book Antiqua" w:hAnsi="Book Antiqua"/>
          <w:bCs/>
          <w:sz w:val="22"/>
          <w:szCs w:val="22"/>
        </w:rPr>
      </w:pPr>
      <w:r w:rsidRPr="0084558B">
        <w:rPr>
          <w:rFonts w:ascii="Book Antiqua" w:hAnsi="Book Antiqua"/>
          <w:bCs/>
          <w:sz w:val="22"/>
          <w:szCs w:val="22"/>
        </w:rPr>
        <w:t>Na účely tohto zákona</w:t>
      </w:r>
    </w:p>
    <w:p w:rsidR="00880DFE" w:rsidRPr="0084558B" w:rsidP="007B04E5">
      <w:pPr>
        <w:pStyle w:val="ListParagraph"/>
        <w:numPr>
          <w:numId w:val="7"/>
        </w:numPr>
        <w:bidi w:val="0"/>
        <w:spacing w:before="120" w:after="0"/>
        <w:jc w:val="both"/>
        <w:rPr>
          <w:rFonts w:ascii="Book Antiqua" w:hAnsi="Book Antiqua"/>
          <w:bCs/>
          <w:lang w:eastAsia="sk-SK"/>
        </w:rPr>
      </w:pPr>
      <w:r w:rsidRPr="0084558B">
        <w:rPr>
          <w:rFonts w:ascii="Book Antiqua" w:hAnsi="Book Antiqua"/>
          <w:bCs/>
          <w:lang w:eastAsia="sk-SK"/>
        </w:rPr>
        <w:t>nebankovým subjektom je právnická osoba, ktorá nemá postavenie banky</w:t>
      </w:r>
      <w:r>
        <w:rPr>
          <w:rStyle w:val="FootnoteReference"/>
          <w:rFonts w:ascii="Book Antiqua" w:hAnsi="Book Antiqua"/>
          <w:color w:val="000000"/>
          <w:rtl w:val="0"/>
        </w:rPr>
        <w:footnoteReference w:id="2"/>
      </w:r>
      <w:r w:rsidRPr="0084558B">
        <w:rPr>
          <w:rFonts w:ascii="Book Antiqua" w:hAnsi="Book Antiqua"/>
          <w:color w:val="000000"/>
          <w:vertAlign w:val="superscript"/>
        </w:rPr>
        <w:t>)</w:t>
      </w:r>
      <w:r w:rsidRPr="0084558B">
        <w:rPr>
          <w:rFonts w:ascii="Book Antiqua" w:hAnsi="Book Antiqua"/>
          <w:bCs/>
          <w:lang w:eastAsia="sk-SK"/>
        </w:rPr>
        <w:t>, sporiteľne</w:t>
      </w:r>
      <w:r>
        <w:rPr>
          <w:rStyle w:val="FootnoteReference"/>
          <w:rFonts w:ascii="Book Antiqua" w:hAnsi="Book Antiqua"/>
          <w:color w:val="000000"/>
          <w:rtl w:val="0"/>
        </w:rPr>
        <w:footnoteReference w:id="3"/>
      </w:r>
      <w:r w:rsidRPr="0084558B">
        <w:rPr>
          <w:rFonts w:ascii="Book Antiqua" w:hAnsi="Book Antiqua"/>
          <w:color w:val="000000"/>
          <w:vertAlign w:val="superscript"/>
        </w:rPr>
        <w:t>)</w:t>
      </w:r>
      <w:r w:rsidRPr="0084558B">
        <w:rPr>
          <w:rFonts w:ascii="Book Antiqua" w:hAnsi="Book Antiqua"/>
          <w:bCs/>
          <w:lang w:eastAsia="sk-SK"/>
        </w:rPr>
        <w:t xml:space="preserve"> alebo finančnej inštitúcie</w:t>
      </w:r>
      <w:r>
        <w:rPr>
          <w:rStyle w:val="FootnoteReference"/>
          <w:rFonts w:ascii="Book Antiqua" w:hAnsi="Book Antiqua"/>
          <w:color w:val="000000"/>
          <w:rtl w:val="0"/>
        </w:rPr>
        <w:footnoteReference w:id="4"/>
      </w:r>
      <w:r w:rsidRPr="0084558B">
        <w:rPr>
          <w:rFonts w:ascii="Book Antiqua" w:hAnsi="Book Antiqua"/>
          <w:color w:val="000000"/>
          <w:vertAlign w:val="superscript"/>
        </w:rPr>
        <w:t>)</w:t>
      </w:r>
      <w:r w:rsidRPr="0084558B">
        <w:rPr>
          <w:rFonts w:ascii="Book Antiqua" w:hAnsi="Book Antiqua"/>
          <w:bCs/>
          <w:lang w:eastAsia="sk-SK"/>
        </w:rPr>
        <w:t>, ak začala podnikať</w:t>
      </w:r>
      <w:r>
        <w:rPr>
          <w:rStyle w:val="FootnoteReference"/>
          <w:rFonts w:ascii="Book Antiqua" w:hAnsi="Book Antiqua"/>
          <w:color w:val="000000"/>
          <w:rtl w:val="0"/>
        </w:rPr>
        <w:footnoteReference w:id="5"/>
      </w:r>
      <w:r w:rsidRPr="0084558B">
        <w:rPr>
          <w:rFonts w:ascii="Book Antiqua" w:hAnsi="Book Antiqua"/>
          <w:color w:val="000000"/>
          <w:vertAlign w:val="superscript"/>
        </w:rPr>
        <w:t>)</w:t>
      </w:r>
      <w:r w:rsidRPr="0084558B">
        <w:rPr>
          <w:rFonts w:ascii="Book Antiqua" w:hAnsi="Book Antiqua"/>
          <w:bCs/>
          <w:lang w:eastAsia="sk-SK"/>
        </w:rPr>
        <w:t xml:space="preserve"> do 31. decembra 2001 a ponúkala klientom aj prostredníctvom verejnoprávneho vysielateľa</w:t>
      </w:r>
      <w:r>
        <w:rPr>
          <w:rStyle w:val="FootnoteReference"/>
          <w:rFonts w:ascii="Book Antiqua" w:hAnsi="Book Antiqua"/>
          <w:color w:val="000000"/>
          <w:rtl w:val="0"/>
        </w:rPr>
        <w:footnoteReference w:id="6"/>
      </w:r>
      <w:r w:rsidRPr="0084558B">
        <w:rPr>
          <w:rFonts w:ascii="Book Antiqua" w:hAnsi="Book Antiqua"/>
          <w:color w:val="000000"/>
          <w:vertAlign w:val="superscript"/>
        </w:rPr>
        <w:t>)</w:t>
      </w:r>
      <w:r w:rsidRPr="0084558B">
        <w:rPr>
          <w:rFonts w:ascii="Book Antiqua" w:hAnsi="Book Antiqua"/>
          <w:bCs/>
          <w:lang w:eastAsia="sk-SK"/>
        </w:rPr>
        <w:t xml:space="preserve"> možnosť podieľať sa na jej podnikaní, a</w:t>
      </w:r>
      <w:r w:rsidRPr="0084558B" w:rsidR="00DC2C99">
        <w:rPr>
          <w:rFonts w:ascii="Book Antiqua" w:hAnsi="Book Antiqua"/>
          <w:bCs/>
          <w:lang w:eastAsia="sk-SK"/>
        </w:rPr>
        <w:t xml:space="preserve"> ktorá do nadobudnutia účinnosti tohto zákona skončila podnikanie alebo </w:t>
      </w:r>
      <w:r w:rsidRPr="0084558B">
        <w:rPr>
          <w:rFonts w:ascii="Book Antiqua" w:hAnsi="Book Antiqua"/>
          <w:bCs/>
          <w:lang w:eastAsia="sk-SK"/>
        </w:rPr>
        <w:t>voči ktorej bolo do nadobudnutia účinnosti tohto zákona začaté konkurzné konanie</w:t>
      </w:r>
      <w:r>
        <w:rPr>
          <w:rStyle w:val="FootnoteReference"/>
          <w:rFonts w:ascii="Book Antiqua" w:hAnsi="Book Antiqua"/>
          <w:color w:val="000000"/>
          <w:rtl w:val="0"/>
        </w:rPr>
        <w:footnoteReference w:id="7"/>
      </w:r>
      <w:r w:rsidRPr="0084558B">
        <w:rPr>
          <w:rFonts w:ascii="Book Antiqua" w:hAnsi="Book Antiqua"/>
          <w:color w:val="000000"/>
          <w:vertAlign w:val="superscript"/>
        </w:rPr>
        <w:t>)</w:t>
      </w:r>
      <w:r w:rsidRPr="0084558B" w:rsidR="00DC2C99">
        <w:rPr>
          <w:rFonts w:ascii="Book Antiqua" w:hAnsi="Book Antiqua"/>
          <w:color w:val="000000"/>
          <w:vertAlign w:val="superscript"/>
        </w:rPr>
        <w:t xml:space="preserve"> </w:t>
      </w:r>
      <w:r w:rsidRPr="0084558B">
        <w:rPr>
          <w:rFonts w:ascii="Book Antiqua" w:hAnsi="Book Antiqua"/>
          <w:bCs/>
          <w:lang w:eastAsia="sk-SK"/>
        </w:rPr>
        <w:t>,</w:t>
      </w:r>
    </w:p>
    <w:p w:rsidR="00880DFE"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klientom je fyzická osoba, ktorej bola spôsobená majetková ujma v dôsledku nedodržania zmluvy</w:t>
      </w:r>
      <w:r>
        <w:rPr>
          <w:rStyle w:val="FootnoteReference"/>
          <w:rFonts w:ascii="Book Antiqua" w:hAnsi="Book Antiqua"/>
          <w:color w:val="000000"/>
          <w:rtl w:val="0"/>
        </w:rPr>
        <w:footnoteReference w:id="8"/>
      </w:r>
      <w:r w:rsidRPr="0084558B">
        <w:rPr>
          <w:rFonts w:ascii="Book Antiqua" w:hAnsi="Book Antiqua"/>
          <w:color w:val="000000"/>
          <w:vertAlign w:val="superscript"/>
        </w:rPr>
        <w:t>)</w:t>
      </w:r>
      <w:r w:rsidRPr="0084558B">
        <w:rPr>
          <w:rFonts w:ascii="Book Antiqua" w:hAnsi="Book Antiqua"/>
          <w:bCs/>
          <w:lang w:eastAsia="sk-SK"/>
        </w:rPr>
        <w:t>, na základe ktorej sa táto osoba podieľala na podnikaní nebankového subjektu,</w:t>
      </w:r>
    </w:p>
    <w:p w:rsidR="00880DFE"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podielom sú finančné prostriedky, ktoré klient investoval do nebankového subjektu s cieľom podieľať sa na jeho podnikaní, a to až do skončenia podnikania takéhoto subjektu alebo do začatia konkurzného</w:t>
      </w:r>
      <w:r w:rsidRPr="0084558B" w:rsidR="00A27A1A">
        <w:rPr>
          <w:rFonts w:ascii="Book Antiqua" w:hAnsi="Book Antiqua"/>
          <w:bCs/>
          <w:lang w:eastAsia="sk-SK"/>
        </w:rPr>
        <w:t xml:space="preserve"> konania voči takémuto subjektu,</w:t>
      </w:r>
    </w:p>
    <w:p w:rsidR="00A27A1A" w:rsidRPr="0084558B" w:rsidP="00682B82">
      <w:pPr>
        <w:pStyle w:val="ListParagraph"/>
        <w:numPr>
          <w:numId w:val="7"/>
        </w:numPr>
        <w:bidi w:val="0"/>
        <w:spacing w:before="120" w:after="0"/>
        <w:jc w:val="both"/>
        <w:rPr>
          <w:rFonts w:ascii="Book Antiqua" w:hAnsi="Book Antiqua"/>
          <w:bCs/>
        </w:rPr>
      </w:pPr>
      <w:r w:rsidRPr="0084558B">
        <w:rPr>
          <w:rFonts w:ascii="Book Antiqua" w:hAnsi="Book Antiqua"/>
          <w:bCs/>
          <w:lang w:eastAsia="sk-SK"/>
        </w:rPr>
        <w:t>majetkovou ujmou v dôsledku nedodržania zmluvy je ujma spočívajúca v tom,</w:t>
      </w:r>
      <w:r w:rsidRPr="0084558B" w:rsidR="00041A76">
        <w:rPr>
          <w:rFonts w:ascii="Book Antiqua" w:hAnsi="Book Antiqua"/>
          <w:bCs/>
          <w:lang w:eastAsia="sk-SK"/>
        </w:rPr>
        <w:t xml:space="preserve"> že sa z majetku nebankovej spoločnosti ani pri skončení jej podnikania alebo ukončení konkurzného konania vedeného voči nej klientovi nevrátil alebo nevyplatil celý jeho podiel.</w:t>
      </w:r>
    </w:p>
    <w:p w:rsidR="00880DFE" w:rsidRPr="0084558B" w:rsidP="007B04E5">
      <w:pPr>
        <w:bidi w:val="0"/>
        <w:spacing w:before="120" w:line="276" w:lineRule="auto"/>
        <w:jc w:val="center"/>
        <w:rPr>
          <w:rFonts w:ascii="Book Antiqua" w:hAnsi="Book Antiqua"/>
          <w:b/>
          <w:bCs/>
          <w:sz w:val="22"/>
          <w:szCs w:val="22"/>
        </w:rPr>
      </w:pP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3</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Oprávnená osoba</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(1) Opr</w:t>
      </w:r>
      <w:r w:rsidRPr="0084558B" w:rsidR="00410A98">
        <w:rPr>
          <w:rFonts w:ascii="Book Antiqua" w:hAnsi="Book Antiqua"/>
          <w:bCs/>
          <w:sz w:val="22"/>
          <w:szCs w:val="22"/>
        </w:rPr>
        <w:t>ávnenou osobu je klient, ktorý utrpel majetkovú ujmu</w:t>
      </w:r>
      <w:r w:rsidRPr="0084558B">
        <w:rPr>
          <w:rFonts w:ascii="Book Antiqua" w:hAnsi="Book Antiqua"/>
          <w:bCs/>
          <w:sz w:val="22"/>
          <w:szCs w:val="22"/>
        </w:rPr>
        <w:t>.</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(2) Oprávnenou osobou nie je klient, ktorý previedol svoj podiel alebo práva s ním spojené na tretiu osobu, ako ani tretia osoba, ktorá takýto podiel alebo práva k nemu nadobudla.</w:t>
      </w:r>
      <w:r w:rsidRPr="0084558B" w:rsidR="00041A76">
        <w:rPr>
          <w:rFonts w:ascii="Book Antiqua" w:hAnsi="Book Antiqua"/>
          <w:bCs/>
          <w:sz w:val="22"/>
          <w:szCs w:val="22"/>
        </w:rPr>
        <w:t xml:space="preserve"> Oprávnenou osobou nie je ani osoba, ktorá bola členom riadiaceho orgánu alebo kontrolného orgánu nebankového subjektu.</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(3) Oprávnenej osobe sa poskytne čiastočné odškodnenie vo výške uvedenej v § 5 za podmienok uvedených v § 4 a postupom podľa § 6.</w:t>
      </w:r>
    </w:p>
    <w:p w:rsidR="00880DFE" w:rsidRPr="0084558B" w:rsidP="007B04E5">
      <w:pPr>
        <w:bidi w:val="0"/>
        <w:spacing w:before="120" w:line="276" w:lineRule="auto"/>
        <w:jc w:val="both"/>
        <w:rPr>
          <w:rFonts w:ascii="Book Antiqua" w:hAnsi="Book Antiqua"/>
          <w:bCs/>
          <w:sz w:val="22"/>
          <w:szCs w:val="22"/>
        </w:rPr>
      </w:pPr>
      <w:r w:rsidRPr="0084558B">
        <w:rPr>
          <w:rFonts w:ascii="Book Antiqua" w:hAnsi="Book Antiqua"/>
          <w:bCs/>
          <w:sz w:val="22"/>
          <w:szCs w:val="22"/>
        </w:rPr>
        <w:t xml:space="preserve">(4) </w:t>
      </w:r>
      <w:r w:rsidRPr="0084558B">
        <w:rPr>
          <w:rFonts w:ascii="Book Antiqua" w:hAnsi="Book Antiqua"/>
          <w:sz w:val="22"/>
          <w:szCs w:val="22"/>
        </w:rPr>
        <w:t xml:space="preserve">Na poskytnutie čiastočného odškodnenia je právny nárok, ktorý </w:t>
      </w:r>
      <w:r w:rsidRPr="0084558B" w:rsidR="00DC2C99">
        <w:rPr>
          <w:rFonts w:ascii="Book Antiqua" w:hAnsi="Book Antiqua"/>
          <w:sz w:val="22"/>
          <w:szCs w:val="22"/>
        </w:rPr>
        <w:t>nemožno previesť na tretiu osobu. P</w:t>
      </w:r>
      <w:r w:rsidRPr="0084558B">
        <w:rPr>
          <w:rFonts w:ascii="Book Antiqua" w:hAnsi="Book Antiqua"/>
          <w:sz w:val="22"/>
          <w:szCs w:val="22"/>
        </w:rPr>
        <w:t xml:space="preserve">o smrti oprávnenej osoby prechádza </w:t>
      </w:r>
      <w:r w:rsidRPr="0084558B" w:rsidR="00DC2C99">
        <w:rPr>
          <w:rFonts w:ascii="Book Antiqua" w:hAnsi="Book Antiqua"/>
          <w:sz w:val="22"/>
          <w:szCs w:val="22"/>
        </w:rPr>
        <w:t xml:space="preserve">tento právny nárok </w:t>
      </w:r>
      <w:r w:rsidRPr="0084558B">
        <w:rPr>
          <w:rFonts w:ascii="Book Antiqua" w:hAnsi="Book Antiqua"/>
          <w:sz w:val="22"/>
          <w:szCs w:val="22"/>
        </w:rPr>
        <w:t>na jej právnych nástupcov.</w:t>
      </w:r>
      <w:r>
        <w:rPr>
          <w:rStyle w:val="FootnoteReference"/>
          <w:rFonts w:ascii="Book Antiqua" w:hAnsi="Book Antiqua"/>
          <w:sz w:val="22"/>
          <w:szCs w:val="22"/>
          <w:rtl w:val="0"/>
        </w:rPr>
        <w:footnoteReference w:id="9"/>
      </w:r>
      <w:r w:rsidRPr="0084558B">
        <w:rPr>
          <w:rFonts w:ascii="Book Antiqua" w:hAnsi="Book Antiqua"/>
          <w:sz w:val="22"/>
          <w:szCs w:val="22"/>
          <w:vertAlign w:val="superscript"/>
        </w:rPr>
        <w:t>)</w:t>
      </w:r>
    </w:p>
    <w:p w:rsidR="00880DFE" w:rsidRPr="0084558B" w:rsidP="009507E9">
      <w:pPr>
        <w:pStyle w:val="ListParagraph"/>
        <w:bidi w:val="0"/>
        <w:spacing w:before="120" w:after="0"/>
        <w:ind w:left="0"/>
        <w:jc w:val="center"/>
        <w:rPr>
          <w:rFonts w:ascii="Book Antiqua" w:hAnsi="Book Antiqua"/>
          <w:b/>
          <w:bCs/>
        </w:rPr>
      </w:pPr>
    </w:p>
    <w:p w:rsidR="00880DFE" w:rsidRPr="0084558B" w:rsidP="009507E9">
      <w:pPr>
        <w:pStyle w:val="ListParagraph"/>
        <w:bidi w:val="0"/>
        <w:spacing w:before="120" w:after="0"/>
        <w:ind w:left="0"/>
        <w:jc w:val="center"/>
        <w:rPr>
          <w:rFonts w:ascii="Book Antiqua" w:hAnsi="Book Antiqua"/>
          <w:b/>
          <w:bCs/>
        </w:rPr>
      </w:pPr>
      <w:r w:rsidRPr="0084558B">
        <w:rPr>
          <w:rFonts w:ascii="Book Antiqua" w:hAnsi="Book Antiqua"/>
          <w:b/>
          <w:bCs/>
        </w:rPr>
        <w:t>§ 4</w:t>
      </w:r>
    </w:p>
    <w:p w:rsidR="00880DFE" w:rsidRPr="0084558B" w:rsidP="009507E9">
      <w:pPr>
        <w:pStyle w:val="ListParagraph"/>
        <w:bidi w:val="0"/>
        <w:spacing w:before="120" w:after="0"/>
        <w:ind w:left="0"/>
        <w:jc w:val="center"/>
        <w:rPr>
          <w:rFonts w:ascii="Book Antiqua" w:hAnsi="Book Antiqua"/>
          <w:b/>
          <w:bCs/>
        </w:rPr>
      </w:pPr>
      <w:r w:rsidRPr="0084558B">
        <w:rPr>
          <w:rFonts w:ascii="Book Antiqua" w:hAnsi="Book Antiqua"/>
          <w:b/>
          <w:bCs/>
        </w:rPr>
        <w:t>Podmienky poskytnutia čiastočného odškodnenia</w:t>
      </w:r>
    </w:p>
    <w:p w:rsidR="00880DFE" w:rsidRPr="0084558B" w:rsidP="009507E9">
      <w:pPr>
        <w:bidi w:val="0"/>
        <w:spacing w:before="120" w:line="276" w:lineRule="auto"/>
        <w:jc w:val="both"/>
        <w:rPr>
          <w:rFonts w:ascii="Book Antiqua" w:hAnsi="Book Antiqua"/>
          <w:bCs/>
          <w:sz w:val="22"/>
          <w:szCs w:val="22"/>
        </w:rPr>
      </w:pPr>
      <w:r w:rsidRPr="0084558B">
        <w:rPr>
          <w:rFonts w:ascii="Book Antiqua" w:hAnsi="Book Antiqua"/>
          <w:bCs/>
          <w:sz w:val="22"/>
          <w:szCs w:val="22"/>
        </w:rPr>
        <w:t>(1) Čiastočné odškodnenie sa poskytne oprávnenej osobe, ktorá podala na príslušnom orgáne, ktorým je Ministerstvo financií Slovenskej republiky (ďalej len „mi</w:t>
      </w:r>
      <w:r w:rsidRPr="0084558B" w:rsidR="00DC2C99">
        <w:rPr>
          <w:rFonts w:ascii="Book Antiqua" w:hAnsi="Book Antiqua"/>
          <w:bCs/>
          <w:sz w:val="22"/>
          <w:szCs w:val="22"/>
        </w:rPr>
        <w:t xml:space="preserve">nisterstvo“) žiadosť </w:t>
      </w:r>
      <w:r w:rsidRPr="0084558B" w:rsidR="00DC2C99">
        <w:rPr>
          <w:rFonts w:ascii="Book Antiqua" w:hAnsi="Book Antiqua"/>
          <w:sz w:val="22"/>
          <w:szCs w:val="22"/>
        </w:rPr>
        <w:t xml:space="preserve">o poskytnutie čiastočného odškodnenia (ďalej len „žiadosť“) </w:t>
      </w:r>
      <w:r w:rsidRPr="0084558B" w:rsidR="00DC2C99">
        <w:rPr>
          <w:rFonts w:ascii="Book Antiqua" w:hAnsi="Book Antiqua"/>
          <w:bCs/>
          <w:sz w:val="22"/>
          <w:szCs w:val="22"/>
        </w:rPr>
        <w:t>v </w:t>
      </w:r>
      <w:r w:rsidRPr="0084558B">
        <w:rPr>
          <w:rFonts w:ascii="Book Antiqua" w:hAnsi="Book Antiqua"/>
          <w:bCs/>
          <w:sz w:val="22"/>
          <w:szCs w:val="22"/>
        </w:rPr>
        <w:t>lehote</w:t>
      </w:r>
      <w:r w:rsidRPr="0084558B" w:rsidR="00DC2C99">
        <w:rPr>
          <w:rFonts w:ascii="Book Antiqua" w:hAnsi="Book Antiqua"/>
          <w:bCs/>
          <w:sz w:val="22"/>
          <w:szCs w:val="22"/>
        </w:rPr>
        <w:t xml:space="preserve"> podľa § 6 ods. 1</w:t>
      </w:r>
      <w:r w:rsidRPr="0084558B">
        <w:rPr>
          <w:rFonts w:ascii="Book Antiqua" w:hAnsi="Book Antiqua"/>
          <w:bCs/>
          <w:sz w:val="22"/>
          <w:szCs w:val="22"/>
        </w:rPr>
        <w:t>, ak</w:t>
      </w:r>
    </w:p>
    <w:p w:rsidR="00880DFE" w:rsidRPr="0084558B" w:rsidP="003E60C5">
      <w:pPr>
        <w:pStyle w:val="ListParagraph"/>
        <w:numPr>
          <w:numId w:val="18"/>
        </w:numPr>
        <w:bidi w:val="0"/>
        <w:spacing w:before="120"/>
        <w:jc w:val="both"/>
        <w:rPr>
          <w:rFonts w:ascii="Book Antiqua" w:hAnsi="Book Antiqua"/>
          <w:bCs/>
        </w:rPr>
      </w:pPr>
      <w:r w:rsidRPr="0084558B">
        <w:rPr>
          <w:rFonts w:ascii="Book Antiqua" w:hAnsi="Book Antiqua"/>
          <w:bCs/>
        </w:rPr>
        <w:t>preukáže, že ako klient uzatvorila zmluvu s nebankovým subjektom,</w:t>
      </w:r>
    </w:p>
    <w:p w:rsidR="00880DFE" w:rsidRPr="0084558B" w:rsidP="003E60C5">
      <w:pPr>
        <w:pStyle w:val="ListParagraph"/>
        <w:numPr>
          <w:numId w:val="18"/>
        </w:numPr>
        <w:bidi w:val="0"/>
        <w:spacing w:before="120"/>
        <w:jc w:val="both"/>
        <w:rPr>
          <w:rFonts w:ascii="Book Antiqua" w:hAnsi="Book Antiqua"/>
          <w:bCs/>
        </w:rPr>
      </w:pPr>
      <w:r w:rsidRPr="0084558B">
        <w:rPr>
          <w:rFonts w:ascii="Book Antiqua" w:hAnsi="Book Antiqua"/>
          <w:bCs/>
        </w:rPr>
        <w:t xml:space="preserve">predloží doklad o vrátení alebo vyplatení </w:t>
      </w:r>
      <w:r w:rsidRPr="0084558B" w:rsidR="00EA2047">
        <w:rPr>
          <w:rFonts w:ascii="Book Antiqua" w:hAnsi="Book Antiqua"/>
          <w:bCs/>
        </w:rPr>
        <w:t>časti jej podielu</w:t>
      </w:r>
      <w:r w:rsidRPr="0084558B">
        <w:rPr>
          <w:rFonts w:ascii="Book Antiqua" w:hAnsi="Book Antiqua"/>
          <w:bCs/>
        </w:rPr>
        <w:t xml:space="preserve"> nebankovým subjektom </w:t>
      </w:r>
      <w:r w:rsidRPr="0084558B" w:rsidR="00CE055D">
        <w:rPr>
          <w:rFonts w:ascii="Book Antiqua" w:hAnsi="Book Antiqua"/>
          <w:bCs/>
        </w:rPr>
        <w:t xml:space="preserve">alebo podielu na zisku nebankového subjektu z tohto podielu alebo z podielu na výsledku podnikania nebankového subjektu z tohto podielu (ďalej len „výnos z podielu“) </w:t>
      </w:r>
      <w:r w:rsidRPr="0084558B">
        <w:rPr>
          <w:rFonts w:ascii="Book Antiqua" w:hAnsi="Book Antiqua"/>
          <w:bCs/>
        </w:rPr>
        <w:t xml:space="preserve">alebo predloží čestné vyhlásenie, že </w:t>
      </w:r>
      <w:r w:rsidRPr="0084558B" w:rsidR="00EA2047">
        <w:rPr>
          <w:rFonts w:ascii="Book Antiqua" w:hAnsi="Book Antiqua"/>
          <w:bCs/>
        </w:rPr>
        <w:t>jej nebankovým subjektom nebola vrátená alebo vyplatená ani časť jej podielu</w:t>
      </w:r>
      <w:r w:rsidRPr="0084558B">
        <w:rPr>
          <w:rFonts w:ascii="Book Antiqua" w:hAnsi="Book Antiqua"/>
          <w:bCs/>
        </w:rPr>
        <w:t>,</w:t>
      </w:r>
      <w:r w:rsidRPr="0084558B" w:rsidR="00CE055D">
        <w:rPr>
          <w:rFonts w:ascii="Book Antiqua" w:hAnsi="Book Antiqua"/>
          <w:bCs/>
        </w:rPr>
        <w:t xml:space="preserve"> ako ani žiadne výnosy z podielu,</w:t>
      </w:r>
    </w:p>
    <w:p w:rsidR="00880DFE" w:rsidRPr="0084558B" w:rsidP="00001408">
      <w:pPr>
        <w:pStyle w:val="ListParagraph"/>
        <w:numPr>
          <w:numId w:val="18"/>
        </w:numPr>
        <w:bidi w:val="0"/>
        <w:spacing w:before="120"/>
        <w:jc w:val="both"/>
        <w:rPr>
          <w:rFonts w:ascii="Book Antiqua" w:hAnsi="Book Antiqua"/>
          <w:bCs/>
        </w:rPr>
      </w:pPr>
      <w:r w:rsidRPr="0084558B">
        <w:rPr>
          <w:rFonts w:ascii="Book Antiqua" w:hAnsi="Book Antiqua"/>
          <w:bCs/>
        </w:rPr>
        <w:t>preukáže, že podala návrh na vyhlásenie konkurzu</w:t>
      </w:r>
      <w:r>
        <w:rPr>
          <w:rStyle w:val="FootnoteReference"/>
          <w:rFonts w:ascii="Book Antiqua" w:hAnsi="Book Antiqua"/>
          <w:color w:val="000000"/>
          <w:rtl w:val="0"/>
        </w:rPr>
        <w:footnoteReference w:id="10"/>
      </w:r>
      <w:r w:rsidRPr="0084558B">
        <w:rPr>
          <w:rFonts w:ascii="Book Antiqua" w:hAnsi="Book Antiqua"/>
          <w:color w:val="000000"/>
          <w:vertAlign w:val="superscript"/>
        </w:rPr>
        <w:t>)</w:t>
      </w:r>
      <w:r w:rsidRPr="0084558B">
        <w:rPr>
          <w:rFonts w:ascii="Book Antiqua" w:hAnsi="Book Antiqua"/>
          <w:bCs/>
        </w:rPr>
        <w:t xml:space="preserve"> nebankového subjektu a zaplatila príslušný preddavok</w:t>
      </w:r>
      <w:r>
        <w:rPr>
          <w:rStyle w:val="FootnoteReference"/>
          <w:rFonts w:ascii="Book Antiqua" w:hAnsi="Book Antiqua"/>
          <w:color w:val="000000"/>
          <w:rtl w:val="0"/>
        </w:rPr>
        <w:footnoteReference w:id="11"/>
      </w:r>
      <w:r w:rsidRPr="0084558B">
        <w:rPr>
          <w:rFonts w:ascii="Book Antiqua" w:hAnsi="Book Antiqua"/>
          <w:color w:val="000000"/>
          <w:vertAlign w:val="superscript"/>
        </w:rPr>
        <w:t>)</w:t>
      </w:r>
      <w:r w:rsidRPr="0084558B">
        <w:rPr>
          <w:rFonts w:ascii="Book Antiqua" w:hAnsi="Book Antiqua"/>
          <w:bCs/>
        </w:rPr>
        <w:t xml:space="preserve"> alebo ak preukáže, že riadne a včas prihlásila</w:t>
      </w:r>
      <w:r>
        <w:rPr>
          <w:rStyle w:val="FootnoteReference"/>
          <w:rFonts w:ascii="Book Antiqua" w:hAnsi="Book Antiqua"/>
          <w:color w:val="000000"/>
          <w:rtl w:val="0"/>
        </w:rPr>
        <w:footnoteReference w:id="12"/>
      </w:r>
      <w:r w:rsidRPr="0084558B">
        <w:rPr>
          <w:rFonts w:ascii="Book Antiqua" w:hAnsi="Book Antiqua"/>
          <w:color w:val="000000"/>
          <w:vertAlign w:val="superscript"/>
        </w:rPr>
        <w:t>)</w:t>
      </w:r>
      <w:r w:rsidRPr="0084558B">
        <w:rPr>
          <w:rFonts w:ascii="Book Antiqua" w:hAnsi="Book Antiqua"/>
          <w:bCs/>
        </w:rPr>
        <w:t xml:space="preserve"> svoju pohľadávku do konkurzu voči nebankovému subjektu,</w:t>
      </w:r>
      <w:r w:rsidRPr="0084558B" w:rsidR="00EA2047">
        <w:rPr>
          <w:rFonts w:ascii="Book Antiqua" w:hAnsi="Book Antiqua"/>
          <w:bCs/>
        </w:rPr>
        <w:t xml:space="preserve"> ak </w:t>
      </w:r>
      <w:r w:rsidRPr="0084558B" w:rsidR="00B04EF9">
        <w:rPr>
          <w:rFonts w:ascii="Book Antiqua" w:hAnsi="Book Antiqua"/>
          <w:bCs/>
        </w:rPr>
        <w:t>nepredloží doklad podľa písmena d) alebo e),</w:t>
      </w:r>
    </w:p>
    <w:p w:rsidR="00880DFE" w:rsidRPr="0084558B" w:rsidP="00001408">
      <w:pPr>
        <w:pStyle w:val="ListParagraph"/>
        <w:numPr>
          <w:numId w:val="18"/>
        </w:numPr>
        <w:bidi w:val="0"/>
        <w:spacing w:before="120"/>
        <w:jc w:val="both"/>
        <w:rPr>
          <w:rFonts w:ascii="Book Antiqua" w:hAnsi="Book Antiqua"/>
          <w:bCs/>
        </w:rPr>
      </w:pPr>
      <w:r w:rsidRPr="0084558B">
        <w:rPr>
          <w:rFonts w:ascii="Book Antiqua" w:hAnsi="Book Antiqua"/>
          <w:bCs/>
        </w:rPr>
        <w:t>predloží doklad preukazujúci ukončenie konkurzu</w:t>
      </w:r>
      <w:r>
        <w:rPr>
          <w:rStyle w:val="FootnoteReference"/>
          <w:rFonts w:ascii="Book Antiqua" w:hAnsi="Book Antiqua"/>
          <w:color w:val="000000"/>
          <w:rtl w:val="0"/>
        </w:rPr>
        <w:footnoteReference w:id="13"/>
      </w:r>
      <w:r w:rsidRPr="0084558B">
        <w:rPr>
          <w:rFonts w:ascii="Book Antiqua" w:hAnsi="Book Antiqua"/>
          <w:color w:val="000000"/>
          <w:vertAlign w:val="superscript"/>
        </w:rPr>
        <w:t>)</w:t>
      </w:r>
      <w:r w:rsidRPr="0084558B">
        <w:rPr>
          <w:rFonts w:ascii="Book Antiqua" w:hAnsi="Book Antiqua"/>
          <w:bCs/>
        </w:rPr>
        <w:t xml:space="preserve"> a výšku uspokojenej pohľadávky v konkurznom k</w:t>
      </w:r>
      <w:r w:rsidRPr="0084558B" w:rsidR="00B04EF9">
        <w:rPr>
          <w:rFonts w:ascii="Book Antiqua" w:hAnsi="Book Antiqua"/>
          <w:bCs/>
        </w:rPr>
        <w:t>onaní voči nebankovému subjektu, ak nepreukáže skutočnosti podľa písmena c) alebo nepredloží doklad podľa písmena e),</w:t>
      </w:r>
    </w:p>
    <w:p w:rsidR="00B04EF9" w:rsidRPr="0084558B" w:rsidP="00B04EF9">
      <w:pPr>
        <w:pStyle w:val="ListParagraph"/>
        <w:numPr>
          <w:numId w:val="18"/>
        </w:numPr>
        <w:bidi w:val="0"/>
        <w:spacing w:before="120"/>
        <w:jc w:val="both"/>
        <w:rPr>
          <w:rFonts w:ascii="Book Antiqua" w:hAnsi="Book Antiqua"/>
          <w:bCs/>
        </w:rPr>
      </w:pPr>
      <w:r w:rsidRPr="0084558B">
        <w:rPr>
          <w:rFonts w:ascii="Book Antiqua" w:hAnsi="Book Antiqua"/>
          <w:bCs/>
        </w:rPr>
        <w:t>predloží doklad preukazujúci skončenie podnikania nebankového subjektu, ak nepreukáže skutočnosti podľa písmena c) alebo nep</w:t>
      </w:r>
      <w:r w:rsidRPr="0084558B" w:rsidR="00041A76">
        <w:rPr>
          <w:rFonts w:ascii="Book Antiqua" w:hAnsi="Book Antiqua"/>
          <w:bCs/>
        </w:rPr>
        <w:t>redloží doklad podľa písmena d),</w:t>
      </w:r>
    </w:p>
    <w:p w:rsidR="00041A76" w:rsidRPr="0084558B" w:rsidP="00B04EF9">
      <w:pPr>
        <w:pStyle w:val="ListParagraph"/>
        <w:numPr>
          <w:numId w:val="18"/>
        </w:numPr>
        <w:bidi w:val="0"/>
        <w:spacing w:before="120"/>
        <w:jc w:val="both"/>
        <w:rPr>
          <w:rFonts w:ascii="Book Antiqua" w:hAnsi="Book Antiqua"/>
          <w:bCs/>
        </w:rPr>
      </w:pPr>
      <w:r w:rsidRPr="0084558B">
        <w:rPr>
          <w:rFonts w:ascii="Book Antiqua" w:hAnsi="Book Antiqua"/>
          <w:bCs/>
        </w:rPr>
        <w:t>preukáže, že zaplatila príslušnú daň</w:t>
      </w:r>
      <w:r>
        <w:rPr>
          <w:rStyle w:val="FootnoteReference"/>
          <w:rFonts w:ascii="Book Antiqua" w:hAnsi="Book Antiqua"/>
          <w:color w:val="000000"/>
          <w:rtl w:val="0"/>
        </w:rPr>
        <w:footnoteReference w:id="14"/>
      </w:r>
      <w:r w:rsidRPr="0084558B" w:rsidR="004A0829">
        <w:rPr>
          <w:rFonts w:ascii="Book Antiqua" w:hAnsi="Book Antiqua"/>
          <w:color w:val="000000"/>
          <w:vertAlign w:val="superscript"/>
        </w:rPr>
        <w:t>)</w:t>
      </w:r>
      <w:r w:rsidRPr="0084558B" w:rsidR="004A0829">
        <w:rPr>
          <w:rFonts w:ascii="Book Antiqua" w:hAnsi="Book Antiqua"/>
          <w:bCs/>
        </w:rPr>
        <w:t xml:space="preserve"> z</w:t>
      </w:r>
      <w:r w:rsidRPr="0084558B" w:rsidR="00CE055D">
        <w:rPr>
          <w:rFonts w:ascii="Book Antiqua" w:hAnsi="Book Antiqua"/>
          <w:bCs/>
        </w:rPr>
        <w:t xml:space="preserve"> výnosu z </w:t>
      </w:r>
      <w:r w:rsidRPr="0084558B" w:rsidR="004A0829">
        <w:rPr>
          <w:rFonts w:ascii="Book Antiqua" w:hAnsi="Book Antiqua"/>
          <w:bCs/>
        </w:rPr>
        <w:t>p</w:t>
      </w:r>
      <w:r w:rsidRPr="0084558B" w:rsidR="00CE055D">
        <w:rPr>
          <w:rFonts w:ascii="Book Antiqua" w:hAnsi="Book Antiqua"/>
          <w:bCs/>
        </w:rPr>
        <w:t>odielu</w:t>
      </w:r>
      <w:r w:rsidRPr="0084558B" w:rsidR="004A0829">
        <w:rPr>
          <w:rFonts w:ascii="Book Antiqua" w:hAnsi="Book Antiqua"/>
          <w:bCs/>
        </w:rPr>
        <w:t xml:space="preserve">, ak jej takýto </w:t>
      </w:r>
      <w:r w:rsidRPr="0084558B" w:rsidR="00F91398">
        <w:rPr>
          <w:rFonts w:ascii="Book Antiqua" w:hAnsi="Book Antiqua"/>
          <w:bCs/>
        </w:rPr>
        <w:t>výnos</w:t>
      </w:r>
      <w:r w:rsidRPr="0084558B" w:rsidR="004A0829">
        <w:rPr>
          <w:rFonts w:ascii="Book Antiqua" w:hAnsi="Book Antiqua"/>
          <w:bCs/>
        </w:rPr>
        <w:t xml:space="preserve"> bol do skončenia činnosti nebankového subjektu alebo do skončenia konkurzu voči nebankovému subjektu vyplatený.</w:t>
      </w:r>
    </w:p>
    <w:p w:rsidR="00880DFE" w:rsidRPr="0084558B" w:rsidP="003B72E7">
      <w:pPr>
        <w:bidi w:val="0"/>
        <w:spacing w:before="120" w:line="276" w:lineRule="auto"/>
        <w:jc w:val="both"/>
        <w:rPr>
          <w:rFonts w:ascii="Book Antiqua" w:hAnsi="Book Antiqua"/>
          <w:bCs/>
          <w:sz w:val="22"/>
          <w:szCs w:val="22"/>
        </w:rPr>
      </w:pPr>
      <w:r w:rsidRPr="0084558B">
        <w:rPr>
          <w:rFonts w:ascii="Book Antiqua" w:hAnsi="Book Antiqua"/>
          <w:bCs/>
          <w:sz w:val="22"/>
          <w:szCs w:val="22"/>
        </w:rPr>
        <w:t xml:space="preserve">(2) Ak bola oprávnenej osobe spôsobená majetková ujma viacerými nebankovými subjektmi, čiastočné odškodnenie sa jej poskytne za </w:t>
      </w:r>
      <w:r w:rsidR="0084558B">
        <w:rPr>
          <w:rFonts w:ascii="Book Antiqua" w:hAnsi="Book Antiqua"/>
          <w:bCs/>
          <w:sz w:val="22"/>
          <w:szCs w:val="22"/>
        </w:rPr>
        <w:t>ktorýkoľvek z týchto subjektov alebo za viacero t</w:t>
      </w:r>
      <w:r w:rsidR="008E267E">
        <w:rPr>
          <w:rFonts w:ascii="Book Antiqua" w:hAnsi="Book Antiqua"/>
          <w:bCs/>
          <w:sz w:val="22"/>
          <w:szCs w:val="22"/>
        </w:rPr>
        <w:t>ak</w:t>
      </w:r>
      <w:r w:rsidR="0084558B">
        <w:rPr>
          <w:rFonts w:ascii="Book Antiqua" w:hAnsi="Book Antiqua"/>
          <w:bCs/>
          <w:sz w:val="22"/>
          <w:szCs w:val="22"/>
        </w:rPr>
        <w:t>ýchto subjektov podľa jej výberu</w:t>
      </w:r>
      <w:r w:rsidRPr="0084558B">
        <w:rPr>
          <w:rFonts w:ascii="Book Antiqua" w:hAnsi="Book Antiqua"/>
          <w:bCs/>
          <w:sz w:val="22"/>
          <w:szCs w:val="22"/>
        </w:rPr>
        <w:t xml:space="preserve">, ale len do maximálnej výšky </w:t>
      </w:r>
      <w:r w:rsidRPr="0084558B" w:rsidR="00B04EF9">
        <w:rPr>
          <w:rFonts w:ascii="Book Antiqua" w:hAnsi="Book Antiqua"/>
          <w:bCs/>
          <w:sz w:val="22"/>
          <w:szCs w:val="22"/>
        </w:rPr>
        <w:t xml:space="preserve">čiastočného odškodnenia </w:t>
      </w:r>
      <w:r w:rsidRPr="0084558B">
        <w:rPr>
          <w:rFonts w:ascii="Book Antiqua" w:hAnsi="Book Antiqua"/>
          <w:bCs/>
          <w:sz w:val="22"/>
          <w:szCs w:val="22"/>
        </w:rPr>
        <w:t>uvedenej v § 5 ods. 1.</w:t>
      </w:r>
    </w:p>
    <w:p w:rsidR="00B04EF9" w:rsidRPr="0084558B" w:rsidP="003B72E7">
      <w:pPr>
        <w:bidi w:val="0"/>
        <w:spacing w:before="120" w:line="276" w:lineRule="auto"/>
        <w:jc w:val="both"/>
        <w:rPr>
          <w:rFonts w:ascii="Book Antiqua" w:hAnsi="Book Antiqua"/>
          <w:bCs/>
          <w:sz w:val="22"/>
          <w:szCs w:val="22"/>
        </w:rPr>
      </w:pPr>
      <w:r w:rsidRPr="0084558B">
        <w:rPr>
          <w:rFonts w:ascii="Book Antiqua" w:hAnsi="Book Antiqua"/>
          <w:bCs/>
          <w:sz w:val="22"/>
          <w:szCs w:val="22"/>
        </w:rPr>
        <w:t>(3) Čiastočné odškodnenie sa oprávnenej osobe poskytne len pod podmienkou, že nebankový subjekt aspoň v jednom prípade preukázateľne ponúkal klientom možnosť podieľať sa na jeho podnikaní aj prostredníctvom verejnoprávneho vysielateľa</w:t>
      </w:r>
      <w:r w:rsidRPr="0084558B">
        <w:rPr>
          <w:rFonts w:ascii="Book Antiqua" w:hAnsi="Book Antiqua"/>
          <w:color w:val="000000"/>
          <w:sz w:val="22"/>
          <w:szCs w:val="22"/>
        </w:rPr>
        <w:t>.</w:t>
      </w:r>
    </w:p>
    <w:p w:rsidR="00880DFE" w:rsidRPr="0084558B" w:rsidP="003B72E7">
      <w:pPr>
        <w:bidi w:val="0"/>
        <w:spacing w:before="120" w:line="276" w:lineRule="auto"/>
        <w:jc w:val="both"/>
        <w:rPr>
          <w:rFonts w:ascii="Book Antiqua" w:hAnsi="Book Antiqua"/>
          <w:bCs/>
          <w:sz w:val="22"/>
          <w:szCs w:val="22"/>
        </w:rPr>
      </w:pPr>
    </w:p>
    <w:p w:rsidR="00880DFE" w:rsidRPr="0084558B" w:rsidP="003B72E7">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5</w:t>
      </w:r>
    </w:p>
    <w:p w:rsidR="00880DFE" w:rsidRPr="0084558B" w:rsidP="003B72E7">
      <w:pPr>
        <w:bidi w:val="0"/>
        <w:spacing w:before="120" w:line="276" w:lineRule="auto"/>
        <w:jc w:val="center"/>
        <w:rPr>
          <w:rFonts w:ascii="Book Antiqua" w:hAnsi="Book Antiqua"/>
          <w:b/>
          <w:bCs/>
          <w:sz w:val="22"/>
          <w:szCs w:val="22"/>
        </w:rPr>
      </w:pPr>
      <w:r w:rsidRPr="0084558B">
        <w:rPr>
          <w:rFonts w:ascii="Book Antiqua" w:hAnsi="Book Antiqua"/>
          <w:b/>
          <w:bCs/>
          <w:sz w:val="22"/>
          <w:szCs w:val="22"/>
        </w:rPr>
        <w:t>Výška čiastočného odškodnenia</w:t>
      </w:r>
    </w:p>
    <w:p w:rsidR="00880DFE" w:rsidRPr="0084558B" w:rsidP="00C50AE8">
      <w:pPr>
        <w:bidi w:val="0"/>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Pri určení výšky čiastočného odškodnenia sa vychádza z výšky podielu oprávnenej osoby. Maximálna výška podielu oprávnenej osoby, ktorý sa zohľadňuje pri poskytovaní čiastočného odškodnenia, je 33 000 eur a maximálna výška čiastočného odškodnenia pre jednu oprávnenú osobu </w:t>
      </w:r>
      <w:r w:rsidRPr="0084558B" w:rsidR="00CE055D">
        <w:rPr>
          <w:rFonts w:ascii="Book Antiqua" w:hAnsi="Book Antiqua"/>
          <w:sz w:val="22"/>
          <w:szCs w:val="22"/>
        </w:rPr>
        <w:t xml:space="preserve">z tohto podielu </w:t>
      </w:r>
      <w:r w:rsidRPr="0084558B">
        <w:rPr>
          <w:rFonts w:ascii="Book Antiqua" w:hAnsi="Book Antiqua"/>
          <w:sz w:val="22"/>
          <w:szCs w:val="22"/>
        </w:rPr>
        <w:t>je 13 200 eur.</w:t>
      </w:r>
    </w:p>
    <w:p w:rsidR="00880DFE" w:rsidRPr="0084558B" w:rsidP="00C50AE8">
      <w:pPr>
        <w:bidi w:val="0"/>
        <w:spacing w:before="120" w:line="276" w:lineRule="auto"/>
        <w:jc w:val="both"/>
        <w:rPr>
          <w:rFonts w:ascii="Book Antiqua" w:hAnsi="Book Antiqua"/>
          <w:sz w:val="22"/>
          <w:szCs w:val="22"/>
        </w:rPr>
      </w:pPr>
      <w:r w:rsidRPr="0084558B">
        <w:rPr>
          <w:rFonts w:ascii="Book Antiqua" w:hAnsi="Book Antiqua"/>
          <w:sz w:val="22"/>
          <w:szCs w:val="22"/>
        </w:rPr>
        <w:t xml:space="preserve">(2) Pri určení výšky čiastočného odškodnenia sa od podielu oprávnenej osoby odpočíta suma finančných prostriedkov, ktorú nebankový subjekt preukázateľne vrátil alebo vyplatil oprávnenej osobe, ako aj suma uspokojenej pohľadávky oprávnenej osoby v konkurznom konaní voči takémuto nebankovému subjektu, a to </w:t>
      </w:r>
      <w:r w:rsidRPr="0084558B" w:rsidR="00B04EF9">
        <w:rPr>
          <w:rFonts w:ascii="Book Antiqua" w:hAnsi="Book Antiqua"/>
          <w:sz w:val="22"/>
          <w:szCs w:val="22"/>
        </w:rPr>
        <w:t xml:space="preserve">pri zohľadnení maximálnej výšky čiastočného odškodnenia </w:t>
      </w:r>
      <w:r w:rsidRPr="0084558B">
        <w:rPr>
          <w:rFonts w:ascii="Book Antiqua" w:hAnsi="Book Antiqua"/>
          <w:sz w:val="22"/>
          <w:szCs w:val="22"/>
        </w:rPr>
        <w:t>uvedenej v odseku 1. Takto vypočítaná suma sa následne vynásobí príslušnými koeficientmi takto</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do 10 000 eur koeficientom 0,5,</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10 001 eur do 13 000 eur koeficientom 0,48,</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13 001 eur do 16 000 eur  koeficientom 0,46,</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16 001 eur do 20 000 eur koeficientom 0,44,</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20 001 eur do 23 000 eur koeficientom 0,42,</w:t>
      </w:r>
    </w:p>
    <w:p w:rsidR="00880DFE" w:rsidRPr="0084558B" w:rsidP="00C50AE8">
      <w:pPr>
        <w:pStyle w:val="ListParagraph"/>
        <w:numPr>
          <w:numId w:val="19"/>
        </w:numPr>
        <w:bidi w:val="0"/>
        <w:spacing w:before="120"/>
        <w:jc w:val="both"/>
        <w:rPr>
          <w:rFonts w:ascii="Book Antiqua" w:hAnsi="Book Antiqua"/>
        </w:rPr>
      </w:pPr>
      <w:r w:rsidRPr="0084558B">
        <w:rPr>
          <w:rFonts w:ascii="Book Antiqua" w:hAnsi="Book Antiqua"/>
        </w:rPr>
        <w:t>pri podiele vo výške od 23 001 eur do 33 000 eur koeficientom 0,4.</w:t>
      </w:r>
    </w:p>
    <w:p w:rsidR="00880DFE" w:rsidRPr="0084558B" w:rsidP="00D212CB">
      <w:pPr>
        <w:bidi w:val="0"/>
        <w:spacing w:before="120"/>
        <w:jc w:val="both"/>
        <w:rPr>
          <w:rFonts w:ascii="Book Antiqua" w:hAnsi="Book Antiqua"/>
          <w:sz w:val="22"/>
          <w:szCs w:val="22"/>
        </w:rPr>
      </w:pPr>
      <w:r w:rsidRPr="0084558B">
        <w:rPr>
          <w:rFonts w:ascii="Book Antiqua" w:hAnsi="Book Antiqua"/>
          <w:sz w:val="22"/>
          <w:szCs w:val="22"/>
        </w:rPr>
        <w:t>(3) Výsledná suma vypočítaná podľa odseku 2 pri zohľadnení maximálnej výšky podľa odseku 1 je suma vo výške, v akej sa oprávnenej osobe poskytne čiastočné odškodnenie.</w:t>
      </w:r>
    </w:p>
    <w:p w:rsidR="00880DFE" w:rsidRPr="0084558B" w:rsidP="00D212CB">
      <w:pPr>
        <w:bidi w:val="0"/>
        <w:spacing w:before="120"/>
        <w:jc w:val="both"/>
        <w:rPr>
          <w:rFonts w:ascii="Book Antiqua" w:hAnsi="Book Antiqua"/>
          <w:sz w:val="22"/>
          <w:szCs w:val="22"/>
        </w:rPr>
      </w:pPr>
    </w:p>
    <w:p w:rsidR="00880DFE" w:rsidRPr="0084558B" w:rsidP="00D212CB">
      <w:pPr>
        <w:bidi w:val="0"/>
        <w:spacing w:before="120"/>
        <w:jc w:val="center"/>
        <w:rPr>
          <w:rFonts w:ascii="Book Antiqua" w:hAnsi="Book Antiqua"/>
          <w:b/>
          <w:bCs/>
          <w:sz w:val="22"/>
          <w:szCs w:val="22"/>
        </w:rPr>
      </w:pPr>
      <w:r w:rsidRPr="0084558B">
        <w:rPr>
          <w:rFonts w:ascii="Book Antiqua" w:hAnsi="Book Antiqua"/>
          <w:b/>
          <w:bCs/>
          <w:sz w:val="22"/>
          <w:szCs w:val="22"/>
        </w:rPr>
        <w:t>§ 6</w:t>
      </w:r>
    </w:p>
    <w:p w:rsidR="00880DFE" w:rsidRPr="0084558B" w:rsidP="00D212CB">
      <w:pPr>
        <w:bidi w:val="0"/>
        <w:spacing w:before="120"/>
        <w:jc w:val="center"/>
        <w:rPr>
          <w:rFonts w:ascii="Book Antiqua" w:hAnsi="Book Antiqua"/>
          <w:sz w:val="22"/>
          <w:szCs w:val="22"/>
        </w:rPr>
      </w:pPr>
      <w:r w:rsidRPr="0084558B">
        <w:rPr>
          <w:rFonts w:ascii="Book Antiqua" w:hAnsi="Book Antiqua"/>
          <w:b/>
          <w:bCs/>
          <w:sz w:val="22"/>
          <w:szCs w:val="22"/>
        </w:rPr>
        <w:t>Postup pri poskytnutí čiastočného odškodnenia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bCs/>
          <w:sz w:val="22"/>
          <w:szCs w:val="22"/>
        </w:rPr>
        <w:t>(1)</w:t>
      </w:r>
      <w:r w:rsidRPr="0084558B">
        <w:rPr>
          <w:rFonts w:ascii="Book Antiqua" w:hAnsi="Book Antiqua"/>
          <w:sz w:val="22"/>
          <w:szCs w:val="22"/>
        </w:rPr>
        <w:t xml:space="preserve"> Žiad</w:t>
      </w:r>
      <w:r w:rsidRPr="0084558B" w:rsidR="00DC2C99">
        <w:rPr>
          <w:rFonts w:ascii="Book Antiqua" w:hAnsi="Book Antiqua"/>
          <w:sz w:val="22"/>
          <w:szCs w:val="22"/>
        </w:rPr>
        <w:t xml:space="preserve">osť </w:t>
      </w:r>
      <w:r w:rsidRPr="0084558B">
        <w:rPr>
          <w:rFonts w:ascii="Book Antiqua" w:hAnsi="Book Antiqua"/>
          <w:sz w:val="22"/>
          <w:szCs w:val="22"/>
        </w:rPr>
        <w:t>môže oprávnená osoba podať ministerstvu do jedného roka od skončenia podnikania nebankového subjektu, ktorého sa žiadosť týka, do jedného roka od skončenia konkurzného konania voči nebankovému subjektu, ktorého sa žiadosť týka, alebo do jedného roka od nadobudnutia účinnosti tohto zákona</w:t>
      </w:r>
      <w:r w:rsidRPr="0084558B" w:rsidR="004A0829">
        <w:rPr>
          <w:rFonts w:ascii="Book Antiqua" w:hAnsi="Book Antiqua"/>
          <w:sz w:val="22"/>
          <w:szCs w:val="22"/>
        </w:rPr>
        <w:t xml:space="preserve"> podľa toho, ktorá z týchto skutočností nastane neskôr</w:t>
      </w:r>
      <w:r w:rsidRPr="0084558B">
        <w:rPr>
          <w:rFonts w:ascii="Book Antiqua" w:hAnsi="Book Antiqua"/>
          <w:sz w:val="22"/>
          <w:szCs w:val="22"/>
        </w:rPr>
        <w:t>;</w:t>
      </w:r>
      <w:r w:rsidRPr="0084558B" w:rsidR="00B04EF9">
        <w:rPr>
          <w:rFonts w:ascii="Book Antiqua" w:hAnsi="Book Antiqua"/>
          <w:sz w:val="22"/>
          <w:szCs w:val="22"/>
        </w:rPr>
        <w:t xml:space="preserve"> inak </w:t>
      </w:r>
      <w:r w:rsidRPr="0084558B">
        <w:rPr>
          <w:rFonts w:ascii="Book Antiqua" w:hAnsi="Book Antiqua"/>
          <w:sz w:val="22"/>
          <w:szCs w:val="22"/>
        </w:rPr>
        <w:t>toto právo zaniká. Ak konkurzné konanie ešte nebolo ukončené, žiadosť možno podať najskôr po ukončení tohto konania. Na žiadosť po</w:t>
      </w:r>
      <w:r w:rsidRPr="0084558B" w:rsidR="00B04EF9">
        <w:rPr>
          <w:rFonts w:ascii="Book Antiqua" w:hAnsi="Book Antiqua"/>
          <w:sz w:val="22"/>
          <w:szCs w:val="22"/>
        </w:rPr>
        <w:t xml:space="preserve">danú po tejto lehote sa </w:t>
      </w:r>
      <w:r w:rsidRPr="0084558B">
        <w:rPr>
          <w:rFonts w:ascii="Book Antiqua" w:hAnsi="Book Antiqua"/>
          <w:sz w:val="22"/>
          <w:szCs w:val="22"/>
        </w:rPr>
        <w:t>neprihliada.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(2) Žiadosť sa musí podať osobitne vo vzťahu ku každému nebankovému subjektu, ktorý oprávnenej osobe spôsobil majetkovú ujmu.</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(3) Žiadosť obsahuje osobné údaje oprávnenej osoby v rozsahu meno a priezvisko, dátum narodenia a adresu bydliska oprávnenej osoby. K žiadosti je oprávnená osoba povinná pr</w:t>
      </w:r>
      <w:r w:rsidRPr="0084558B" w:rsidR="00A57355">
        <w:rPr>
          <w:rFonts w:ascii="Book Antiqua" w:hAnsi="Book Antiqua"/>
          <w:sz w:val="22"/>
          <w:szCs w:val="22"/>
        </w:rPr>
        <w:t xml:space="preserve">iložiť doklady preukazujúce </w:t>
      </w:r>
      <w:r w:rsidRPr="0084558B">
        <w:rPr>
          <w:rFonts w:ascii="Book Antiqua" w:hAnsi="Book Antiqua"/>
          <w:sz w:val="22"/>
          <w:szCs w:val="22"/>
        </w:rPr>
        <w:t>sku</w:t>
      </w:r>
      <w:r w:rsidRPr="0084558B" w:rsidR="00A57355">
        <w:rPr>
          <w:rFonts w:ascii="Book Antiqua" w:hAnsi="Book Antiqua"/>
          <w:sz w:val="22"/>
          <w:szCs w:val="22"/>
        </w:rPr>
        <w:t>točnosti podľa § 4 ods. 1</w:t>
      </w:r>
      <w:r w:rsidRPr="0084558B">
        <w:rPr>
          <w:rFonts w:ascii="Book Antiqua" w:hAnsi="Book Antiqua"/>
          <w:sz w:val="22"/>
          <w:szCs w:val="22"/>
        </w:rPr>
        <w:t>.</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(4) Žiadosť sa podáva na tlačive, ktorého vzor určí ministerstvo podľa § 8</w:t>
      </w:r>
      <w:r w:rsidRPr="0084558B" w:rsidR="005D4005">
        <w:rPr>
          <w:rFonts w:ascii="Book Antiqua" w:hAnsi="Book Antiqua"/>
          <w:sz w:val="22"/>
          <w:szCs w:val="22"/>
        </w:rPr>
        <w:t xml:space="preserve"> ods. 2 a uverejní ho na svojom webovom sídle. T</w:t>
      </w:r>
      <w:r w:rsidRPr="0084558B">
        <w:rPr>
          <w:rFonts w:ascii="Book Antiqua" w:hAnsi="Book Antiqua"/>
          <w:sz w:val="22"/>
          <w:szCs w:val="22"/>
        </w:rPr>
        <w:t>lačivá sú k dispozícii na ministerstve</w:t>
      </w:r>
      <w:r w:rsidRPr="0084558B" w:rsidR="005D4005">
        <w:rPr>
          <w:rFonts w:ascii="Book Antiqua" w:hAnsi="Book Antiqua"/>
          <w:sz w:val="22"/>
          <w:szCs w:val="22"/>
        </w:rPr>
        <w:t xml:space="preserve"> aj v písomnej forme.</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(5) Ministerstvo pri rozhodovaní o žiadosti posúdi, či je žiadateľ oprávnenou osobou</w:t>
      </w:r>
      <w:r w:rsidRPr="0084558B" w:rsidR="008D50BB">
        <w:rPr>
          <w:rFonts w:ascii="Book Antiqua" w:hAnsi="Book Antiqua"/>
          <w:sz w:val="22"/>
          <w:szCs w:val="22"/>
        </w:rPr>
        <w:t>, či spĺňa podmienky poskytnutia čiastočného odškodnenia podľa § 4</w:t>
      </w:r>
      <w:r w:rsidRPr="0084558B">
        <w:rPr>
          <w:rFonts w:ascii="Book Antiqua" w:hAnsi="Book Antiqua"/>
          <w:sz w:val="22"/>
          <w:szCs w:val="22"/>
        </w:rPr>
        <w:t xml:space="preserve"> a v akej výške podľa § 5 mu patrí čiastočné odškodnenie. Ministerstvo tiež posúdi, či bola žiadosť podaná v zákonnej lehote a či žiadateľ uviedol v žiadosti a jej prílohách pravdivé údaje. Ak žiadateľ uvedie v žiadosti alebo jej prílohách nepravdivé údaje, ministerstvo vydá rozhodnutie, ktorým žiadosť odmietne</w:t>
      </w:r>
      <w:r w:rsidRPr="0084558B" w:rsidR="00A57355">
        <w:rPr>
          <w:rFonts w:ascii="Book Antiqua" w:hAnsi="Book Antiqua"/>
          <w:sz w:val="22"/>
          <w:szCs w:val="22"/>
        </w:rPr>
        <w:t xml:space="preserve"> a čiastočné odškodnenie neprizná</w:t>
      </w:r>
      <w:r w:rsidRPr="0084558B">
        <w:rPr>
          <w:rFonts w:ascii="Book Antiqua" w:hAnsi="Book Antiqua"/>
          <w:sz w:val="22"/>
          <w:szCs w:val="22"/>
        </w:rPr>
        <w:t xml:space="preserve">. Ministerstvo zároveň overí, či nebankový subjekt, ktorého sa žiadosť týka, </w:t>
      </w:r>
      <w:r w:rsidRPr="0084558B">
        <w:rPr>
          <w:rFonts w:ascii="Book Antiqua" w:hAnsi="Book Antiqua"/>
          <w:bCs/>
          <w:sz w:val="22"/>
          <w:szCs w:val="22"/>
        </w:rPr>
        <w:t>ponúkal klientom možnosť podieľať sa na jeho podnikaní aj prostredníctvom verejnoprávneho vysielateľa; ak tomu tak nie je, ministerstvo vydá rozhodnutie, ktorým žiadosť odmietne</w:t>
      </w:r>
      <w:r w:rsidRPr="0084558B" w:rsidR="00A57355">
        <w:rPr>
          <w:rFonts w:ascii="Book Antiqua" w:hAnsi="Book Antiqua"/>
          <w:bCs/>
          <w:sz w:val="22"/>
          <w:szCs w:val="22"/>
        </w:rPr>
        <w:t xml:space="preserve"> a čiastočné odškodnenie neprizná</w:t>
      </w:r>
      <w:r w:rsidRPr="0084558B">
        <w:rPr>
          <w:rFonts w:ascii="Book Antiqua" w:hAnsi="Book Antiqua"/>
          <w:bCs/>
          <w:sz w:val="22"/>
          <w:szCs w:val="22"/>
        </w:rPr>
        <w:t>.</w:t>
      </w:r>
    </w:p>
    <w:p w:rsidR="00A57355" w:rsidRPr="0084558B" w:rsidP="00153127">
      <w:pPr>
        <w:bidi w:val="0"/>
        <w:spacing w:before="120" w:line="276" w:lineRule="auto"/>
        <w:jc w:val="both"/>
        <w:rPr>
          <w:rFonts w:ascii="Book Antiqua" w:hAnsi="Book Antiqua"/>
          <w:sz w:val="22"/>
          <w:szCs w:val="22"/>
        </w:rPr>
      </w:pPr>
      <w:r w:rsidRPr="0084558B" w:rsidR="00880DFE">
        <w:rPr>
          <w:rFonts w:ascii="Book Antiqua" w:hAnsi="Book Antiqua"/>
          <w:sz w:val="22"/>
          <w:szCs w:val="22"/>
        </w:rPr>
        <w:t xml:space="preserve">(6) </w:t>
      </w:r>
      <w:r w:rsidRPr="0084558B">
        <w:rPr>
          <w:rFonts w:ascii="Book Antiqua" w:hAnsi="Book Antiqua"/>
          <w:sz w:val="22"/>
          <w:szCs w:val="22"/>
        </w:rPr>
        <w:t>Ministerstvo neprihliada na žiadosť, ak žiadosť nemá náležitosti podľa odseku 3 a oprávnená osoba na výzvu ministerstva v určenej lehote neodstránila nedostatky žiadosti; tým nie je dotknuté právo oprávnenej osoby domáhať sa za splnenia podmienok podľa tohto zákona uspokojenia nároku alebo jeho časti na súde.</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 xml:space="preserve">(7) </w:t>
      </w:r>
      <w:r w:rsidRPr="0084558B">
        <w:rPr>
          <w:rFonts w:ascii="Book Antiqua" w:hAnsi="Book Antiqua"/>
          <w:sz w:val="22"/>
          <w:szCs w:val="22"/>
        </w:rPr>
        <w:t>Ministerstvo rozhodne o žiadosti do jedného roka odo dňa jej doručenia.</w:t>
      </w:r>
    </w:p>
    <w:p w:rsidR="003B5F99"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(8</w:t>
      </w:r>
      <w:r w:rsidRPr="0084558B" w:rsidR="00880DFE">
        <w:rPr>
          <w:rFonts w:ascii="Book Antiqua" w:hAnsi="Book Antiqua"/>
          <w:sz w:val="22"/>
          <w:szCs w:val="22"/>
        </w:rPr>
        <w:t>)</w:t>
      </w:r>
      <w:r w:rsidRPr="0084558B">
        <w:rPr>
          <w:rFonts w:ascii="Book Antiqua" w:hAnsi="Book Antiqua"/>
          <w:sz w:val="22"/>
          <w:szCs w:val="22"/>
        </w:rPr>
        <w:t xml:space="preserve"> Ak o žiadosti už bolo rozhodnuté, ministerstvo oznámi oprávnenej osobe, ktorá takúto žiadosť podala, túto skutočnosť s odôvodnením, že o jej žiadosti už bolo rozhodnuté a na opakovanú žiadosť ministerstvo ďalej neprihliada.</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 xml:space="preserve">(9) </w:t>
      </w:r>
      <w:r w:rsidRPr="0084558B">
        <w:rPr>
          <w:rFonts w:ascii="Book Antiqua" w:hAnsi="Book Antiqua"/>
          <w:sz w:val="22"/>
          <w:szCs w:val="22"/>
        </w:rPr>
        <w:t>Ministerstvo vyplatí oprávnenej osobe čiastočné odškodnenie do 30 dní odo dňa nadobudnutia právoplatnosti rozhodnutia, ktorým sa takéto odškodnenie priznalo.</w:t>
      </w:r>
    </w:p>
    <w:p w:rsidR="00880DFE" w:rsidRPr="0084558B" w:rsidP="00153127">
      <w:pPr>
        <w:bidi w:val="0"/>
        <w:spacing w:before="120" w:line="276" w:lineRule="auto"/>
        <w:jc w:val="both"/>
        <w:rPr>
          <w:rFonts w:ascii="Book Antiqua" w:hAnsi="Book Antiqua"/>
          <w:sz w:val="22"/>
          <w:szCs w:val="22"/>
        </w:rPr>
      </w:pPr>
      <w:r w:rsidRPr="0084558B" w:rsidR="003B5F99">
        <w:rPr>
          <w:rFonts w:ascii="Book Antiqua" w:hAnsi="Book Antiqua"/>
          <w:sz w:val="22"/>
          <w:szCs w:val="22"/>
        </w:rPr>
        <w:t>(10</w:t>
      </w:r>
      <w:r w:rsidRPr="0084558B">
        <w:rPr>
          <w:rFonts w:ascii="Book Antiqua" w:hAnsi="Book Antiqua"/>
          <w:sz w:val="22"/>
          <w:szCs w:val="22"/>
        </w:rPr>
        <w:t xml:space="preserve">) </w:t>
      </w:r>
      <w:r w:rsidRPr="0084558B" w:rsidR="003B5F99">
        <w:rPr>
          <w:rFonts w:ascii="Book Antiqua" w:hAnsi="Book Antiqua"/>
          <w:sz w:val="22"/>
          <w:szCs w:val="22"/>
        </w:rPr>
        <w:t>Ak ministerstvo neuspokojí nárok na čiastočné odškodnenie alebo uspokojí iba jeho časť, môže sa oprávnená osoba domáhať uspokojenia tohto nároku alebo jeho neuspokojenej časti na súde</w:t>
      </w:r>
      <w:r w:rsidRPr="0084558B">
        <w:rPr>
          <w:rFonts w:ascii="Book Antiqua" w:hAnsi="Book Antiqua"/>
          <w:sz w:val="22"/>
          <w:szCs w:val="22"/>
        </w:rPr>
        <w:t xml:space="preserve"> podľa osobitného zákona.</w:t>
      </w:r>
      <w:r>
        <w:rPr>
          <w:rStyle w:val="FootnoteReference"/>
          <w:rFonts w:ascii="Book Antiqua" w:hAnsi="Book Antiqua"/>
          <w:sz w:val="22"/>
          <w:szCs w:val="22"/>
          <w:rtl w:val="0"/>
        </w:rPr>
        <w:footnoteReference w:id="15"/>
      </w:r>
      <w:r w:rsidRPr="0084558B">
        <w:rPr>
          <w:rFonts w:ascii="Book Antiqua" w:hAnsi="Book Antiqua"/>
          <w:sz w:val="22"/>
          <w:szCs w:val="22"/>
          <w:vertAlign w:val="superscript"/>
        </w:rPr>
        <w:t>)</w:t>
      </w:r>
    </w:p>
    <w:p w:rsidR="00B04EF9" w:rsidRPr="0084558B" w:rsidP="003B5F99">
      <w:pPr>
        <w:bidi w:val="0"/>
        <w:spacing w:before="120" w:line="276" w:lineRule="auto"/>
        <w:rPr>
          <w:rFonts w:ascii="Book Antiqua" w:hAnsi="Book Antiqua"/>
          <w:b/>
          <w:sz w:val="22"/>
          <w:szCs w:val="22"/>
        </w:rPr>
      </w:pPr>
    </w:p>
    <w:p w:rsidR="00880DFE" w:rsidRPr="0084558B" w:rsidP="00153127">
      <w:pPr>
        <w:bidi w:val="0"/>
        <w:spacing w:before="120" w:line="276" w:lineRule="auto"/>
        <w:jc w:val="center"/>
        <w:rPr>
          <w:rFonts w:ascii="Book Antiqua" w:hAnsi="Book Antiqua"/>
          <w:b/>
          <w:sz w:val="22"/>
          <w:szCs w:val="22"/>
        </w:rPr>
      </w:pPr>
      <w:r w:rsidRPr="0084558B">
        <w:rPr>
          <w:rFonts w:ascii="Book Antiqua" w:hAnsi="Book Antiqua"/>
          <w:b/>
          <w:sz w:val="22"/>
          <w:szCs w:val="22"/>
        </w:rPr>
        <w:t>§ 7</w:t>
      </w:r>
    </w:p>
    <w:p w:rsidR="00880DFE" w:rsidRPr="0084558B" w:rsidP="00153127">
      <w:pPr>
        <w:bidi w:val="0"/>
        <w:spacing w:before="120" w:line="276" w:lineRule="auto"/>
        <w:jc w:val="center"/>
        <w:rPr>
          <w:rFonts w:ascii="Book Antiqua" w:hAnsi="Book Antiqua"/>
          <w:sz w:val="22"/>
          <w:szCs w:val="22"/>
        </w:rPr>
      </w:pPr>
      <w:r w:rsidRPr="0084558B">
        <w:rPr>
          <w:rFonts w:ascii="Book Antiqua" w:hAnsi="Book Antiqua"/>
          <w:b/>
          <w:sz w:val="22"/>
          <w:szCs w:val="22"/>
        </w:rPr>
        <w:t>Oprávnenia a povinnosti zamestnancov ministerstva</w:t>
      </w:r>
    </w:p>
    <w:p w:rsidR="00880DFE" w:rsidRPr="0084558B" w:rsidP="00153127">
      <w:pPr>
        <w:bidi w:val="0"/>
        <w:spacing w:before="120" w:line="276" w:lineRule="auto"/>
        <w:jc w:val="both"/>
        <w:rPr>
          <w:rFonts w:ascii="Book Antiqua" w:hAnsi="Book Antiqua"/>
          <w:sz w:val="22"/>
          <w:szCs w:val="22"/>
        </w:rPr>
      </w:pPr>
      <w:r w:rsidRPr="0084558B">
        <w:rPr>
          <w:rFonts w:ascii="Book Antiqua" w:hAnsi="Book Antiqua"/>
          <w:sz w:val="22"/>
          <w:szCs w:val="22"/>
        </w:rPr>
        <w:t>(1) Zamestnanci ministerstva, ktorí rozhodujú o žiadosti, sú pri preverovaní skutočností dôležitých pre rozhodnutie o podanej žiadosti oprávnení nahliadať do príslušných spisov a požadovať od príslušných orgánov a súdov súčinnosť pri získavaní informácií, ktoré sú nevyhnutné na vydanie rozhodnutia o čiastočnom odškodnení.</w:t>
      </w:r>
    </w:p>
    <w:p w:rsidR="00880DFE" w:rsidRPr="0084558B" w:rsidP="009D4A03">
      <w:pPr>
        <w:bidi w:val="0"/>
        <w:spacing w:before="120" w:line="276" w:lineRule="auto"/>
        <w:jc w:val="both"/>
        <w:rPr>
          <w:rFonts w:ascii="Book Antiqua" w:hAnsi="Book Antiqua"/>
          <w:b/>
          <w:bCs/>
          <w:sz w:val="22"/>
          <w:szCs w:val="22"/>
        </w:rPr>
      </w:pPr>
      <w:r w:rsidRPr="0084558B">
        <w:rPr>
          <w:rFonts w:ascii="Book Antiqua" w:hAnsi="Book Antiqua"/>
          <w:sz w:val="22"/>
          <w:szCs w:val="22"/>
        </w:rPr>
        <w:t>(2) Zamestnanci ministerstva, ktorí rozhodujú o žiadosti, sú povinní zachovávať mlčanlivosť o obsahu týchto žiadostí a subjektoch, ktoré ich podali, ako aj o ďalších skutočnostiach týkajúcich sa konania o čiastočnom odškodnení, ktoré sa dozvedeli pri plnení svojich úloh. Povinnosť zachovávať mlčanlivosť platí aj vtedy, ak títo zamestnanci prestali byť zamestnancami ministerstva.</w:t>
      </w:r>
    </w:p>
    <w:p w:rsidR="00880DFE" w:rsidRPr="0084558B" w:rsidP="00A00CA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 8</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Spoločné ustanovenia</w:t>
      </w:r>
    </w:p>
    <w:p w:rsidR="00880DFE" w:rsidRPr="0084558B" w:rsidP="000C5E24">
      <w:pPr>
        <w:bidi w:val="0"/>
        <w:spacing w:before="120" w:line="276" w:lineRule="auto"/>
        <w:jc w:val="both"/>
        <w:rPr>
          <w:rFonts w:ascii="Book Antiqua" w:hAnsi="Book Antiqua"/>
          <w:sz w:val="22"/>
          <w:szCs w:val="22"/>
        </w:rPr>
      </w:pPr>
      <w:r w:rsidRPr="0084558B">
        <w:rPr>
          <w:rFonts w:ascii="Book Antiqua" w:hAnsi="Book Antiqua"/>
          <w:color w:val="000000"/>
          <w:sz w:val="22"/>
          <w:szCs w:val="22"/>
        </w:rPr>
        <w:t xml:space="preserve">(1) Na konanie podľa tohto zákona </w:t>
      </w:r>
      <w:r w:rsidRPr="0084558B">
        <w:rPr>
          <w:rFonts w:ascii="Book Antiqua" w:hAnsi="Book Antiqua"/>
          <w:sz w:val="22"/>
          <w:szCs w:val="22"/>
        </w:rPr>
        <w:t xml:space="preserve">sa </w:t>
      </w:r>
      <w:r w:rsidRPr="0084558B">
        <w:rPr>
          <w:rFonts w:ascii="Book Antiqua" w:hAnsi="Book Antiqua"/>
          <w:color w:val="000000"/>
          <w:sz w:val="22"/>
          <w:szCs w:val="22"/>
        </w:rPr>
        <w:t>vzťahuje všeobecný predpis o správnom konaní,</w:t>
      </w:r>
      <w:r>
        <w:rPr>
          <w:rStyle w:val="FootnoteReference"/>
          <w:rFonts w:ascii="Book Antiqua" w:hAnsi="Book Antiqua"/>
          <w:color w:val="000000"/>
          <w:sz w:val="22"/>
          <w:szCs w:val="22"/>
          <w:rtl w:val="0"/>
        </w:rPr>
        <w:footnoteReference w:id="16"/>
      </w:r>
      <w:r w:rsidRPr="0084558B">
        <w:rPr>
          <w:rFonts w:ascii="Book Antiqua" w:hAnsi="Book Antiqua"/>
          <w:color w:val="000000"/>
          <w:sz w:val="22"/>
          <w:szCs w:val="22"/>
          <w:vertAlign w:val="superscript"/>
        </w:rPr>
        <w:t>)</w:t>
      </w:r>
      <w:r w:rsidRPr="0084558B">
        <w:rPr>
          <w:rFonts w:ascii="Book Antiqua" w:hAnsi="Book Antiqua"/>
          <w:color w:val="000000"/>
          <w:sz w:val="22"/>
          <w:szCs w:val="22"/>
        </w:rPr>
        <w:t xml:space="preserve"> ak tento zákon neustanovuje inak.</w:t>
      </w:r>
    </w:p>
    <w:p w:rsidR="008D50BB" w:rsidRPr="0084558B" w:rsidP="009D4A03">
      <w:pPr>
        <w:bidi w:val="0"/>
        <w:spacing w:before="120" w:line="276" w:lineRule="auto"/>
        <w:jc w:val="both"/>
        <w:rPr>
          <w:rFonts w:ascii="Book Antiqua" w:hAnsi="Book Antiqua"/>
          <w:color w:val="000000"/>
          <w:sz w:val="22"/>
          <w:szCs w:val="22"/>
        </w:rPr>
      </w:pPr>
      <w:r w:rsidRPr="0084558B" w:rsidR="00880DFE">
        <w:rPr>
          <w:rFonts w:ascii="Book Antiqua" w:hAnsi="Book Antiqua"/>
          <w:color w:val="000000"/>
          <w:sz w:val="22"/>
          <w:szCs w:val="22"/>
        </w:rPr>
        <w:t>(2)</w:t>
      </w:r>
      <w:r w:rsidRPr="0084558B" w:rsidR="00880DFE">
        <w:rPr>
          <w:rFonts w:ascii="Book Antiqua" w:hAnsi="Book Antiqua"/>
          <w:sz w:val="22"/>
          <w:szCs w:val="22"/>
        </w:rPr>
        <w:t xml:space="preserve"> </w:t>
      </w:r>
      <w:r w:rsidRPr="0084558B" w:rsidR="00880DFE">
        <w:rPr>
          <w:rFonts w:ascii="Book Antiqua" w:hAnsi="Book Antiqua"/>
          <w:color w:val="000000"/>
          <w:sz w:val="22"/>
          <w:szCs w:val="22"/>
        </w:rPr>
        <w:t xml:space="preserve">Vzor žiadosti podľa § 6 ods. 4 ustanoví všeobecne záväzný právny predpis, ktorý vydá ministerstvo do </w:t>
      </w:r>
      <w:r w:rsidRPr="0084558B" w:rsidR="005D4005">
        <w:rPr>
          <w:rFonts w:ascii="Book Antiqua" w:hAnsi="Book Antiqua"/>
          <w:color w:val="000000"/>
          <w:sz w:val="22"/>
          <w:szCs w:val="22"/>
        </w:rPr>
        <w:t>30 dní od nadobudnutia účinnosti</w:t>
      </w:r>
      <w:r w:rsidRPr="0084558B" w:rsidR="00880DFE">
        <w:rPr>
          <w:rFonts w:ascii="Book Antiqua" w:hAnsi="Book Antiqua"/>
          <w:color w:val="000000"/>
          <w:sz w:val="22"/>
          <w:szCs w:val="22"/>
        </w:rPr>
        <w:t xml:space="preserve"> tohto zákona.</w:t>
      </w:r>
    </w:p>
    <w:p w:rsidR="009D4A03" w:rsidRPr="0084558B" w:rsidP="007B04E5">
      <w:pPr>
        <w:bidi w:val="0"/>
        <w:spacing w:before="120" w:line="276" w:lineRule="auto"/>
        <w:jc w:val="center"/>
        <w:rPr>
          <w:rFonts w:ascii="Book Antiqua" w:hAnsi="Book Antiqua"/>
          <w:b/>
          <w:sz w:val="22"/>
          <w:szCs w:val="22"/>
        </w:rPr>
      </w:pPr>
    </w:p>
    <w:p w:rsidR="00880DFE" w:rsidRPr="0084558B" w:rsidP="007B04E5">
      <w:pPr>
        <w:bidi w:val="0"/>
        <w:spacing w:before="120" w:line="276" w:lineRule="auto"/>
        <w:jc w:val="center"/>
        <w:rPr>
          <w:rFonts w:ascii="Book Antiqua" w:hAnsi="Book Antiqua"/>
          <w:bCs/>
          <w:sz w:val="22"/>
          <w:szCs w:val="22"/>
        </w:rPr>
      </w:pPr>
      <w:r w:rsidRPr="0084558B">
        <w:rPr>
          <w:rFonts w:ascii="Book Antiqua" w:hAnsi="Book Antiqua"/>
          <w:b/>
          <w:sz w:val="22"/>
          <w:szCs w:val="22"/>
        </w:rPr>
        <w:t>§ 9</w:t>
      </w:r>
    </w:p>
    <w:p w:rsidR="00880DFE" w:rsidRPr="0084558B" w:rsidP="007B04E5">
      <w:pPr>
        <w:bidi w:val="0"/>
        <w:spacing w:before="120" w:line="276" w:lineRule="auto"/>
        <w:jc w:val="center"/>
        <w:rPr>
          <w:rFonts w:ascii="Book Antiqua" w:hAnsi="Book Antiqua"/>
          <w:b/>
          <w:bCs/>
          <w:sz w:val="22"/>
          <w:szCs w:val="22"/>
        </w:rPr>
      </w:pPr>
      <w:r w:rsidRPr="0084558B">
        <w:rPr>
          <w:rFonts w:ascii="Book Antiqua" w:hAnsi="Book Antiqua"/>
          <w:b/>
          <w:bCs/>
          <w:sz w:val="22"/>
          <w:szCs w:val="22"/>
        </w:rPr>
        <w:t>Účinnosť</w:t>
      </w:r>
    </w:p>
    <w:p w:rsidR="00880DFE" w:rsidRPr="00A36A3A" w:rsidP="007B04E5">
      <w:pPr>
        <w:pStyle w:val="BodyText"/>
        <w:bidi w:val="0"/>
        <w:spacing w:before="120" w:line="276" w:lineRule="auto"/>
        <w:rPr>
          <w:rFonts w:ascii="Book Antiqua" w:hAnsi="Book Antiqua"/>
          <w:sz w:val="22"/>
          <w:szCs w:val="22"/>
        </w:rPr>
      </w:pPr>
      <w:r w:rsidRPr="0084558B">
        <w:rPr>
          <w:rFonts w:ascii="Book Antiqua" w:hAnsi="Book Antiqua"/>
          <w:sz w:val="22"/>
          <w:szCs w:val="22"/>
        </w:rPr>
        <w:t>Tento zá</w:t>
      </w:r>
      <w:r w:rsidR="0084558B">
        <w:rPr>
          <w:rFonts w:ascii="Book Antiqua" w:hAnsi="Book Antiqua"/>
          <w:sz w:val="22"/>
          <w:szCs w:val="22"/>
        </w:rPr>
        <w:t>kon nadobúda účinnosť 1. marca</w:t>
      </w:r>
      <w:r w:rsidRPr="0084558B">
        <w:rPr>
          <w:rFonts w:ascii="Book Antiqua" w:hAnsi="Book Antiqua"/>
          <w:sz w:val="22"/>
          <w:szCs w:val="22"/>
        </w:rPr>
        <w:t xml:space="preserve"> 2015.</w:t>
      </w:r>
    </w:p>
    <w:sectPr w:rsidSect="00336FBD">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DE3" w:rsidP="008C37B5">
      <w:pPr>
        <w:bidi w:val="0"/>
        <w:rPr>
          <w:rFonts w:ascii="Times New Roman" w:hAnsi="Times New Roman"/>
        </w:rPr>
      </w:pPr>
      <w:r>
        <w:rPr>
          <w:rFonts w:ascii="Times New Roman" w:hAnsi="Times New Roman"/>
        </w:rPr>
        <w:separator/>
      </w:r>
    </w:p>
  </w:footnote>
  <w:footnote w:type="continuationSeparator" w:id="1">
    <w:p w:rsidR="003B2DE3" w:rsidP="008C37B5">
      <w:pPr>
        <w:bidi w:val="0"/>
        <w:rPr>
          <w:rFonts w:ascii="Times New Roman" w:hAnsi="Times New Roman"/>
        </w:rPr>
      </w:pPr>
      <w:r>
        <w:rPr>
          <w:rFonts w:ascii="Times New Roman" w:hAnsi="Times New Roman"/>
        </w:rPr>
        <w:continuationSeparator/>
      </w:r>
    </w:p>
  </w:footnote>
  <w:footnote w:id="2">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483/2001 Z. z. o bankách a o zmene a doplnení niektorých zákonov v znení neskorších predpisov.</w:t>
      </w:r>
    </w:p>
  </w:footnote>
  <w:footnote w:id="3">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Nap</w:t>
      </w:r>
      <w:r w:rsidRPr="0084558B" w:rsidR="00A27A1A">
        <w:rPr>
          <w:rFonts w:ascii="Book Antiqua" w:hAnsi="Book Antiqua"/>
          <w:sz w:val="18"/>
          <w:szCs w:val="18"/>
        </w:rPr>
        <w:t>r</w:t>
      </w:r>
      <w:r w:rsidRPr="0084558B" w:rsidR="00880DFE">
        <w:rPr>
          <w:rFonts w:ascii="Book Antiqua" w:hAnsi="Book Antiqua"/>
          <w:sz w:val="18"/>
          <w:szCs w:val="18"/>
        </w:rPr>
        <w:t>íklad zákon Slovenskej národnej rady č. 310/1992 Zb. o stavebnom sporení v znení neskorších predpisov.</w:t>
      </w:r>
    </w:p>
  </w:footnote>
  <w:footnote w:id="4">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8 písm. c) </w:t>
      </w:r>
      <w:r w:rsidRPr="0084558B" w:rsidR="00880DFE">
        <w:rPr>
          <w:rFonts w:ascii="Book Antiqua" w:hAnsi="Book Antiqua" w:cs="Tahoma"/>
          <w:sz w:val="18"/>
          <w:szCs w:val="18"/>
        </w:rPr>
        <w:t>zákona č. 566/2001 Z. z. o cenných papieroch a finančných službách a o zmene a doplnení niektorých zákonov (zákon o cenných papieroch) v znení neskorších predpisov.</w:t>
      </w:r>
    </w:p>
  </w:footnote>
  <w:footnote w:id="5">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 Obchodného zákonníka v znení neskorších predpisov.</w:t>
      </w:r>
    </w:p>
  </w:footnote>
  <w:footnote w:id="6">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532/2010 Z. z. o Rozhlase a televízii Slovenska  a o zmene a doplnení niektorých zákonov v znení neskorších predpisov.</w:t>
      </w:r>
    </w:p>
  </w:footnote>
  <w:footnote w:id="7">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14 zákona č. 7/2005 Z. z. o konkurze a reštrukturalizácii a o zmene a doplnení niektorých zákonov v znení neskorších predpisov.</w:t>
      </w:r>
    </w:p>
  </w:footnote>
  <w:footnote w:id="8">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Nap</w:t>
      </w:r>
      <w:r w:rsidRPr="0084558B" w:rsidR="00072D58">
        <w:rPr>
          <w:rFonts w:ascii="Book Antiqua" w:hAnsi="Book Antiqua"/>
          <w:sz w:val="18"/>
          <w:szCs w:val="18"/>
        </w:rPr>
        <w:t>r</w:t>
      </w:r>
      <w:r w:rsidRPr="0084558B" w:rsidR="00880DFE">
        <w:rPr>
          <w:rFonts w:ascii="Book Antiqua" w:hAnsi="Book Antiqua"/>
          <w:sz w:val="18"/>
          <w:szCs w:val="18"/>
        </w:rPr>
        <w:t>íklad § 657 Občianskeho zákonníka v znení zákona č. 509/1991 Zb., § 230 a 673 Obchodného zákonníka</w:t>
      </w:r>
      <w:r w:rsidRPr="0084558B" w:rsidR="00880DFE">
        <w:rPr>
          <w:rFonts w:ascii="Book Antiqua" w:hAnsi="Book Antiqua" w:cs="Tahoma"/>
          <w:sz w:val="18"/>
          <w:szCs w:val="18"/>
        </w:rPr>
        <w:t>.</w:t>
      </w:r>
    </w:p>
  </w:footnote>
  <w:footnote w:id="9">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20a a § 460 až 487 Občianskeho zákonníka v znení neskorších predpisov.</w:t>
      </w:r>
    </w:p>
  </w:footnote>
  <w:footnote w:id="10">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11 a 12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1">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13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2">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28 až 32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3">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Nap</w:t>
      </w:r>
      <w:r w:rsidRPr="0084558B" w:rsidR="00072D58">
        <w:rPr>
          <w:rFonts w:ascii="Book Antiqua" w:hAnsi="Book Antiqua"/>
          <w:sz w:val="18"/>
          <w:szCs w:val="18"/>
        </w:rPr>
        <w:t>r</w:t>
      </w:r>
      <w:r w:rsidRPr="0084558B" w:rsidR="00880DFE">
        <w:rPr>
          <w:rFonts w:ascii="Book Antiqua" w:hAnsi="Book Antiqua"/>
          <w:sz w:val="18"/>
          <w:szCs w:val="18"/>
        </w:rPr>
        <w:t xml:space="preserve">íklad § 102 až 105 </w:t>
      </w:r>
      <w:r w:rsidRPr="0084558B" w:rsidR="00880DFE">
        <w:rPr>
          <w:rFonts w:ascii="Book Antiqua" w:hAnsi="Book Antiqua" w:cs="Tahoma"/>
          <w:sz w:val="18"/>
          <w:szCs w:val="18"/>
        </w:rPr>
        <w:t xml:space="preserve">zákona </w:t>
      </w:r>
      <w:r w:rsidRPr="0084558B" w:rsidR="00880DFE">
        <w:rPr>
          <w:rFonts w:ascii="Book Antiqua" w:hAnsi="Book Antiqua"/>
          <w:sz w:val="18"/>
          <w:szCs w:val="18"/>
        </w:rPr>
        <w:t>č. 7/2005 Z. z. v znení neskorších predpisov</w:t>
      </w:r>
      <w:r w:rsidRPr="0084558B" w:rsidR="00880DFE">
        <w:rPr>
          <w:rFonts w:ascii="Book Antiqua" w:hAnsi="Book Antiqua" w:cs="Tahoma"/>
          <w:sz w:val="18"/>
          <w:szCs w:val="18"/>
        </w:rPr>
        <w:t>.</w:t>
      </w:r>
    </w:p>
  </w:footnote>
  <w:footnote w:id="14">
    <w:p w:rsidP="004A0829">
      <w:pPr>
        <w:pStyle w:val="FootnoteText"/>
        <w:bidi w:val="0"/>
        <w:jc w:val="both"/>
        <w:rPr>
          <w:rFonts w:ascii="Times New Roman" w:hAnsi="Times New Roman"/>
        </w:rPr>
      </w:pPr>
      <w:r w:rsidRPr="0084558B" w:rsidR="004A0829">
        <w:rPr>
          <w:rStyle w:val="FootnoteReference"/>
          <w:rFonts w:ascii="Book Antiqua" w:hAnsi="Book Antiqua"/>
          <w:sz w:val="18"/>
          <w:szCs w:val="18"/>
        </w:rPr>
        <w:footnoteRef/>
      </w:r>
      <w:r w:rsidRPr="0084558B" w:rsidR="004A0829">
        <w:rPr>
          <w:rFonts w:ascii="Book Antiqua" w:hAnsi="Book Antiqua"/>
          <w:sz w:val="18"/>
          <w:szCs w:val="18"/>
          <w:vertAlign w:val="superscript"/>
        </w:rPr>
        <w:t>)</w:t>
      </w:r>
      <w:r w:rsidRPr="0084558B" w:rsidR="004A0829">
        <w:rPr>
          <w:rFonts w:ascii="Book Antiqua" w:hAnsi="Book Antiqua"/>
          <w:sz w:val="18"/>
          <w:szCs w:val="18"/>
        </w:rPr>
        <w:t xml:space="preserve"> § 3 ods. 2 písm. c) zákona č. 595/2003 Z. z. o dani z príjmov v znení neskorších predpisov</w:t>
      </w:r>
      <w:r w:rsidRPr="0084558B" w:rsidR="004A0829">
        <w:rPr>
          <w:rFonts w:ascii="Book Antiqua" w:hAnsi="Book Antiqua" w:cs="Tahoma"/>
          <w:sz w:val="18"/>
          <w:szCs w:val="18"/>
        </w:rPr>
        <w:t>.</w:t>
      </w:r>
    </w:p>
  </w:footnote>
  <w:footnote w:id="15">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 244 Občianskeho súdneho poriadku v znení neskorších predpisov.</w:t>
      </w:r>
    </w:p>
  </w:footnote>
  <w:footnote w:id="16">
    <w:p w:rsidP="009C2524">
      <w:pPr>
        <w:pStyle w:val="FootnoteText"/>
        <w:bidi w:val="0"/>
        <w:jc w:val="both"/>
        <w:rPr>
          <w:rFonts w:ascii="Times New Roman" w:hAnsi="Times New Roman"/>
        </w:rPr>
      </w:pPr>
      <w:r w:rsidRPr="0084558B" w:rsidR="00880DFE">
        <w:rPr>
          <w:rStyle w:val="FootnoteReference"/>
          <w:rFonts w:ascii="Book Antiqua" w:hAnsi="Book Antiqua"/>
          <w:sz w:val="18"/>
          <w:szCs w:val="18"/>
        </w:rPr>
        <w:footnoteRef/>
      </w:r>
      <w:r w:rsidRPr="0084558B" w:rsidR="00880DFE">
        <w:rPr>
          <w:rFonts w:ascii="Book Antiqua" w:hAnsi="Book Antiqua"/>
          <w:sz w:val="18"/>
          <w:szCs w:val="18"/>
          <w:vertAlign w:val="superscript"/>
        </w:rPr>
        <w:t>)</w:t>
      </w:r>
      <w:r w:rsidRPr="0084558B" w:rsidR="00880DFE">
        <w:rPr>
          <w:rFonts w:ascii="Book Antiqua" w:hAnsi="Book Antiqua"/>
          <w:sz w:val="18"/>
          <w:szCs w:val="18"/>
        </w:rPr>
        <w:t xml:space="preserve"> </w:t>
      </w:r>
      <w:r w:rsidRPr="0084558B" w:rsidR="00880DFE">
        <w:rPr>
          <w:rFonts w:ascii="Book Antiqua" w:hAnsi="Book Antiqua" w:cs="Tahoma"/>
          <w:sz w:val="18"/>
          <w:szCs w:val="18"/>
        </w:rPr>
        <w:t>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286"/>
    <w:multiLevelType w:val="hybridMultilevel"/>
    <w:tmpl w:val="17E04B2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47519F"/>
    <w:multiLevelType w:val="hybridMultilevel"/>
    <w:tmpl w:val="126AF4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1E5182"/>
    <w:multiLevelType w:val="hybridMultilevel"/>
    <w:tmpl w:val="4E4294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E1061F"/>
    <w:multiLevelType w:val="hybridMultilevel"/>
    <w:tmpl w:val="4EEAF7FA"/>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1C4008D1"/>
    <w:multiLevelType w:val="hybridMultilevel"/>
    <w:tmpl w:val="621E9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E61BA7"/>
    <w:multiLevelType w:val="hybridMultilevel"/>
    <w:tmpl w:val="3DE86A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13">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E0905CA"/>
    <w:multiLevelType w:val="hybridMultilevel"/>
    <w:tmpl w:val="CDC207BA"/>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17"/>
  </w:num>
  <w:num w:numId="7">
    <w:abstractNumId w:val="15"/>
  </w:num>
  <w:num w:numId="8">
    <w:abstractNumId w:val="11"/>
  </w:num>
  <w:num w:numId="9">
    <w:abstractNumId w:val="12"/>
  </w:num>
  <w:num w:numId="10">
    <w:abstractNumId w:val="13"/>
  </w:num>
  <w:num w:numId="11">
    <w:abstractNumId w:val="16"/>
  </w:num>
  <w:num w:numId="12">
    <w:abstractNumId w:val="14"/>
  </w:num>
  <w:num w:numId="13">
    <w:abstractNumId w:val="8"/>
  </w:num>
  <w:num w:numId="14">
    <w:abstractNumId w:val="0"/>
  </w:num>
  <w:num w:numId="15">
    <w:abstractNumId w:val="18"/>
  </w:num>
  <w:num w:numId="16">
    <w:abstractNumId w:val="4"/>
  </w:num>
  <w:num w:numId="17">
    <w:abstractNumId w:val="1"/>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rsids>
    <w:rsidRoot w:val="00A85A29"/>
    <w:rsid w:val="000006EA"/>
    <w:rsid w:val="00000ECE"/>
    <w:rsid w:val="00001408"/>
    <w:rsid w:val="000078F6"/>
    <w:rsid w:val="00015315"/>
    <w:rsid w:val="0001734B"/>
    <w:rsid w:val="000202BD"/>
    <w:rsid w:val="00022541"/>
    <w:rsid w:val="00022921"/>
    <w:rsid w:val="000230CC"/>
    <w:rsid w:val="0002601B"/>
    <w:rsid w:val="0002689B"/>
    <w:rsid w:val="00027EF7"/>
    <w:rsid w:val="0003276E"/>
    <w:rsid w:val="00032A27"/>
    <w:rsid w:val="0003516C"/>
    <w:rsid w:val="00036CBC"/>
    <w:rsid w:val="00036D31"/>
    <w:rsid w:val="0003727A"/>
    <w:rsid w:val="000375EB"/>
    <w:rsid w:val="00041A76"/>
    <w:rsid w:val="00041AA6"/>
    <w:rsid w:val="00041D7D"/>
    <w:rsid w:val="0004796B"/>
    <w:rsid w:val="00051BDE"/>
    <w:rsid w:val="000526C1"/>
    <w:rsid w:val="00052BD3"/>
    <w:rsid w:val="000544D0"/>
    <w:rsid w:val="00055036"/>
    <w:rsid w:val="00057D69"/>
    <w:rsid w:val="00060961"/>
    <w:rsid w:val="0006494A"/>
    <w:rsid w:val="00065BFC"/>
    <w:rsid w:val="000664A0"/>
    <w:rsid w:val="00071193"/>
    <w:rsid w:val="00071F0F"/>
    <w:rsid w:val="00072A29"/>
    <w:rsid w:val="00072AA1"/>
    <w:rsid w:val="00072D58"/>
    <w:rsid w:val="00080A5E"/>
    <w:rsid w:val="00087355"/>
    <w:rsid w:val="000900AD"/>
    <w:rsid w:val="000902E7"/>
    <w:rsid w:val="00092C82"/>
    <w:rsid w:val="000941C0"/>
    <w:rsid w:val="00096340"/>
    <w:rsid w:val="00096F4E"/>
    <w:rsid w:val="0009726C"/>
    <w:rsid w:val="000A2056"/>
    <w:rsid w:val="000A35A1"/>
    <w:rsid w:val="000A76AD"/>
    <w:rsid w:val="000A7CAC"/>
    <w:rsid w:val="000B0093"/>
    <w:rsid w:val="000B09C6"/>
    <w:rsid w:val="000B2914"/>
    <w:rsid w:val="000B7180"/>
    <w:rsid w:val="000C3282"/>
    <w:rsid w:val="000C461E"/>
    <w:rsid w:val="000C5E24"/>
    <w:rsid w:val="000D1F21"/>
    <w:rsid w:val="000D3DF8"/>
    <w:rsid w:val="000D4F15"/>
    <w:rsid w:val="000D52E4"/>
    <w:rsid w:val="000D58F7"/>
    <w:rsid w:val="000D7A94"/>
    <w:rsid w:val="000D7DFF"/>
    <w:rsid w:val="000E1348"/>
    <w:rsid w:val="000E4CB4"/>
    <w:rsid w:val="000E4F04"/>
    <w:rsid w:val="000F0D57"/>
    <w:rsid w:val="000F3C01"/>
    <w:rsid w:val="000F618C"/>
    <w:rsid w:val="00100978"/>
    <w:rsid w:val="001019D5"/>
    <w:rsid w:val="00104B45"/>
    <w:rsid w:val="00104D88"/>
    <w:rsid w:val="001053DE"/>
    <w:rsid w:val="001063FB"/>
    <w:rsid w:val="00106DEB"/>
    <w:rsid w:val="00107B6D"/>
    <w:rsid w:val="00110B7C"/>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1F2A"/>
    <w:rsid w:val="00142725"/>
    <w:rsid w:val="001437A4"/>
    <w:rsid w:val="00143A22"/>
    <w:rsid w:val="00144CBA"/>
    <w:rsid w:val="00146EAE"/>
    <w:rsid w:val="00152031"/>
    <w:rsid w:val="00153127"/>
    <w:rsid w:val="00155E74"/>
    <w:rsid w:val="00156201"/>
    <w:rsid w:val="001638C7"/>
    <w:rsid w:val="00166176"/>
    <w:rsid w:val="001730CC"/>
    <w:rsid w:val="00174778"/>
    <w:rsid w:val="0018171B"/>
    <w:rsid w:val="00183AC1"/>
    <w:rsid w:val="00191CFA"/>
    <w:rsid w:val="001A1752"/>
    <w:rsid w:val="001A3006"/>
    <w:rsid w:val="001B3623"/>
    <w:rsid w:val="001C3049"/>
    <w:rsid w:val="001C3741"/>
    <w:rsid w:val="001D22D9"/>
    <w:rsid w:val="001D31D3"/>
    <w:rsid w:val="001D7A22"/>
    <w:rsid w:val="001D7D58"/>
    <w:rsid w:val="001E06CD"/>
    <w:rsid w:val="001E1A11"/>
    <w:rsid w:val="001E24E9"/>
    <w:rsid w:val="001E64B8"/>
    <w:rsid w:val="001E6ACC"/>
    <w:rsid w:val="001F11DE"/>
    <w:rsid w:val="001F34AA"/>
    <w:rsid w:val="001F493B"/>
    <w:rsid w:val="001F4B63"/>
    <w:rsid w:val="001F4F63"/>
    <w:rsid w:val="00201B49"/>
    <w:rsid w:val="00203ACB"/>
    <w:rsid w:val="002054BB"/>
    <w:rsid w:val="002071BA"/>
    <w:rsid w:val="00210F97"/>
    <w:rsid w:val="00217025"/>
    <w:rsid w:val="00217A49"/>
    <w:rsid w:val="00226348"/>
    <w:rsid w:val="0023030D"/>
    <w:rsid w:val="00231824"/>
    <w:rsid w:val="00237CA2"/>
    <w:rsid w:val="00237CC1"/>
    <w:rsid w:val="002401E7"/>
    <w:rsid w:val="002412CD"/>
    <w:rsid w:val="002421C7"/>
    <w:rsid w:val="0024317D"/>
    <w:rsid w:val="00244AF5"/>
    <w:rsid w:val="0024597E"/>
    <w:rsid w:val="00250098"/>
    <w:rsid w:val="00252B36"/>
    <w:rsid w:val="00254D4E"/>
    <w:rsid w:val="002601FF"/>
    <w:rsid w:val="002665F9"/>
    <w:rsid w:val="00272711"/>
    <w:rsid w:val="00275EED"/>
    <w:rsid w:val="00275F76"/>
    <w:rsid w:val="00281A0F"/>
    <w:rsid w:val="00282B1C"/>
    <w:rsid w:val="00283FD0"/>
    <w:rsid w:val="00284D00"/>
    <w:rsid w:val="00287A47"/>
    <w:rsid w:val="00291061"/>
    <w:rsid w:val="002923AB"/>
    <w:rsid w:val="00292899"/>
    <w:rsid w:val="00294261"/>
    <w:rsid w:val="00297CFF"/>
    <w:rsid w:val="002A0F8F"/>
    <w:rsid w:val="002A1D10"/>
    <w:rsid w:val="002B283F"/>
    <w:rsid w:val="002B3483"/>
    <w:rsid w:val="002B664D"/>
    <w:rsid w:val="002B79D8"/>
    <w:rsid w:val="002C08B0"/>
    <w:rsid w:val="002C210A"/>
    <w:rsid w:val="002C3953"/>
    <w:rsid w:val="002C4533"/>
    <w:rsid w:val="002C52D3"/>
    <w:rsid w:val="002C5945"/>
    <w:rsid w:val="002C78FF"/>
    <w:rsid w:val="002D5718"/>
    <w:rsid w:val="002D5C46"/>
    <w:rsid w:val="002E2F42"/>
    <w:rsid w:val="002E4174"/>
    <w:rsid w:val="002E516A"/>
    <w:rsid w:val="002E521E"/>
    <w:rsid w:val="002F4EA4"/>
    <w:rsid w:val="003003A1"/>
    <w:rsid w:val="00303581"/>
    <w:rsid w:val="0030752A"/>
    <w:rsid w:val="00310419"/>
    <w:rsid w:val="0031197A"/>
    <w:rsid w:val="00311EA9"/>
    <w:rsid w:val="00312482"/>
    <w:rsid w:val="00313E2D"/>
    <w:rsid w:val="00313EDF"/>
    <w:rsid w:val="0031503A"/>
    <w:rsid w:val="003152FB"/>
    <w:rsid w:val="00327CDA"/>
    <w:rsid w:val="00330D3F"/>
    <w:rsid w:val="00331223"/>
    <w:rsid w:val="00331311"/>
    <w:rsid w:val="003366FA"/>
    <w:rsid w:val="00336D35"/>
    <w:rsid w:val="00336FBD"/>
    <w:rsid w:val="0033717A"/>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83D48"/>
    <w:rsid w:val="003871AB"/>
    <w:rsid w:val="00390408"/>
    <w:rsid w:val="00390C34"/>
    <w:rsid w:val="00391F1D"/>
    <w:rsid w:val="0039247F"/>
    <w:rsid w:val="00393DF1"/>
    <w:rsid w:val="00394123"/>
    <w:rsid w:val="00396362"/>
    <w:rsid w:val="003A0399"/>
    <w:rsid w:val="003A1268"/>
    <w:rsid w:val="003A1F5E"/>
    <w:rsid w:val="003A3E41"/>
    <w:rsid w:val="003A45DE"/>
    <w:rsid w:val="003B08EB"/>
    <w:rsid w:val="003B12E0"/>
    <w:rsid w:val="003B1335"/>
    <w:rsid w:val="003B2DE3"/>
    <w:rsid w:val="003B5F99"/>
    <w:rsid w:val="003B72E7"/>
    <w:rsid w:val="003B76CB"/>
    <w:rsid w:val="003C3744"/>
    <w:rsid w:val="003C6D33"/>
    <w:rsid w:val="003D2435"/>
    <w:rsid w:val="003D3535"/>
    <w:rsid w:val="003E0C9D"/>
    <w:rsid w:val="003E14D2"/>
    <w:rsid w:val="003E260A"/>
    <w:rsid w:val="003E2C4A"/>
    <w:rsid w:val="003E5341"/>
    <w:rsid w:val="003E60C5"/>
    <w:rsid w:val="003E6C64"/>
    <w:rsid w:val="003E77D8"/>
    <w:rsid w:val="003F01D0"/>
    <w:rsid w:val="003F5C0E"/>
    <w:rsid w:val="003F68FD"/>
    <w:rsid w:val="003F7334"/>
    <w:rsid w:val="00405E83"/>
    <w:rsid w:val="0040611A"/>
    <w:rsid w:val="0040622B"/>
    <w:rsid w:val="00410A98"/>
    <w:rsid w:val="00415B24"/>
    <w:rsid w:val="00416C05"/>
    <w:rsid w:val="00420B1F"/>
    <w:rsid w:val="00421ABA"/>
    <w:rsid w:val="00423A37"/>
    <w:rsid w:val="00423CAA"/>
    <w:rsid w:val="0042685C"/>
    <w:rsid w:val="00432FE9"/>
    <w:rsid w:val="00433167"/>
    <w:rsid w:val="00433A45"/>
    <w:rsid w:val="00436551"/>
    <w:rsid w:val="004378D9"/>
    <w:rsid w:val="0044024E"/>
    <w:rsid w:val="00440413"/>
    <w:rsid w:val="00446263"/>
    <w:rsid w:val="00446AD7"/>
    <w:rsid w:val="00446FE2"/>
    <w:rsid w:val="00450051"/>
    <w:rsid w:val="00450A50"/>
    <w:rsid w:val="00450D82"/>
    <w:rsid w:val="00450FB1"/>
    <w:rsid w:val="00452582"/>
    <w:rsid w:val="00452958"/>
    <w:rsid w:val="004538A8"/>
    <w:rsid w:val="00456AD6"/>
    <w:rsid w:val="00460430"/>
    <w:rsid w:val="004632F2"/>
    <w:rsid w:val="00464058"/>
    <w:rsid w:val="004643BD"/>
    <w:rsid w:val="00465552"/>
    <w:rsid w:val="004729C2"/>
    <w:rsid w:val="004755E3"/>
    <w:rsid w:val="00475AF7"/>
    <w:rsid w:val="0047747C"/>
    <w:rsid w:val="00477F79"/>
    <w:rsid w:val="00480A6F"/>
    <w:rsid w:val="00482CC4"/>
    <w:rsid w:val="00484CBD"/>
    <w:rsid w:val="004865B6"/>
    <w:rsid w:val="004918A0"/>
    <w:rsid w:val="00494617"/>
    <w:rsid w:val="00494EF6"/>
    <w:rsid w:val="004A0829"/>
    <w:rsid w:val="004A19DB"/>
    <w:rsid w:val="004A2268"/>
    <w:rsid w:val="004A5943"/>
    <w:rsid w:val="004A798C"/>
    <w:rsid w:val="004B53F6"/>
    <w:rsid w:val="004B5947"/>
    <w:rsid w:val="004C1C56"/>
    <w:rsid w:val="004C252B"/>
    <w:rsid w:val="004C2A4D"/>
    <w:rsid w:val="004C45B9"/>
    <w:rsid w:val="004C7C8E"/>
    <w:rsid w:val="004D013E"/>
    <w:rsid w:val="004D62AE"/>
    <w:rsid w:val="004D642C"/>
    <w:rsid w:val="004D697C"/>
    <w:rsid w:val="004E01D0"/>
    <w:rsid w:val="004E053A"/>
    <w:rsid w:val="004E182C"/>
    <w:rsid w:val="004E3261"/>
    <w:rsid w:val="004E542A"/>
    <w:rsid w:val="004E6A96"/>
    <w:rsid w:val="004E7584"/>
    <w:rsid w:val="004F1F34"/>
    <w:rsid w:val="004F2244"/>
    <w:rsid w:val="004F4B22"/>
    <w:rsid w:val="004F78DC"/>
    <w:rsid w:val="0050086C"/>
    <w:rsid w:val="005012AF"/>
    <w:rsid w:val="00502FC7"/>
    <w:rsid w:val="00503C1B"/>
    <w:rsid w:val="005044D2"/>
    <w:rsid w:val="00504764"/>
    <w:rsid w:val="005074C6"/>
    <w:rsid w:val="0050773F"/>
    <w:rsid w:val="00511609"/>
    <w:rsid w:val="00511B32"/>
    <w:rsid w:val="005143BB"/>
    <w:rsid w:val="00514F5A"/>
    <w:rsid w:val="00515977"/>
    <w:rsid w:val="005164CA"/>
    <w:rsid w:val="005216C6"/>
    <w:rsid w:val="00525BA5"/>
    <w:rsid w:val="0053372D"/>
    <w:rsid w:val="00533E0A"/>
    <w:rsid w:val="005354E9"/>
    <w:rsid w:val="00535D9F"/>
    <w:rsid w:val="00537ABD"/>
    <w:rsid w:val="005401B9"/>
    <w:rsid w:val="005419C8"/>
    <w:rsid w:val="00542DCE"/>
    <w:rsid w:val="00544111"/>
    <w:rsid w:val="00544B8E"/>
    <w:rsid w:val="00546749"/>
    <w:rsid w:val="00551277"/>
    <w:rsid w:val="005517B7"/>
    <w:rsid w:val="005526E7"/>
    <w:rsid w:val="0055703D"/>
    <w:rsid w:val="00557EC0"/>
    <w:rsid w:val="00562F8E"/>
    <w:rsid w:val="005639E0"/>
    <w:rsid w:val="005653D1"/>
    <w:rsid w:val="00566994"/>
    <w:rsid w:val="00567B63"/>
    <w:rsid w:val="0057044D"/>
    <w:rsid w:val="0057127A"/>
    <w:rsid w:val="00571EEF"/>
    <w:rsid w:val="00575208"/>
    <w:rsid w:val="00575CC6"/>
    <w:rsid w:val="0057643F"/>
    <w:rsid w:val="005765DD"/>
    <w:rsid w:val="00577427"/>
    <w:rsid w:val="005776F8"/>
    <w:rsid w:val="00587AD2"/>
    <w:rsid w:val="005918AE"/>
    <w:rsid w:val="00593CFC"/>
    <w:rsid w:val="00597768"/>
    <w:rsid w:val="00597C5B"/>
    <w:rsid w:val="00597CB6"/>
    <w:rsid w:val="005A2CAF"/>
    <w:rsid w:val="005A372C"/>
    <w:rsid w:val="005A4B18"/>
    <w:rsid w:val="005A6162"/>
    <w:rsid w:val="005A769A"/>
    <w:rsid w:val="005B1612"/>
    <w:rsid w:val="005B3A09"/>
    <w:rsid w:val="005B499E"/>
    <w:rsid w:val="005B4B2A"/>
    <w:rsid w:val="005B4DEF"/>
    <w:rsid w:val="005C1798"/>
    <w:rsid w:val="005C207B"/>
    <w:rsid w:val="005C33AA"/>
    <w:rsid w:val="005C69B2"/>
    <w:rsid w:val="005D4005"/>
    <w:rsid w:val="005D4397"/>
    <w:rsid w:val="005E5037"/>
    <w:rsid w:val="005E503A"/>
    <w:rsid w:val="005E6064"/>
    <w:rsid w:val="005E68D9"/>
    <w:rsid w:val="005F2A93"/>
    <w:rsid w:val="005F4A23"/>
    <w:rsid w:val="005F50BC"/>
    <w:rsid w:val="005F5763"/>
    <w:rsid w:val="005F74D4"/>
    <w:rsid w:val="005F761E"/>
    <w:rsid w:val="006034D9"/>
    <w:rsid w:val="006103B2"/>
    <w:rsid w:val="006135E8"/>
    <w:rsid w:val="00614EC6"/>
    <w:rsid w:val="006150FE"/>
    <w:rsid w:val="00616D94"/>
    <w:rsid w:val="006173C0"/>
    <w:rsid w:val="006173E5"/>
    <w:rsid w:val="006205FE"/>
    <w:rsid w:val="00621EB8"/>
    <w:rsid w:val="006249C0"/>
    <w:rsid w:val="00627E68"/>
    <w:rsid w:val="0063284E"/>
    <w:rsid w:val="00632E4D"/>
    <w:rsid w:val="00635A1C"/>
    <w:rsid w:val="00636620"/>
    <w:rsid w:val="00644071"/>
    <w:rsid w:val="0065083F"/>
    <w:rsid w:val="00650BA2"/>
    <w:rsid w:val="00651563"/>
    <w:rsid w:val="00652C50"/>
    <w:rsid w:val="00654216"/>
    <w:rsid w:val="0065754F"/>
    <w:rsid w:val="00657C6D"/>
    <w:rsid w:val="00662A0C"/>
    <w:rsid w:val="0066739C"/>
    <w:rsid w:val="0067296F"/>
    <w:rsid w:val="00672D91"/>
    <w:rsid w:val="0067594F"/>
    <w:rsid w:val="006773B8"/>
    <w:rsid w:val="00677D31"/>
    <w:rsid w:val="00677E88"/>
    <w:rsid w:val="006813C2"/>
    <w:rsid w:val="00681BF4"/>
    <w:rsid w:val="00682B82"/>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4724"/>
    <w:rsid w:val="006B6086"/>
    <w:rsid w:val="006B6497"/>
    <w:rsid w:val="006C0CD2"/>
    <w:rsid w:val="006C1DFE"/>
    <w:rsid w:val="006C3A71"/>
    <w:rsid w:val="006C60CD"/>
    <w:rsid w:val="006C776D"/>
    <w:rsid w:val="006D05C4"/>
    <w:rsid w:val="006D23B0"/>
    <w:rsid w:val="006D2615"/>
    <w:rsid w:val="006D2C8E"/>
    <w:rsid w:val="006D6362"/>
    <w:rsid w:val="006D692D"/>
    <w:rsid w:val="006E0A7E"/>
    <w:rsid w:val="006E289C"/>
    <w:rsid w:val="006E4CB0"/>
    <w:rsid w:val="006F198A"/>
    <w:rsid w:val="006F344E"/>
    <w:rsid w:val="006F35CB"/>
    <w:rsid w:val="006F6591"/>
    <w:rsid w:val="006F7C5F"/>
    <w:rsid w:val="00700872"/>
    <w:rsid w:val="00703216"/>
    <w:rsid w:val="007037D4"/>
    <w:rsid w:val="0070568F"/>
    <w:rsid w:val="0070719B"/>
    <w:rsid w:val="0071046F"/>
    <w:rsid w:val="00714078"/>
    <w:rsid w:val="00717629"/>
    <w:rsid w:val="007176FE"/>
    <w:rsid w:val="0072187A"/>
    <w:rsid w:val="00721945"/>
    <w:rsid w:val="00721E05"/>
    <w:rsid w:val="0072229F"/>
    <w:rsid w:val="00722416"/>
    <w:rsid w:val="00723219"/>
    <w:rsid w:val="007244E7"/>
    <w:rsid w:val="00725101"/>
    <w:rsid w:val="00726248"/>
    <w:rsid w:val="00727F69"/>
    <w:rsid w:val="00734706"/>
    <w:rsid w:val="00737B53"/>
    <w:rsid w:val="00740B77"/>
    <w:rsid w:val="00743D3E"/>
    <w:rsid w:val="00744464"/>
    <w:rsid w:val="00745142"/>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5DC1"/>
    <w:rsid w:val="00767480"/>
    <w:rsid w:val="007677B6"/>
    <w:rsid w:val="00770E94"/>
    <w:rsid w:val="00772802"/>
    <w:rsid w:val="00772DBA"/>
    <w:rsid w:val="0077386A"/>
    <w:rsid w:val="00775E4C"/>
    <w:rsid w:val="0078067F"/>
    <w:rsid w:val="00781E7C"/>
    <w:rsid w:val="00781F43"/>
    <w:rsid w:val="00782C59"/>
    <w:rsid w:val="00784CE5"/>
    <w:rsid w:val="00784FCB"/>
    <w:rsid w:val="00785265"/>
    <w:rsid w:val="007863E5"/>
    <w:rsid w:val="0078738B"/>
    <w:rsid w:val="007875A5"/>
    <w:rsid w:val="00787AA0"/>
    <w:rsid w:val="00792E82"/>
    <w:rsid w:val="0079467E"/>
    <w:rsid w:val="00794ED1"/>
    <w:rsid w:val="00794F16"/>
    <w:rsid w:val="00797E51"/>
    <w:rsid w:val="007A378A"/>
    <w:rsid w:val="007A53AB"/>
    <w:rsid w:val="007A7106"/>
    <w:rsid w:val="007B04E5"/>
    <w:rsid w:val="007B050D"/>
    <w:rsid w:val="007B7A65"/>
    <w:rsid w:val="007B7F2E"/>
    <w:rsid w:val="007C2B40"/>
    <w:rsid w:val="007C3198"/>
    <w:rsid w:val="007C322E"/>
    <w:rsid w:val="007C3B68"/>
    <w:rsid w:val="007C3D87"/>
    <w:rsid w:val="007C5BB0"/>
    <w:rsid w:val="007D1F9C"/>
    <w:rsid w:val="007D2B90"/>
    <w:rsid w:val="007D6758"/>
    <w:rsid w:val="007E0555"/>
    <w:rsid w:val="007E16FA"/>
    <w:rsid w:val="007E1940"/>
    <w:rsid w:val="007E1D81"/>
    <w:rsid w:val="007E3566"/>
    <w:rsid w:val="007E43A6"/>
    <w:rsid w:val="007E5667"/>
    <w:rsid w:val="007E7AEE"/>
    <w:rsid w:val="007F38BE"/>
    <w:rsid w:val="007F5489"/>
    <w:rsid w:val="007F560F"/>
    <w:rsid w:val="007F71A9"/>
    <w:rsid w:val="00800FF7"/>
    <w:rsid w:val="0080209E"/>
    <w:rsid w:val="008045D2"/>
    <w:rsid w:val="00806164"/>
    <w:rsid w:val="008079FE"/>
    <w:rsid w:val="00811191"/>
    <w:rsid w:val="00817C63"/>
    <w:rsid w:val="00820143"/>
    <w:rsid w:val="00821B1F"/>
    <w:rsid w:val="00824BB9"/>
    <w:rsid w:val="00825780"/>
    <w:rsid w:val="008269CB"/>
    <w:rsid w:val="00830FD3"/>
    <w:rsid w:val="00840942"/>
    <w:rsid w:val="00842CF6"/>
    <w:rsid w:val="008439EE"/>
    <w:rsid w:val="0084558B"/>
    <w:rsid w:val="008462B7"/>
    <w:rsid w:val="00846D87"/>
    <w:rsid w:val="00851176"/>
    <w:rsid w:val="00855398"/>
    <w:rsid w:val="0086106D"/>
    <w:rsid w:val="0086127B"/>
    <w:rsid w:val="008617F4"/>
    <w:rsid w:val="008629EE"/>
    <w:rsid w:val="00862E96"/>
    <w:rsid w:val="00863CC0"/>
    <w:rsid w:val="00863E5B"/>
    <w:rsid w:val="00865178"/>
    <w:rsid w:val="0086738B"/>
    <w:rsid w:val="00867736"/>
    <w:rsid w:val="00873346"/>
    <w:rsid w:val="00873FA0"/>
    <w:rsid w:val="00874049"/>
    <w:rsid w:val="0087506C"/>
    <w:rsid w:val="00880DFE"/>
    <w:rsid w:val="0088374E"/>
    <w:rsid w:val="008869EF"/>
    <w:rsid w:val="00887B2F"/>
    <w:rsid w:val="00893688"/>
    <w:rsid w:val="0089370D"/>
    <w:rsid w:val="008A0565"/>
    <w:rsid w:val="008A19BF"/>
    <w:rsid w:val="008A41F6"/>
    <w:rsid w:val="008A5732"/>
    <w:rsid w:val="008B1C40"/>
    <w:rsid w:val="008B26D0"/>
    <w:rsid w:val="008B4EC2"/>
    <w:rsid w:val="008B6EEF"/>
    <w:rsid w:val="008C10F5"/>
    <w:rsid w:val="008C1A3B"/>
    <w:rsid w:val="008C2D68"/>
    <w:rsid w:val="008C37B5"/>
    <w:rsid w:val="008C50F3"/>
    <w:rsid w:val="008D50BB"/>
    <w:rsid w:val="008D5E21"/>
    <w:rsid w:val="008D5FB3"/>
    <w:rsid w:val="008D6243"/>
    <w:rsid w:val="008D74D6"/>
    <w:rsid w:val="008D7D19"/>
    <w:rsid w:val="008E08E5"/>
    <w:rsid w:val="008E0C61"/>
    <w:rsid w:val="008E267E"/>
    <w:rsid w:val="008E64F0"/>
    <w:rsid w:val="008F0C90"/>
    <w:rsid w:val="008F3A3C"/>
    <w:rsid w:val="008F6057"/>
    <w:rsid w:val="00900ECE"/>
    <w:rsid w:val="00903898"/>
    <w:rsid w:val="00910803"/>
    <w:rsid w:val="009140F3"/>
    <w:rsid w:val="00916604"/>
    <w:rsid w:val="009176CB"/>
    <w:rsid w:val="00917808"/>
    <w:rsid w:val="0092003C"/>
    <w:rsid w:val="009219AA"/>
    <w:rsid w:val="009257E0"/>
    <w:rsid w:val="00927E04"/>
    <w:rsid w:val="00937435"/>
    <w:rsid w:val="00942E4E"/>
    <w:rsid w:val="00942FDD"/>
    <w:rsid w:val="00943382"/>
    <w:rsid w:val="00944E3B"/>
    <w:rsid w:val="009464AB"/>
    <w:rsid w:val="009469D1"/>
    <w:rsid w:val="009507E9"/>
    <w:rsid w:val="00952978"/>
    <w:rsid w:val="00953B12"/>
    <w:rsid w:val="0095466D"/>
    <w:rsid w:val="00964259"/>
    <w:rsid w:val="00966B08"/>
    <w:rsid w:val="00971D2C"/>
    <w:rsid w:val="00975763"/>
    <w:rsid w:val="00982065"/>
    <w:rsid w:val="00984CF7"/>
    <w:rsid w:val="00984FDD"/>
    <w:rsid w:val="009878B6"/>
    <w:rsid w:val="00990C05"/>
    <w:rsid w:val="00992536"/>
    <w:rsid w:val="00997D57"/>
    <w:rsid w:val="009A1957"/>
    <w:rsid w:val="009A3D2C"/>
    <w:rsid w:val="009A4A69"/>
    <w:rsid w:val="009A4CFA"/>
    <w:rsid w:val="009A5306"/>
    <w:rsid w:val="009A5696"/>
    <w:rsid w:val="009A5A2E"/>
    <w:rsid w:val="009A61D8"/>
    <w:rsid w:val="009B13D8"/>
    <w:rsid w:val="009B605D"/>
    <w:rsid w:val="009C2524"/>
    <w:rsid w:val="009C5A40"/>
    <w:rsid w:val="009D4A03"/>
    <w:rsid w:val="009D7F2A"/>
    <w:rsid w:val="009E5C80"/>
    <w:rsid w:val="009E6AF9"/>
    <w:rsid w:val="009F08A3"/>
    <w:rsid w:val="009F11F5"/>
    <w:rsid w:val="009F2AAF"/>
    <w:rsid w:val="009F4744"/>
    <w:rsid w:val="009F7EBB"/>
    <w:rsid w:val="00A00CA5"/>
    <w:rsid w:val="00A064E7"/>
    <w:rsid w:val="00A07E1F"/>
    <w:rsid w:val="00A13C8A"/>
    <w:rsid w:val="00A14317"/>
    <w:rsid w:val="00A20979"/>
    <w:rsid w:val="00A219A9"/>
    <w:rsid w:val="00A230DA"/>
    <w:rsid w:val="00A2698D"/>
    <w:rsid w:val="00A27A1A"/>
    <w:rsid w:val="00A319D0"/>
    <w:rsid w:val="00A323A3"/>
    <w:rsid w:val="00A339CE"/>
    <w:rsid w:val="00A33B2C"/>
    <w:rsid w:val="00A36A3A"/>
    <w:rsid w:val="00A37688"/>
    <w:rsid w:val="00A37AAA"/>
    <w:rsid w:val="00A44161"/>
    <w:rsid w:val="00A466BA"/>
    <w:rsid w:val="00A55C36"/>
    <w:rsid w:val="00A5606D"/>
    <w:rsid w:val="00A5629E"/>
    <w:rsid w:val="00A57355"/>
    <w:rsid w:val="00A61224"/>
    <w:rsid w:val="00A61AA6"/>
    <w:rsid w:val="00A63210"/>
    <w:rsid w:val="00A65E34"/>
    <w:rsid w:val="00A65FBD"/>
    <w:rsid w:val="00A66A54"/>
    <w:rsid w:val="00A66AC9"/>
    <w:rsid w:val="00A6769E"/>
    <w:rsid w:val="00A70242"/>
    <w:rsid w:val="00A7116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3C09"/>
    <w:rsid w:val="00AA53F0"/>
    <w:rsid w:val="00AA6159"/>
    <w:rsid w:val="00AA6469"/>
    <w:rsid w:val="00AB1C95"/>
    <w:rsid w:val="00AB20FB"/>
    <w:rsid w:val="00AB2EEA"/>
    <w:rsid w:val="00AB7218"/>
    <w:rsid w:val="00AC2726"/>
    <w:rsid w:val="00AC35B6"/>
    <w:rsid w:val="00AC5771"/>
    <w:rsid w:val="00AC6860"/>
    <w:rsid w:val="00AD0C32"/>
    <w:rsid w:val="00AD5D5D"/>
    <w:rsid w:val="00AD6981"/>
    <w:rsid w:val="00AE1CD6"/>
    <w:rsid w:val="00AE328D"/>
    <w:rsid w:val="00AE3E4E"/>
    <w:rsid w:val="00AE4C37"/>
    <w:rsid w:val="00AE4EF7"/>
    <w:rsid w:val="00AE5E94"/>
    <w:rsid w:val="00AF08B6"/>
    <w:rsid w:val="00AF4B94"/>
    <w:rsid w:val="00B00758"/>
    <w:rsid w:val="00B0374A"/>
    <w:rsid w:val="00B04EF9"/>
    <w:rsid w:val="00B05F7B"/>
    <w:rsid w:val="00B0642D"/>
    <w:rsid w:val="00B06CC6"/>
    <w:rsid w:val="00B06F3B"/>
    <w:rsid w:val="00B108E8"/>
    <w:rsid w:val="00B10D0B"/>
    <w:rsid w:val="00B1101C"/>
    <w:rsid w:val="00B1166C"/>
    <w:rsid w:val="00B13E13"/>
    <w:rsid w:val="00B15C71"/>
    <w:rsid w:val="00B1684A"/>
    <w:rsid w:val="00B20EF0"/>
    <w:rsid w:val="00B30553"/>
    <w:rsid w:val="00B35A8C"/>
    <w:rsid w:val="00B42113"/>
    <w:rsid w:val="00B431C6"/>
    <w:rsid w:val="00B4480A"/>
    <w:rsid w:val="00B45BCC"/>
    <w:rsid w:val="00B46502"/>
    <w:rsid w:val="00B46CDA"/>
    <w:rsid w:val="00B52F2D"/>
    <w:rsid w:val="00B57040"/>
    <w:rsid w:val="00B62A11"/>
    <w:rsid w:val="00B634EE"/>
    <w:rsid w:val="00B655AE"/>
    <w:rsid w:val="00B71ED1"/>
    <w:rsid w:val="00B77B91"/>
    <w:rsid w:val="00B81252"/>
    <w:rsid w:val="00B821AD"/>
    <w:rsid w:val="00B84773"/>
    <w:rsid w:val="00B85CA5"/>
    <w:rsid w:val="00B860DE"/>
    <w:rsid w:val="00B90FF6"/>
    <w:rsid w:val="00B93CCF"/>
    <w:rsid w:val="00B93F12"/>
    <w:rsid w:val="00B946A0"/>
    <w:rsid w:val="00B95FB7"/>
    <w:rsid w:val="00BA3ADF"/>
    <w:rsid w:val="00BA49A5"/>
    <w:rsid w:val="00BA4D28"/>
    <w:rsid w:val="00BA62C9"/>
    <w:rsid w:val="00BB453E"/>
    <w:rsid w:val="00BC10FC"/>
    <w:rsid w:val="00BC12BF"/>
    <w:rsid w:val="00BC2389"/>
    <w:rsid w:val="00BC4680"/>
    <w:rsid w:val="00BC5D7E"/>
    <w:rsid w:val="00BC75EB"/>
    <w:rsid w:val="00BD2F2C"/>
    <w:rsid w:val="00BD53EA"/>
    <w:rsid w:val="00BD5FBB"/>
    <w:rsid w:val="00BE2DF2"/>
    <w:rsid w:val="00BE4757"/>
    <w:rsid w:val="00BE4CFF"/>
    <w:rsid w:val="00BE58DB"/>
    <w:rsid w:val="00BE5A30"/>
    <w:rsid w:val="00BE7339"/>
    <w:rsid w:val="00BF04EB"/>
    <w:rsid w:val="00BF0E6F"/>
    <w:rsid w:val="00BF101B"/>
    <w:rsid w:val="00BF16DE"/>
    <w:rsid w:val="00BF41C9"/>
    <w:rsid w:val="00BF4777"/>
    <w:rsid w:val="00BF5167"/>
    <w:rsid w:val="00BF5209"/>
    <w:rsid w:val="00BF6ABD"/>
    <w:rsid w:val="00BF6E58"/>
    <w:rsid w:val="00BF6FD0"/>
    <w:rsid w:val="00BF7A19"/>
    <w:rsid w:val="00C116A1"/>
    <w:rsid w:val="00C11A08"/>
    <w:rsid w:val="00C177D8"/>
    <w:rsid w:val="00C20173"/>
    <w:rsid w:val="00C24B54"/>
    <w:rsid w:val="00C25817"/>
    <w:rsid w:val="00C37ACD"/>
    <w:rsid w:val="00C40303"/>
    <w:rsid w:val="00C40379"/>
    <w:rsid w:val="00C4217F"/>
    <w:rsid w:val="00C421A3"/>
    <w:rsid w:val="00C42E72"/>
    <w:rsid w:val="00C4752F"/>
    <w:rsid w:val="00C5037A"/>
    <w:rsid w:val="00C50AE8"/>
    <w:rsid w:val="00C51225"/>
    <w:rsid w:val="00C52041"/>
    <w:rsid w:val="00C60C4A"/>
    <w:rsid w:val="00C612F8"/>
    <w:rsid w:val="00C6174A"/>
    <w:rsid w:val="00C64112"/>
    <w:rsid w:val="00C64E44"/>
    <w:rsid w:val="00C67E64"/>
    <w:rsid w:val="00C74931"/>
    <w:rsid w:val="00C84130"/>
    <w:rsid w:val="00C84AA5"/>
    <w:rsid w:val="00C86B47"/>
    <w:rsid w:val="00C87808"/>
    <w:rsid w:val="00C90ED6"/>
    <w:rsid w:val="00C94E7B"/>
    <w:rsid w:val="00C9712C"/>
    <w:rsid w:val="00CA3F26"/>
    <w:rsid w:val="00CA3F59"/>
    <w:rsid w:val="00CA621F"/>
    <w:rsid w:val="00CA6663"/>
    <w:rsid w:val="00CA6D3C"/>
    <w:rsid w:val="00CB0694"/>
    <w:rsid w:val="00CB13A8"/>
    <w:rsid w:val="00CB2CAC"/>
    <w:rsid w:val="00CB5B4D"/>
    <w:rsid w:val="00CB7838"/>
    <w:rsid w:val="00CC060A"/>
    <w:rsid w:val="00CC0B01"/>
    <w:rsid w:val="00CC1E30"/>
    <w:rsid w:val="00CC5FA3"/>
    <w:rsid w:val="00CC6046"/>
    <w:rsid w:val="00CC761C"/>
    <w:rsid w:val="00CD1A44"/>
    <w:rsid w:val="00CD1A68"/>
    <w:rsid w:val="00CD4676"/>
    <w:rsid w:val="00CD4C4F"/>
    <w:rsid w:val="00CD76B9"/>
    <w:rsid w:val="00CE0201"/>
    <w:rsid w:val="00CE055D"/>
    <w:rsid w:val="00CE1194"/>
    <w:rsid w:val="00CE21A8"/>
    <w:rsid w:val="00CE44E6"/>
    <w:rsid w:val="00CE6B7F"/>
    <w:rsid w:val="00CF0C2B"/>
    <w:rsid w:val="00CF3502"/>
    <w:rsid w:val="00CF40FB"/>
    <w:rsid w:val="00CF6378"/>
    <w:rsid w:val="00D015AA"/>
    <w:rsid w:val="00D029FB"/>
    <w:rsid w:val="00D060D7"/>
    <w:rsid w:val="00D068F0"/>
    <w:rsid w:val="00D11C76"/>
    <w:rsid w:val="00D12F74"/>
    <w:rsid w:val="00D1300B"/>
    <w:rsid w:val="00D17313"/>
    <w:rsid w:val="00D212CB"/>
    <w:rsid w:val="00D223FB"/>
    <w:rsid w:val="00D22852"/>
    <w:rsid w:val="00D22D6B"/>
    <w:rsid w:val="00D232BE"/>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373E"/>
    <w:rsid w:val="00D64430"/>
    <w:rsid w:val="00D65155"/>
    <w:rsid w:val="00D7030D"/>
    <w:rsid w:val="00D713D9"/>
    <w:rsid w:val="00D734E6"/>
    <w:rsid w:val="00D77840"/>
    <w:rsid w:val="00D811C4"/>
    <w:rsid w:val="00D81DB6"/>
    <w:rsid w:val="00D83183"/>
    <w:rsid w:val="00D83C51"/>
    <w:rsid w:val="00D8423E"/>
    <w:rsid w:val="00D845BF"/>
    <w:rsid w:val="00D849B4"/>
    <w:rsid w:val="00D84BD6"/>
    <w:rsid w:val="00D8763A"/>
    <w:rsid w:val="00D909A1"/>
    <w:rsid w:val="00D90EF1"/>
    <w:rsid w:val="00D92F8D"/>
    <w:rsid w:val="00D93664"/>
    <w:rsid w:val="00D9441A"/>
    <w:rsid w:val="00D94BD5"/>
    <w:rsid w:val="00DA212E"/>
    <w:rsid w:val="00DB0255"/>
    <w:rsid w:val="00DB230F"/>
    <w:rsid w:val="00DC2C99"/>
    <w:rsid w:val="00DC2FD8"/>
    <w:rsid w:val="00DD3ADE"/>
    <w:rsid w:val="00DD45C6"/>
    <w:rsid w:val="00DD4702"/>
    <w:rsid w:val="00DD5B41"/>
    <w:rsid w:val="00DD5E80"/>
    <w:rsid w:val="00DD6512"/>
    <w:rsid w:val="00DD68C1"/>
    <w:rsid w:val="00DD76C3"/>
    <w:rsid w:val="00DE0207"/>
    <w:rsid w:val="00DE1CEA"/>
    <w:rsid w:val="00DE54CF"/>
    <w:rsid w:val="00DE58FD"/>
    <w:rsid w:val="00DE7E59"/>
    <w:rsid w:val="00DF034C"/>
    <w:rsid w:val="00DF229A"/>
    <w:rsid w:val="00DF496C"/>
    <w:rsid w:val="00DF5EAD"/>
    <w:rsid w:val="00E053DD"/>
    <w:rsid w:val="00E067AC"/>
    <w:rsid w:val="00E10C22"/>
    <w:rsid w:val="00E113A0"/>
    <w:rsid w:val="00E11B71"/>
    <w:rsid w:val="00E11DA5"/>
    <w:rsid w:val="00E15E21"/>
    <w:rsid w:val="00E1730A"/>
    <w:rsid w:val="00E31BE7"/>
    <w:rsid w:val="00E31EEB"/>
    <w:rsid w:val="00E33B9F"/>
    <w:rsid w:val="00E378E1"/>
    <w:rsid w:val="00E44C20"/>
    <w:rsid w:val="00E455AC"/>
    <w:rsid w:val="00E459C6"/>
    <w:rsid w:val="00E46E3D"/>
    <w:rsid w:val="00E471FA"/>
    <w:rsid w:val="00E50701"/>
    <w:rsid w:val="00E51B38"/>
    <w:rsid w:val="00E529A9"/>
    <w:rsid w:val="00E57FD9"/>
    <w:rsid w:val="00E641C0"/>
    <w:rsid w:val="00E650B5"/>
    <w:rsid w:val="00E67159"/>
    <w:rsid w:val="00E70237"/>
    <w:rsid w:val="00E72C11"/>
    <w:rsid w:val="00E7374E"/>
    <w:rsid w:val="00E762E9"/>
    <w:rsid w:val="00E8327B"/>
    <w:rsid w:val="00E84E00"/>
    <w:rsid w:val="00E85E26"/>
    <w:rsid w:val="00E86F32"/>
    <w:rsid w:val="00E90D5E"/>
    <w:rsid w:val="00EA2047"/>
    <w:rsid w:val="00EA4CFF"/>
    <w:rsid w:val="00EA511A"/>
    <w:rsid w:val="00EA72B2"/>
    <w:rsid w:val="00EA7C06"/>
    <w:rsid w:val="00EB00DA"/>
    <w:rsid w:val="00EB079D"/>
    <w:rsid w:val="00EB2A23"/>
    <w:rsid w:val="00EB4F58"/>
    <w:rsid w:val="00EB65BB"/>
    <w:rsid w:val="00EB6C30"/>
    <w:rsid w:val="00EC1C07"/>
    <w:rsid w:val="00EC2023"/>
    <w:rsid w:val="00EC4703"/>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36F5"/>
    <w:rsid w:val="00EF4B85"/>
    <w:rsid w:val="00EF5219"/>
    <w:rsid w:val="00EF70BB"/>
    <w:rsid w:val="00F00674"/>
    <w:rsid w:val="00F06A93"/>
    <w:rsid w:val="00F10110"/>
    <w:rsid w:val="00F10BCF"/>
    <w:rsid w:val="00F11B5A"/>
    <w:rsid w:val="00F153CC"/>
    <w:rsid w:val="00F15AF0"/>
    <w:rsid w:val="00F15D9F"/>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6A2"/>
    <w:rsid w:val="00F641DC"/>
    <w:rsid w:val="00F65453"/>
    <w:rsid w:val="00F67C20"/>
    <w:rsid w:val="00F71C5D"/>
    <w:rsid w:val="00F72618"/>
    <w:rsid w:val="00F72F1B"/>
    <w:rsid w:val="00F743FE"/>
    <w:rsid w:val="00F755F9"/>
    <w:rsid w:val="00F777B3"/>
    <w:rsid w:val="00F8449E"/>
    <w:rsid w:val="00F84522"/>
    <w:rsid w:val="00F84F11"/>
    <w:rsid w:val="00F86DBE"/>
    <w:rsid w:val="00F90922"/>
    <w:rsid w:val="00F91398"/>
    <w:rsid w:val="00F9414E"/>
    <w:rsid w:val="00FA00E1"/>
    <w:rsid w:val="00FA1335"/>
    <w:rsid w:val="00FB1BA3"/>
    <w:rsid w:val="00FB40F5"/>
    <w:rsid w:val="00FB624C"/>
    <w:rsid w:val="00FB68E4"/>
    <w:rsid w:val="00FB76F3"/>
    <w:rsid w:val="00FC01A4"/>
    <w:rsid w:val="00FC1416"/>
    <w:rsid w:val="00FC46EB"/>
    <w:rsid w:val="00FC4905"/>
    <w:rsid w:val="00FC739F"/>
    <w:rsid w:val="00FD0A3C"/>
    <w:rsid w:val="00FD0B4D"/>
    <w:rsid w:val="00FD25C4"/>
    <w:rsid w:val="00FD6872"/>
    <w:rsid w:val="00FD7007"/>
    <w:rsid w:val="00FE0597"/>
    <w:rsid w:val="00FE41BC"/>
    <w:rsid w:val="00FE7AE9"/>
    <w:rsid w:val="00FF2D57"/>
    <w:rsid w:val="00FF6A2D"/>
    <w:rsid w:val="00FF6B5C"/>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BD"/>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Heading2Char"/>
    <w:uiPriority w:val="99"/>
    <w:qFormat/>
    <w:rsid w:val="00DB230F"/>
    <w:pPr>
      <w:keepNext/>
      <w:spacing w:before="240" w:after="60"/>
      <w:jc w:val="left"/>
      <w:outlineLvl w:val="1"/>
    </w:pPr>
    <w:rPr>
      <w:rFonts w:ascii="Cambria" w:hAnsi="Cambria"/>
      <w:b/>
      <w:i/>
      <w:sz w:val="28"/>
    </w:rPr>
  </w:style>
  <w:style w:type="paragraph" w:styleId="Heading3">
    <w:name w:val="heading 3"/>
    <w:basedOn w:val="Normal"/>
    <w:next w:val="Normal"/>
    <w:link w:val="Heading3Char"/>
    <w:uiPriority w:val="99"/>
    <w:qFormat/>
    <w:rsid w:val="00DB230F"/>
    <w:pPr>
      <w:keepNext/>
      <w:spacing w:before="240" w:after="60"/>
      <w:jc w:val="left"/>
      <w:outlineLvl w:val="2"/>
    </w:pPr>
    <w:rPr>
      <w:rFonts w:ascii="Cambria" w:hAnsi="Cambria"/>
      <w:b/>
      <w:sz w:val="26"/>
    </w:rPr>
  </w:style>
  <w:style w:type="paragraph" w:styleId="Heading5">
    <w:name w:val="heading 5"/>
    <w:basedOn w:val="Normal"/>
    <w:next w:val="Normal"/>
    <w:link w:val="Heading5Char"/>
    <w:uiPriority w:val="99"/>
    <w:qFormat/>
    <w:rsid w:val="00336FBD"/>
    <w:pPr>
      <w:numPr>
        <w:ilvl w:val="4"/>
        <w:numId w:val="1"/>
      </w:numPr>
      <w:tabs>
        <w:tab w:val="num" w:pos="3240"/>
      </w:tabs>
      <w:spacing w:before="240" w:after="60"/>
      <w:ind w:left="2880"/>
      <w:jc w:val="left"/>
      <w:outlineLvl w:val="4"/>
    </w:pPr>
    <w:rPr>
      <w:b/>
      <w:i/>
      <w:sz w:val="26"/>
    </w:rPr>
  </w:style>
  <w:style w:type="paragraph" w:styleId="Heading6">
    <w:name w:val="heading 6"/>
    <w:basedOn w:val="Normal"/>
    <w:next w:val="Normal"/>
    <w:link w:val="Heading6Char"/>
    <w:uiPriority w:val="99"/>
    <w:qFormat/>
    <w:rsid w:val="00336FBD"/>
    <w:pPr>
      <w:numPr>
        <w:ilvl w:val="5"/>
        <w:numId w:val="1"/>
      </w:numPr>
      <w:tabs>
        <w:tab w:val="num" w:pos="3960"/>
      </w:tabs>
      <w:spacing w:before="240" w:after="60"/>
      <w:ind w:left="3600"/>
      <w:jc w:val="left"/>
      <w:outlineLvl w:val="5"/>
    </w:pPr>
    <w:rPr>
      <w:b/>
      <w:sz w:val="22"/>
    </w:rPr>
  </w:style>
  <w:style w:type="paragraph" w:styleId="Heading7">
    <w:name w:val="heading 7"/>
    <w:basedOn w:val="Normal"/>
    <w:next w:val="Normal"/>
    <w:link w:val="Heading7Char"/>
    <w:uiPriority w:val="99"/>
    <w:qFormat/>
    <w:rsid w:val="00336FBD"/>
    <w:pPr>
      <w:numPr>
        <w:ilvl w:val="6"/>
        <w:numId w:val="1"/>
      </w:numPr>
      <w:tabs>
        <w:tab w:val="num" w:pos="4680"/>
      </w:tabs>
      <w:spacing w:before="240" w:after="60"/>
      <w:ind w:left="4320"/>
      <w:jc w:val="left"/>
      <w:outlineLvl w:val="6"/>
    </w:pPr>
    <w:rPr>
      <w:sz w:val="24"/>
    </w:rPr>
  </w:style>
  <w:style w:type="paragraph" w:styleId="Heading8">
    <w:name w:val="heading 8"/>
    <w:basedOn w:val="Normal"/>
    <w:next w:val="Normal"/>
    <w:link w:val="Heading8Char"/>
    <w:uiPriority w:val="99"/>
    <w:qFormat/>
    <w:rsid w:val="00336FBD"/>
    <w:pPr>
      <w:numPr>
        <w:ilvl w:val="7"/>
        <w:numId w:val="1"/>
      </w:numPr>
      <w:tabs>
        <w:tab w:val="num" w:pos="5400"/>
      </w:tabs>
      <w:spacing w:before="240" w:after="60"/>
      <w:ind w:left="5040"/>
      <w:jc w:val="left"/>
      <w:outlineLvl w:val="7"/>
    </w:pPr>
    <w:rPr>
      <w:i/>
      <w:sz w:val="24"/>
    </w:rPr>
  </w:style>
  <w:style w:type="paragraph" w:styleId="Heading9">
    <w:name w:val="heading 9"/>
    <w:basedOn w:val="Normal"/>
    <w:next w:val="Normal"/>
    <w:link w:val="Heading9Char"/>
    <w:uiPriority w:val="99"/>
    <w:qFormat/>
    <w:rsid w:val="00336FBD"/>
    <w:pPr>
      <w:numPr>
        <w:ilvl w:val="8"/>
        <w:numId w:val="1"/>
      </w:numPr>
      <w:tabs>
        <w:tab w:val="num" w:pos="6120"/>
      </w:tabs>
      <w:spacing w:before="240" w:after="60"/>
      <w:ind w:left="5760"/>
      <w:jc w:val="left"/>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locked/>
    <w:rsid w:val="00DB230F"/>
    <w:rPr>
      <w:rFonts w:ascii="Cambria" w:hAnsi="Cambria" w:cs="Times New Roman"/>
      <w:b/>
      <w:i/>
      <w:sz w:val="28"/>
      <w:rtl w:val="0"/>
      <w:cs w:val="0"/>
    </w:rPr>
  </w:style>
  <w:style w:type="character" w:customStyle="1" w:styleId="Heading3Char">
    <w:name w:val="Heading 3 Char"/>
    <w:basedOn w:val="DefaultParagraphFont"/>
    <w:link w:val="Heading3"/>
    <w:uiPriority w:val="99"/>
    <w:semiHidden/>
    <w:locked/>
    <w:rsid w:val="00DB230F"/>
    <w:rPr>
      <w:rFonts w:ascii="Cambria" w:hAnsi="Cambria" w:cs="Times New Roman"/>
      <w:b/>
      <w:sz w:val="26"/>
      <w:rtl w:val="0"/>
      <w:cs w:val="0"/>
    </w:rPr>
  </w:style>
  <w:style w:type="character" w:customStyle="1" w:styleId="Heading5Char">
    <w:name w:val="Heading 5 Char"/>
    <w:basedOn w:val="DefaultParagraphFont"/>
    <w:link w:val="Heading5"/>
    <w:uiPriority w:val="99"/>
    <w:locked/>
    <w:rsid w:val="00336FBD"/>
    <w:rPr>
      <w:rFonts w:ascii="Times New Roman" w:hAnsi="Times New Roman" w:cs="Times New Roman"/>
      <w:b/>
      <w:i/>
      <w:sz w:val="26"/>
      <w:rtl w:val="0"/>
      <w:cs w:val="0"/>
    </w:rPr>
  </w:style>
  <w:style w:type="character" w:customStyle="1" w:styleId="Heading6Char">
    <w:name w:val="Heading 6 Char"/>
    <w:basedOn w:val="DefaultParagraphFont"/>
    <w:link w:val="Heading6"/>
    <w:uiPriority w:val="99"/>
    <w:locked/>
    <w:rsid w:val="00336FBD"/>
    <w:rPr>
      <w:rFonts w:ascii="Times New Roman" w:hAnsi="Times New Roman" w:cs="Times New Roman"/>
      <w:b/>
      <w:sz w:val="22"/>
      <w:rtl w:val="0"/>
      <w:cs w:val="0"/>
    </w:rPr>
  </w:style>
  <w:style w:type="character" w:customStyle="1" w:styleId="Heading7Char">
    <w:name w:val="Heading 7 Char"/>
    <w:basedOn w:val="DefaultParagraphFont"/>
    <w:link w:val="Heading7"/>
    <w:uiPriority w:val="99"/>
    <w:locked/>
    <w:rsid w:val="00336FBD"/>
    <w:rPr>
      <w:rFonts w:ascii="Times New Roman" w:hAnsi="Times New Roman" w:cs="Times New Roman"/>
      <w:sz w:val="24"/>
      <w:rtl w:val="0"/>
      <w:cs w:val="0"/>
    </w:rPr>
  </w:style>
  <w:style w:type="character" w:customStyle="1" w:styleId="Heading8Char">
    <w:name w:val="Heading 8 Char"/>
    <w:basedOn w:val="DefaultParagraphFont"/>
    <w:link w:val="Heading8"/>
    <w:uiPriority w:val="99"/>
    <w:locked/>
    <w:rsid w:val="00336FBD"/>
    <w:rPr>
      <w:rFonts w:ascii="Times New Roman" w:hAnsi="Times New Roman" w:cs="Times New Roman"/>
      <w:i/>
      <w:sz w:val="24"/>
      <w:rtl w:val="0"/>
      <w:cs w:val="0"/>
    </w:rPr>
  </w:style>
  <w:style w:type="character" w:customStyle="1" w:styleId="Heading9Char">
    <w:name w:val="Heading 9 Char"/>
    <w:basedOn w:val="DefaultParagraphFont"/>
    <w:link w:val="Heading9"/>
    <w:uiPriority w:val="99"/>
    <w:locked/>
    <w:rsid w:val="00336FBD"/>
    <w:rPr>
      <w:rFonts w:ascii="Arial" w:hAnsi="Arial" w:cs="Times New Roman"/>
      <w:sz w:val="22"/>
      <w:rtl w:val="0"/>
      <w:cs w:val="0"/>
    </w:rPr>
  </w:style>
  <w:style w:type="table" w:styleId="TableGrid">
    <w:name w:val="Table Grid"/>
    <w:basedOn w:val="TableNormal"/>
    <w:uiPriority w:val="99"/>
    <w:rsid w:val="00440413"/>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orobas">
    <w:name w:val="Nadpis 1.Čo robí (časť)"/>
    <w:basedOn w:val="Normal"/>
    <w:next w:val="Normal"/>
    <w:uiPriority w:val="99"/>
    <w:rsid w:val="00336FBD"/>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rsid w:val="00336FBD"/>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rsid w:val="00336FBD"/>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rsid w:val="00336FBD"/>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rsid w:val="00336FBD"/>
    <w:pPr>
      <w:jc w:val="both"/>
    </w:pPr>
  </w:style>
  <w:style w:type="character" w:customStyle="1" w:styleId="BodyTextChar">
    <w:name w:val="Body Text Char"/>
    <w:basedOn w:val="DefaultParagraphFont"/>
    <w:link w:val="BodyText"/>
    <w:uiPriority w:val="99"/>
    <w:locked/>
    <w:rsid w:val="00336FBD"/>
    <w:rPr>
      <w:rFonts w:ascii="Times New Roman" w:hAnsi="Times New Roman" w:cs="Times New Roman"/>
      <w:sz w:val="20"/>
      <w:rtl w:val="0"/>
      <w:cs w:val="0"/>
    </w:rPr>
  </w:style>
  <w:style w:type="character" w:customStyle="1" w:styleId="Heading1CharorobasChar">
    <w:name w:val="Heading 1 Char.Čo robí (časť) Char"/>
    <w:uiPriority w:val="99"/>
    <w:rsid w:val="00336FBD"/>
    <w:rPr>
      <w:rFonts w:ascii="Times New Roman" w:hAnsi="Times New Roman" w:cs="Times New Roman"/>
      <w:b/>
      <w:kern w:val="32"/>
      <w:sz w:val="28"/>
    </w:rPr>
  </w:style>
  <w:style w:type="character" w:styleId="CommentReference">
    <w:name w:val="annotation reference"/>
    <w:basedOn w:val="DefaultParagraphFont"/>
    <w:uiPriority w:val="99"/>
    <w:semiHidden/>
    <w:rsid w:val="00336FBD"/>
    <w:rPr>
      <w:rFonts w:cs="Times New Roman"/>
      <w:sz w:val="16"/>
      <w:rtl w:val="0"/>
      <w:cs w:val="0"/>
    </w:rPr>
  </w:style>
  <w:style w:type="paragraph" w:styleId="CommentText">
    <w:name w:val="annotation text"/>
    <w:basedOn w:val="Normal"/>
    <w:link w:val="CommentTextChar"/>
    <w:uiPriority w:val="99"/>
    <w:semiHidden/>
    <w:rsid w:val="00336FBD"/>
    <w:pPr>
      <w:jc w:val="left"/>
    </w:pPr>
  </w:style>
  <w:style w:type="character" w:customStyle="1" w:styleId="CommentTextChar">
    <w:name w:val="Comment Text Char"/>
    <w:basedOn w:val="DefaultParagraphFont"/>
    <w:link w:val="CommentText"/>
    <w:uiPriority w:val="99"/>
    <w:locked/>
    <w:rsid w:val="00336FBD"/>
    <w:rPr>
      <w:rFonts w:ascii="Times New Roman" w:hAnsi="Times New Roman" w:cs="Times New Roman"/>
      <w:sz w:val="20"/>
      <w:rtl w:val="0"/>
      <w:cs w:val="0"/>
    </w:rPr>
  </w:style>
  <w:style w:type="paragraph" w:styleId="BalloonText">
    <w:name w:val="Balloon Text"/>
    <w:basedOn w:val="Normal"/>
    <w:link w:val="BalloonTextChar"/>
    <w:uiPriority w:val="99"/>
    <w:semiHidden/>
    <w:rsid w:val="00336FBD"/>
    <w:pPr>
      <w:jc w:val="left"/>
    </w:pPr>
    <w:rPr>
      <w:rFonts w:ascii="Tahoma" w:hAnsi="Tahoma"/>
      <w:sz w:val="16"/>
    </w:rPr>
  </w:style>
  <w:style w:type="character" w:customStyle="1" w:styleId="BalloonTextChar">
    <w:name w:val="Balloon Text Char"/>
    <w:basedOn w:val="DefaultParagraphFont"/>
    <w:link w:val="BalloonText"/>
    <w:uiPriority w:val="99"/>
    <w:locked/>
    <w:rsid w:val="00336FBD"/>
    <w:rPr>
      <w:rFonts w:ascii="Tahoma" w:hAnsi="Tahoma" w:cs="Times New Roman"/>
      <w:sz w:val="16"/>
      <w:rtl w:val="0"/>
      <w:cs w:val="0"/>
    </w:rPr>
  </w:style>
  <w:style w:type="paragraph" w:styleId="CommentSubject">
    <w:name w:val="annotation subject"/>
    <w:basedOn w:val="CommentText"/>
    <w:next w:val="CommentText"/>
    <w:link w:val="CommentSubjectChar"/>
    <w:uiPriority w:val="99"/>
    <w:semiHidden/>
    <w:rsid w:val="007546A1"/>
    <w:pPr>
      <w:jc w:val="left"/>
    </w:pPr>
    <w:rPr>
      <w:b/>
    </w:rPr>
  </w:style>
  <w:style w:type="character" w:customStyle="1" w:styleId="CommentSubjectChar">
    <w:name w:val="Comment Subject Char"/>
    <w:basedOn w:val="CommentTextChar"/>
    <w:link w:val="CommentSubject"/>
    <w:uiPriority w:val="99"/>
    <w:semiHidden/>
    <w:locked/>
    <w:rsid w:val="007546A1"/>
    <w:rPr>
      <w:b/>
    </w:rPr>
  </w:style>
  <w:style w:type="paragraph" w:styleId="FootnoteText">
    <w:name w:val="footnote text"/>
    <w:basedOn w:val="Normal"/>
    <w:link w:val="FootnoteTextChar"/>
    <w:uiPriority w:val="99"/>
    <w:semiHidden/>
    <w:rsid w:val="008C37B5"/>
    <w:pPr>
      <w:jc w:val="left"/>
    </w:pPr>
  </w:style>
  <w:style w:type="character" w:customStyle="1" w:styleId="FootnoteTextChar">
    <w:name w:val="Footnote Text Char"/>
    <w:basedOn w:val="DefaultParagraphFont"/>
    <w:link w:val="FootnoteText"/>
    <w:uiPriority w:val="99"/>
    <w:semiHidden/>
    <w:locked/>
    <w:rsid w:val="008C37B5"/>
    <w:rPr>
      <w:rFonts w:ascii="Times New Roman" w:hAnsi="Times New Roman" w:cs="Times New Roman"/>
      <w:rtl w:val="0"/>
      <w:cs w:val="0"/>
    </w:rPr>
  </w:style>
  <w:style w:type="character" w:styleId="FootnoteReference">
    <w:name w:val="footnote reference"/>
    <w:basedOn w:val="DefaultParagraphFont"/>
    <w:uiPriority w:val="99"/>
    <w:semiHidden/>
    <w:rsid w:val="008C37B5"/>
    <w:rPr>
      <w:rFonts w:cs="Times New Roman"/>
      <w:vertAlign w:val="superscript"/>
      <w:rtl w:val="0"/>
      <w:cs w:val="0"/>
    </w:rPr>
  </w:style>
  <w:style w:type="paragraph" w:styleId="ListParagraph">
    <w:name w:val="List Paragraph"/>
    <w:basedOn w:val="Normal"/>
    <w:uiPriority w:val="99"/>
    <w:qFormat/>
    <w:rsid w:val="00C86B47"/>
    <w:pPr>
      <w:autoSpaceDE/>
      <w:autoSpaceDN/>
      <w:spacing w:after="200" w:line="276" w:lineRule="auto"/>
      <w:ind w:left="720"/>
      <w:jc w:val="left"/>
    </w:pPr>
    <w:rPr>
      <w:rFonts w:ascii="Calibri" w:hAnsi="Calibri"/>
      <w:sz w:val="22"/>
      <w:szCs w:val="22"/>
      <w:lang w:eastAsia="en-US"/>
    </w:rPr>
  </w:style>
  <w:style w:type="paragraph" w:customStyle="1" w:styleId="lnok1">
    <w:name w:val="článok1"/>
    <w:basedOn w:val="Normal"/>
    <w:next w:val="Normal"/>
    <w:uiPriority w:val="99"/>
    <w:rsid w:val="007C3D87"/>
    <w:pPr>
      <w:numPr>
        <w:numId w:val="2"/>
      </w:numPr>
      <w:autoSpaceDE/>
      <w:autoSpaceDN/>
      <w:snapToGrid w:val="0"/>
      <w:spacing w:before="120"/>
      <w:ind w:left="6120" w:hanging="360"/>
      <w:jc w:val="center"/>
    </w:pPr>
    <w:rPr>
      <w:sz w:val="24"/>
      <w:szCs w:val="24"/>
      <w:lang w:val="en-US" w:eastAsia="cs-CZ"/>
    </w:rPr>
  </w:style>
  <w:style w:type="character" w:styleId="Hyperlink">
    <w:name w:val="Hyperlink"/>
    <w:basedOn w:val="DefaultParagraphFont"/>
    <w:uiPriority w:val="99"/>
    <w:semiHidden/>
    <w:rsid w:val="003741CB"/>
    <w:rPr>
      <w:rFonts w:cs="Times New Roman"/>
      <w:color w:val="0000FF"/>
      <w:u w:val="single"/>
      <w:rtl w:val="0"/>
      <w:cs w:val="0"/>
    </w:rPr>
  </w:style>
  <w:style w:type="character" w:styleId="HTMLTypewriter">
    <w:name w:val="HTML Typewriter"/>
    <w:basedOn w:val="DefaultParagraphFont"/>
    <w:uiPriority w:val="99"/>
    <w:semiHidden/>
    <w:rsid w:val="00F84F11"/>
    <w:rPr>
      <w:rFonts w:ascii="Courier New" w:hAnsi="Courier New" w:cs="Times New Roman"/>
      <w:sz w:val="20"/>
      <w:rtl w:val="0"/>
      <w:cs w:val="0"/>
    </w:rPr>
  </w:style>
  <w:style w:type="character" w:customStyle="1" w:styleId="apple-converted-space">
    <w:name w:val="apple-converted-space"/>
    <w:uiPriority w:val="99"/>
    <w:rsid w:val="00740B77"/>
  </w:style>
  <w:style w:type="paragraph" w:styleId="EndnoteText">
    <w:name w:val="endnote text"/>
    <w:basedOn w:val="Normal"/>
    <w:link w:val="EndnoteTextChar"/>
    <w:uiPriority w:val="99"/>
    <w:semiHidden/>
    <w:rsid w:val="00A63210"/>
    <w:pPr>
      <w:jc w:val="left"/>
    </w:pPr>
  </w:style>
  <w:style w:type="character" w:customStyle="1" w:styleId="EndnoteTextChar">
    <w:name w:val="Endnote Text Char"/>
    <w:basedOn w:val="DefaultParagraphFont"/>
    <w:link w:val="EndnoteText"/>
    <w:uiPriority w:val="99"/>
    <w:semiHidden/>
    <w:locked/>
    <w:rsid w:val="00A63210"/>
    <w:rPr>
      <w:rFonts w:ascii="Times New Roman" w:hAnsi="Times New Roman" w:cs="Times New Roman"/>
      <w:rtl w:val="0"/>
      <w:cs w:val="0"/>
    </w:rPr>
  </w:style>
  <w:style w:type="character" w:styleId="EndnoteReference">
    <w:name w:val="endnote reference"/>
    <w:basedOn w:val="DefaultParagraphFont"/>
    <w:uiPriority w:val="99"/>
    <w:semiHidden/>
    <w:rsid w:val="00A6321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1455</Words>
  <Characters>8300</Characters>
  <Application>Microsoft Office Word</Application>
  <DocSecurity>0</DocSecurity>
  <Lines>0</Lines>
  <Paragraphs>0</Paragraphs>
  <ScaleCrop>false</ScaleCrop>
  <Company>Nebo</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2013-04-24T15:34:00Z</cp:lastPrinted>
  <dcterms:created xsi:type="dcterms:W3CDTF">2014-11-06T13:32:00Z</dcterms:created>
  <dcterms:modified xsi:type="dcterms:W3CDTF">2014-11-06T13:32:00Z</dcterms:modified>
</cp:coreProperties>
</file>