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43C1" w:rsidP="003E43C1">
      <w:pPr>
        <w:pStyle w:val="Header"/>
        <w:bidi w:val="0"/>
        <w:spacing w:after="0"/>
        <w:jc w:val="center"/>
        <w:rPr>
          <w:rFonts w:ascii="Times New Roman" w:hAnsi="Times New Roman"/>
          <w:b/>
          <w:bCs/>
          <w:sz w:val="44"/>
          <w:szCs w:val="36"/>
        </w:rPr>
      </w:pPr>
      <w:bookmarkStart w:id="0" w:name="_Toc252456193"/>
      <w:bookmarkStart w:id="1" w:name="_Toc252805695"/>
      <w:bookmarkStart w:id="2" w:name="_Toc275948223"/>
      <w:bookmarkStart w:id="3" w:name="_Toc384124252"/>
      <w:bookmarkStart w:id="4" w:name="_Toc394471503"/>
      <w:bookmarkStart w:id="5" w:name="_Toc394471854"/>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r>
        <w:rPr>
          <w:rFonts w:ascii="Times New Roman" w:hAnsi="Times New Roman"/>
          <w:b/>
          <w:bCs/>
          <w:sz w:val="44"/>
          <w:szCs w:val="36"/>
        </w:rPr>
        <w:t>Príloha č. 6</w:t>
      </w:r>
    </w:p>
    <w:p w:rsidR="003E43C1" w:rsidP="003E43C1">
      <w:pPr>
        <w:pStyle w:val="Header"/>
        <w:bidi w:val="0"/>
        <w:spacing w:after="0"/>
        <w:jc w:val="center"/>
        <w:rPr>
          <w:rFonts w:ascii="Times New Roman" w:hAnsi="Times New Roman"/>
          <w:b/>
          <w:bCs/>
          <w:sz w:val="44"/>
          <w:szCs w:val="36"/>
        </w:rPr>
      </w:pPr>
    </w:p>
    <w:p w:rsidR="003E43C1" w:rsidP="003E43C1">
      <w:pPr>
        <w:pStyle w:val="Header"/>
        <w:bidi w:val="0"/>
        <w:spacing w:after="0"/>
        <w:jc w:val="center"/>
        <w:rPr>
          <w:rFonts w:ascii="Times New Roman" w:hAnsi="Times New Roman"/>
          <w:b/>
          <w:bCs/>
          <w:sz w:val="44"/>
          <w:szCs w:val="36"/>
        </w:rPr>
      </w:pPr>
      <w:r>
        <w:rPr>
          <w:rFonts w:ascii="Times New Roman" w:hAnsi="Times New Roman"/>
          <w:b/>
          <w:bCs/>
          <w:sz w:val="44"/>
          <w:szCs w:val="36"/>
        </w:rPr>
        <w:t xml:space="preserve">Stratégia riadenia štátneho dlhu </w:t>
      </w:r>
      <w:r w:rsidR="008743BA">
        <w:rPr>
          <w:rFonts w:ascii="Times New Roman" w:hAnsi="Times New Roman"/>
          <w:b/>
          <w:bCs/>
          <w:sz w:val="44"/>
          <w:szCs w:val="36"/>
        </w:rPr>
        <w:br/>
      </w:r>
      <w:r>
        <w:rPr>
          <w:rFonts w:ascii="Times New Roman" w:hAnsi="Times New Roman"/>
          <w:b/>
          <w:bCs/>
          <w:sz w:val="44"/>
          <w:szCs w:val="36"/>
        </w:rPr>
        <w:t xml:space="preserve">na roky 2015 až 2018 </w:t>
      </w:r>
    </w:p>
    <w:p w:rsidR="003E43C1" w:rsidP="003E43C1">
      <w:pPr>
        <w:bidi w:val="0"/>
        <w:rPr>
          <w:rFonts w:ascii="Times New Roman" w:hAnsi="Times New Roman"/>
        </w:rPr>
      </w:pPr>
    </w:p>
    <w:p w:rsidR="003E43C1" w:rsidP="003E43C1">
      <w:pPr>
        <w:pStyle w:val="Heading2"/>
        <w:bidi w:val="0"/>
        <w:spacing w:before="480" w:after="840"/>
        <w:rPr>
          <w:rFonts w:ascii="Times New Roman" w:hAnsi="Times New Roman" w:cs="Times New Roman"/>
          <w:i w:val="0"/>
        </w:rPr>
      </w:pPr>
    </w:p>
    <w:p w:rsidR="003E43C1" w:rsidP="003E43C1">
      <w:pPr>
        <w:pStyle w:val="Heading2"/>
        <w:bidi w:val="0"/>
        <w:spacing w:before="480" w:after="840"/>
        <w:rPr>
          <w:rFonts w:ascii="Times New Roman" w:hAnsi="Times New Roman" w:cs="Times New Roman"/>
          <w:i w:val="0"/>
        </w:rPr>
      </w:pPr>
    </w:p>
    <w:p w:rsidR="003E43C1" w:rsidP="003E43C1">
      <w:pPr>
        <w:bidi w:val="0"/>
        <w:rPr>
          <w:rFonts w:ascii="Times New Roman" w:hAnsi="Times New Roman"/>
        </w:rPr>
      </w:pPr>
    </w:p>
    <w:p w:rsidR="003E43C1" w:rsidP="003E43C1">
      <w:pPr>
        <w:bidi w:val="0"/>
        <w:rPr>
          <w:rFonts w:ascii="Times New Roman" w:hAnsi="Times New Roman"/>
        </w:rPr>
      </w:pPr>
    </w:p>
    <w:p w:rsidR="003E43C1" w:rsidP="003E43C1">
      <w:pPr>
        <w:pStyle w:val="Heading2"/>
        <w:bidi w:val="0"/>
        <w:spacing w:before="0" w:after="0"/>
        <w:rPr>
          <w:rFonts w:ascii="Times New Roman" w:hAnsi="Times New Roman" w:cs="Times New Roman"/>
          <w:i w:val="0"/>
        </w:rPr>
      </w:pPr>
    </w:p>
    <w:p w:rsidR="003E43C1" w:rsidP="003E43C1">
      <w:pPr>
        <w:bidi w:val="0"/>
        <w:rPr>
          <w:rFonts w:ascii="Times New Roman" w:hAnsi="Times New Roman"/>
        </w:rPr>
      </w:pPr>
    </w:p>
    <w:p w:rsidR="003E43C1" w:rsidP="003E43C1">
      <w:pPr>
        <w:bidi w:val="0"/>
        <w:rPr>
          <w:rFonts w:ascii="Times New Roman" w:hAnsi="Times New Roman"/>
        </w:rPr>
      </w:pPr>
    </w:p>
    <w:p w:rsidR="003E43C1" w:rsidP="003E43C1">
      <w:pPr>
        <w:bidi w:val="0"/>
        <w:rPr>
          <w:rFonts w:ascii="Times New Roman" w:hAnsi="Times New Roman"/>
        </w:rPr>
      </w:pPr>
    </w:p>
    <w:p w:rsidR="00BB2D16" w:rsidRPr="0003036D" w:rsidP="004134F2">
      <w:pPr>
        <w:pStyle w:val="Heading2"/>
        <w:bidi w:val="0"/>
        <w:spacing w:before="480" w:after="840"/>
        <w:rPr>
          <w:rFonts w:ascii="Times New Roman" w:hAnsi="Times New Roman" w:cs="Times New Roman"/>
          <w:i w:val="0"/>
        </w:rPr>
      </w:pPr>
      <w:r w:rsidRPr="0003036D">
        <w:rPr>
          <w:rFonts w:ascii="Times New Roman" w:hAnsi="Times New Roman" w:cs="Times New Roman"/>
          <w:i w:val="0"/>
        </w:rPr>
        <w:t>Obsah</w:t>
      </w:r>
      <w:bookmarkEnd w:id="3"/>
      <w:bookmarkEnd w:id="4"/>
      <w:bookmarkEnd w:id="5"/>
    </w:p>
    <w:p w:rsidR="003D1158" w:rsidRPr="0003036D">
      <w:pPr>
        <w:pStyle w:val="TOC2"/>
        <w:bidi w:val="0"/>
        <w:rPr>
          <w:rFonts w:ascii="Times New Roman" w:hAnsi="Times New Roman"/>
          <w:noProof/>
          <w:sz w:val="22"/>
          <w:szCs w:val="22"/>
          <w:lang w:val="en-GB" w:eastAsia="en-GB"/>
        </w:rPr>
      </w:pPr>
      <w:r w:rsidRPr="0003036D" w:rsidR="00BB2D16">
        <w:rPr>
          <w:rFonts w:ascii="Times New Roman" w:hAnsi="Times New Roman"/>
          <w:b/>
          <w:sz w:val="22"/>
          <w:szCs w:val="22"/>
        </w:rPr>
        <w:fldChar w:fldCharType="begin"/>
      </w:r>
      <w:r w:rsidRPr="0003036D" w:rsidR="00BB2D16">
        <w:rPr>
          <w:rFonts w:ascii="Times New Roman" w:hAnsi="Times New Roman"/>
          <w:b/>
          <w:sz w:val="22"/>
          <w:szCs w:val="22"/>
        </w:rPr>
        <w:instrText xml:space="preserve"> TOC \o "1-3" \h \z \u </w:instrText>
      </w:r>
      <w:r w:rsidRPr="0003036D" w:rsidR="00BB2D16">
        <w:rPr>
          <w:rFonts w:ascii="Times New Roman" w:hAnsi="Times New Roman"/>
          <w:b/>
          <w:sz w:val="22"/>
          <w:szCs w:val="22"/>
        </w:rPr>
        <w:fldChar w:fldCharType="separate"/>
      </w:r>
      <w:hyperlink w:anchor="_Toc394471854" w:history="1">
        <w:r w:rsidRPr="0003036D">
          <w:rPr>
            <w:rStyle w:val="Hyperlink"/>
            <w:rFonts w:ascii="Times New Roman" w:hAnsi="Times New Roman"/>
            <w:noProof/>
          </w:rPr>
          <w:t>Obsah</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_Toc394471854 \h </w:instrText>
        </w:r>
        <w:r w:rsidRPr="0003036D">
          <w:rPr>
            <w:rFonts w:ascii="Times New Roman" w:hAnsi="Times New Roman"/>
            <w:noProof/>
            <w:webHidden/>
          </w:rPr>
          <w:fldChar w:fldCharType="separate"/>
        </w:r>
        <w:r w:rsidR="005770C7">
          <w:rPr>
            <w:rFonts w:ascii="Times New Roman" w:hAnsi="Times New Roman"/>
            <w:noProof/>
            <w:webHidden/>
          </w:rPr>
          <w:t>0</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55" w:history="1">
        <w:r w:rsidRPr="0003036D">
          <w:rPr>
            <w:rStyle w:val="Hyperlink"/>
            <w:rFonts w:ascii="Times New Roman" w:hAnsi="Times New Roman"/>
            <w:noProof/>
          </w:rPr>
          <w:t>1.</w:t>
        </w:r>
        <w:r w:rsidRPr="0003036D">
          <w:rPr>
            <w:rFonts w:ascii="Times New Roman" w:hAnsi="Times New Roman"/>
            <w:noProof/>
            <w:sz w:val="22"/>
            <w:szCs w:val="22"/>
            <w:lang w:val="en-GB" w:eastAsia="en-GB"/>
          </w:rPr>
          <w:tab/>
        </w:r>
        <w:r w:rsidRPr="0003036D">
          <w:rPr>
            <w:rStyle w:val="Hyperlink"/>
            <w:rFonts w:ascii="Times New Roman" w:hAnsi="Times New Roman"/>
            <w:noProof/>
          </w:rPr>
          <w:t>Riadenie a vývoj štátneho dlhu v rokoch 2011-2014</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_Toc394471855 \h </w:instrText>
        </w:r>
        <w:r w:rsidRPr="0003036D">
          <w:rPr>
            <w:rFonts w:ascii="Times New Roman" w:hAnsi="Times New Roman"/>
            <w:noProof/>
            <w:webHidden/>
          </w:rPr>
          <w:fldChar w:fldCharType="separate"/>
        </w:r>
        <w:r w:rsidR="005770C7">
          <w:rPr>
            <w:rFonts w:ascii="Times New Roman" w:hAnsi="Times New Roman"/>
            <w:noProof/>
            <w:webHidden/>
          </w:rPr>
          <w:t>3</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56" w:history="1">
        <w:r w:rsidRPr="0003036D">
          <w:rPr>
            <w:rStyle w:val="Hyperlink"/>
            <w:rFonts w:ascii="Times New Roman" w:hAnsi="Times New Roman"/>
            <w:noProof/>
          </w:rPr>
          <w:t>1.1.</w:t>
        </w:r>
        <w:r w:rsidRPr="0003036D">
          <w:rPr>
            <w:rFonts w:ascii="Times New Roman" w:hAnsi="Times New Roman"/>
            <w:noProof/>
            <w:sz w:val="22"/>
            <w:szCs w:val="22"/>
            <w:lang w:val="en-GB" w:eastAsia="en-GB"/>
          </w:rPr>
          <w:tab/>
        </w:r>
        <w:r w:rsidRPr="0003036D">
          <w:rPr>
            <w:rStyle w:val="Hyperlink"/>
            <w:rFonts w:ascii="Times New Roman" w:hAnsi="Times New Roman"/>
            <w:noProof/>
          </w:rPr>
          <w:t>Zhodnotenie plnenia Stratégie riadenia štátneho dlhu v rokoch 2011 až 2014</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_Toc394471856 \h </w:instrText>
        </w:r>
        <w:r w:rsidRPr="0003036D">
          <w:rPr>
            <w:rFonts w:ascii="Times New Roman" w:hAnsi="Times New Roman"/>
            <w:noProof/>
            <w:webHidden/>
          </w:rPr>
          <w:fldChar w:fldCharType="separate"/>
        </w:r>
        <w:r w:rsidR="005770C7">
          <w:rPr>
            <w:rFonts w:ascii="Times New Roman" w:hAnsi="Times New Roman"/>
            <w:noProof/>
            <w:webHidden/>
          </w:rPr>
          <w:t>3</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57" w:history="1">
        <w:r w:rsidRPr="0003036D">
          <w:rPr>
            <w:rStyle w:val="Hyperlink"/>
            <w:rFonts w:ascii="Times New Roman" w:hAnsi="Times New Roman"/>
            <w:noProof/>
          </w:rPr>
          <w:t>1.2.</w:t>
        </w:r>
        <w:r w:rsidRPr="0003036D">
          <w:rPr>
            <w:rFonts w:ascii="Times New Roman" w:hAnsi="Times New Roman"/>
            <w:noProof/>
            <w:sz w:val="22"/>
            <w:szCs w:val="22"/>
            <w:lang w:val="en-GB" w:eastAsia="en-GB"/>
          </w:rPr>
          <w:tab/>
        </w:r>
        <w:r w:rsidRPr="0003036D">
          <w:rPr>
            <w:rStyle w:val="Hyperlink"/>
            <w:rFonts w:ascii="Times New Roman" w:hAnsi="Times New Roman"/>
            <w:noProof/>
          </w:rPr>
          <w:t>Štruktúra a vývoj štátneho dlhu v SR</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_Toc394471857 \h </w:instrText>
        </w:r>
        <w:r w:rsidRPr="0003036D">
          <w:rPr>
            <w:rFonts w:ascii="Times New Roman" w:hAnsi="Times New Roman"/>
            <w:noProof/>
            <w:webHidden/>
          </w:rPr>
          <w:fldChar w:fldCharType="separate"/>
        </w:r>
        <w:r w:rsidR="005770C7">
          <w:rPr>
            <w:rFonts w:ascii="Times New Roman" w:hAnsi="Times New Roman"/>
            <w:noProof/>
            <w:webHidden/>
          </w:rPr>
          <w:t>7</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58" w:history="1">
        <w:r w:rsidRPr="0003036D">
          <w:rPr>
            <w:rStyle w:val="Hyperlink"/>
            <w:rFonts w:ascii="Times New Roman" w:hAnsi="Times New Roman"/>
            <w:noProof/>
          </w:rPr>
          <w:t>1.3.</w:t>
        </w:r>
        <w:r w:rsidRPr="0003036D">
          <w:rPr>
            <w:rFonts w:ascii="Times New Roman" w:hAnsi="Times New Roman"/>
            <w:noProof/>
            <w:sz w:val="22"/>
            <w:szCs w:val="22"/>
            <w:lang w:val="en-GB" w:eastAsia="en-GB"/>
          </w:rPr>
          <w:tab/>
        </w:r>
        <w:r w:rsidRPr="0003036D">
          <w:rPr>
            <w:rStyle w:val="Hyperlink"/>
            <w:rFonts w:ascii="Times New Roman" w:hAnsi="Times New Roman"/>
            <w:noProof/>
          </w:rPr>
          <w:t>Stav dlhového portfólia</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_Toc394471858 \h </w:instrText>
        </w:r>
        <w:r w:rsidRPr="0003036D">
          <w:rPr>
            <w:rFonts w:ascii="Times New Roman" w:hAnsi="Times New Roman"/>
            <w:noProof/>
            <w:webHidden/>
          </w:rPr>
          <w:fldChar w:fldCharType="separate"/>
        </w:r>
        <w:r w:rsidR="005770C7">
          <w:rPr>
            <w:rFonts w:ascii="Times New Roman" w:hAnsi="Times New Roman"/>
            <w:noProof/>
            <w:webHidden/>
          </w:rPr>
          <w:t>3</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59" w:history="1">
        <w:r w:rsidRPr="0003036D">
          <w:rPr>
            <w:rStyle w:val="Hyperlink"/>
            <w:rFonts w:ascii="Times New Roman" w:hAnsi="Times New Roman"/>
            <w:noProof/>
          </w:rPr>
          <w:t>2.</w:t>
        </w:r>
        <w:r w:rsidRPr="0003036D">
          <w:rPr>
            <w:rFonts w:ascii="Times New Roman" w:hAnsi="Times New Roman"/>
            <w:noProof/>
            <w:sz w:val="22"/>
            <w:szCs w:val="22"/>
            <w:lang w:val="en-GB" w:eastAsia="en-GB"/>
          </w:rPr>
          <w:tab/>
        </w:r>
        <w:r w:rsidRPr="0003036D">
          <w:rPr>
            <w:rStyle w:val="Hyperlink"/>
            <w:rFonts w:ascii="Times New Roman" w:hAnsi="Times New Roman"/>
            <w:noProof/>
          </w:rPr>
          <w:t>Makroekonomické východiská a fiškálny výhľad</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_Toc394471859 \h </w:instrText>
        </w:r>
        <w:r w:rsidRPr="0003036D">
          <w:rPr>
            <w:rFonts w:ascii="Times New Roman" w:hAnsi="Times New Roman"/>
            <w:noProof/>
            <w:webHidden/>
          </w:rPr>
          <w:fldChar w:fldCharType="separate"/>
        </w:r>
        <w:r w:rsidR="005770C7">
          <w:rPr>
            <w:rFonts w:ascii="Times New Roman" w:hAnsi="Times New Roman"/>
            <w:noProof/>
            <w:webHidden/>
          </w:rPr>
          <w:t>9</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60" w:history="1">
        <w:r w:rsidRPr="0003036D">
          <w:rPr>
            <w:rStyle w:val="Hyperlink"/>
            <w:rFonts w:ascii="Times New Roman" w:hAnsi="Times New Roman"/>
            <w:noProof/>
          </w:rPr>
          <w:t>2.1.</w:t>
        </w:r>
        <w:r w:rsidRPr="0003036D">
          <w:rPr>
            <w:rFonts w:ascii="Times New Roman" w:hAnsi="Times New Roman"/>
            <w:noProof/>
            <w:sz w:val="22"/>
            <w:szCs w:val="22"/>
            <w:lang w:val="en-GB" w:eastAsia="en-GB"/>
          </w:rPr>
          <w:tab/>
        </w:r>
        <w:r w:rsidRPr="0003036D">
          <w:rPr>
            <w:rStyle w:val="Hyperlink"/>
            <w:rFonts w:ascii="Times New Roman" w:hAnsi="Times New Roman"/>
            <w:noProof/>
          </w:rPr>
          <w:t>Vývoj na finančných trhoch a makroekonomické východiská</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_Toc394471860 \h </w:instrText>
        </w:r>
        <w:r w:rsidRPr="0003036D">
          <w:rPr>
            <w:rFonts w:ascii="Times New Roman" w:hAnsi="Times New Roman"/>
            <w:noProof/>
            <w:webHidden/>
          </w:rPr>
          <w:fldChar w:fldCharType="separate"/>
        </w:r>
        <w:r w:rsidR="005770C7">
          <w:rPr>
            <w:rFonts w:ascii="Times New Roman" w:hAnsi="Times New Roman"/>
            <w:noProof/>
            <w:webHidden/>
          </w:rPr>
          <w:t>9</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61" w:history="1">
        <w:r w:rsidRPr="0003036D">
          <w:rPr>
            <w:rStyle w:val="Hyperlink"/>
            <w:rFonts w:ascii="Times New Roman" w:hAnsi="Times New Roman"/>
            <w:noProof/>
          </w:rPr>
          <w:t>2.2.</w:t>
        </w:r>
        <w:r w:rsidRPr="0003036D">
          <w:rPr>
            <w:rFonts w:ascii="Times New Roman" w:hAnsi="Times New Roman"/>
            <w:noProof/>
            <w:sz w:val="22"/>
            <w:szCs w:val="22"/>
            <w:lang w:val="en-GB" w:eastAsia="en-GB"/>
          </w:rPr>
          <w:tab/>
        </w:r>
        <w:r w:rsidRPr="0003036D">
          <w:rPr>
            <w:rStyle w:val="Hyperlink"/>
            <w:rFonts w:ascii="Times New Roman" w:hAnsi="Times New Roman"/>
            <w:noProof/>
          </w:rPr>
          <w:t>Fiškálny výhľad</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_Toc394471861 \h </w:instrText>
        </w:r>
        <w:r w:rsidRPr="0003036D">
          <w:rPr>
            <w:rFonts w:ascii="Times New Roman" w:hAnsi="Times New Roman"/>
            <w:noProof/>
            <w:webHidden/>
          </w:rPr>
          <w:fldChar w:fldCharType="separate"/>
        </w:r>
        <w:r w:rsidR="005770C7">
          <w:rPr>
            <w:rFonts w:ascii="Times New Roman" w:hAnsi="Times New Roman"/>
            <w:noProof/>
            <w:webHidden/>
          </w:rPr>
          <w:t>9</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62" w:history="1">
        <w:r w:rsidRPr="0003036D">
          <w:rPr>
            <w:rStyle w:val="Hyperlink"/>
            <w:rFonts w:ascii="Times New Roman" w:hAnsi="Times New Roman"/>
            <w:noProof/>
          </w:rPr>
          <w:t>3.</w:t>
        </w:r>
        <w:r w:rsidRPr="0003036D">
          <w:rPr>
            <w:rFonts w:ascii="Times New Roman" w:hAnsi="Times New Roman"/>
            <w:noProof/>
            <w:sz w:val="22"/>
            <w:szCs w:val="22"/>
            <w:lang w:val="en-GB" w:eastAsia="en-GB"/>
          </w:rPr>
          <w:tab/>
        </w:r>
        <w:r w:rsidRPr="0003036D">
          <w:rPr>
            <w:rStyle w:val="Hyperlink"/>
            <w:rFonts w:ascii="Times New Roman" w:hAnsi="Times New Roman"/>
            <w:noProof/>
          </w:rPr>
          <w:t>Strategické ciele riadenia štátneho dlhu na roky 2015 až 2018</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_Toc394471862 \h </w:instrText>
        </w:r>
        <w:r w:rsidRPr="0003036D">
          <w:rPr>
            <w:rFonts w:ascii="Times New Roman" w:hAnsi="Times New Roman"/>
            <w:noProof/>
            <w:webHidden/>
          </w:rPr>
          <w:fldChar w:fldCharType="separate"/>
        </w:r>
        <w:r w:rsidR="005770C7">
          <w:rPr>
            <w:rFonts w:ascii="Times New Roman" w:hAnsi="Times New Roman"/>
            <w:noProof/>
            <w:webHidden/>
          </w:rPr>
          <w:t>14</w:t>
        </w:r>
        <w:r w:rsidRPr="0003036D">
          <w:rPr>
            <w:rFonts w:ascii="Times New Roman" w:hAnsi="Times New Roman"/>
            <w:noProof/>
            <w:webHidden/>
          </w:rPr>
          <w:fldChar w:fldCharType="end"/>
        </w:r>
      </w:hyperlink>
    </w:p>
    <w:p w:rsidR="003D1158" w:rsidRPr="0003036D">
      <w:pPr>
        <w:pStyle w:val="TOC1"/>
        <w:bidi w:val="0"/>
        <w:rPr>
          <w:rFonts w:ascii="Times New Roman" w:hAnsi="Times New Roman"/>
          <w:noProof/>
          <w:sz w:val="22"/>
          <w:szCs w:val="22"/>
          <w:lang w:val="en-GB" w:eastAsia="en-GB"/>
        </w:rPr>
      </w:pPr>
      <w:hyperlink w:anchor="_Toc394471863" w:history="1">
        <w:r w:rsidRPr="0003036D">
          <w:rPr>
            <w:rStyle w:val="Hyperlink"/>
            <w:rFonts w:ascii="Times New Roman" w:hAnsi="Times New Roman"/>
            <w:noProof/>
          </w:rPr>
          <w:t>4.</w:t>
        </w:r>
        <w:r w:rsidRPr="0003036D">
          <w:rPr>
            <w:rFonts w:ascii="Times New Roman" w:hAnsi="Times New Roman"/>
            <w:noProof/>
            <w:sz w:val="22"/>
            <w:szCs w:val="22"/>
            <w:lang w:val="en-GB" w:eastAsia="en-GB"/>
          </w:rPr>
          <w:tab/>
        </w:r>
        <w:r w:rsidRPr="0003036D">
          <w:rPr>
            <w:rStyle w:val="Hyperlink"/>
            <w:rFonts w:ascii="Times New Roman" w:hAnsi="Times New Roman"/>
            <w:noProof/>
          </w:rPr>
          <w:t>Záver</w:t>
        </w:r>
        <w:r w:rsidRPr="0003036D">
          <w:rPr>
            <w:rFonts w:ascii="Times New Roman" w:hAnsi="Times New Roman"/>
            <w:noProof/>
            <w:webHidden/>
          </w:rPr>
          <w:tab/>
        </w:r>
        <w:r w:rsidRPr="0003036D">
          <w:rPr>
            <w:rFonts w:ascii="Times New Roman" w:hAnsi="Times New Roman"/>
            <w:noProof/>
            <w:webHidden/>
          </w:rPr>
          <w:fldChar w:fldCharType="begin"/>
        </w:r>
        <w:r w:rsidRPr="0003036D">
          <w:rPr>
            <w:rFonts w:ascii="Times New Roman" w:hAnsi="Times New Roman"/>
            <w:noProof/>
            <w:webHidden/>
          </w:rPr>
          <w:instrText xml:space="preserve"> PAGEREF _Toc394471863 \h </w:instrText>
        </w:r>
        <w:r w:rsidRPr="0003036D">
          <w:rPr>
            <w:rFonts w:ascii="Times New Roman" w:hAnsi="Times New Roman"/>
            <w:noProof/>
            <w:webHidden/>
          </w:rPr>
          <w:fldChar w:fldCharType="separate"/>
        </w:r>
        <w:r w:rsidR="005770C7">
          <w:rPr>
            <w:rFonts w:ascii="Times New Roman" w:hAnsi="Times New Roman"/>
            <w:noProof/>
            <w:webHidden/>
          </w:rPr>
          <w:t>16</w:t>
        </w:r>
        <w:r w:rsidRPr="0003036D">
          <w:rPr>
            <w:rFonts w:ascii="Times New Roman" w:hAnsi="Times New Roman"/>
            <w:noProof/>
            <w:webHidden/>
          </w:rPr>
          <w:fldChar w:fldCharType="end"/>
        </w:r>
      </w:hyperlink>
    </w:p>
    <w:p w:rsidR="008A4341" w:rsidRPr="00A92914" w:rsidP="00A92914">
      <w:pPr>
        <w:bidi w:val="0"/>
        <w:spacing w:after="120" w:line="360" w:lineRule="auto"/>
        <w:rPr>
          <w:rFonts w:ascii="Times New Roman" w:hAnsi="Times New Roman"/>
          <w:b/>
          <w:sz w:val="28"/>
        </w:rPr>
      </w:pPr>
      <w:r w:rsidRPr="0003036D" w:rsidR="00BB2D16">
        <w:rPr>
          <w:rFonts w:ascii="Times New Roman" w:hAnsi="Times New Roman"/>
          <w:b/>
          <w:sz w:val="22"/>
          <w:szCs w:val="22"/>
        </w:rPr>
        <w:fldChar w:fldCharType="end"/>
      </w:r>
      <w:bookmarkEnd w:id="0"/>
      <w:bookmarkEnd w:id="1"/>
      <w:bookmarkEnd w:id="2"/>
      <w:r w:rsidRPr="0003036D" w:rsidR="00BD065B">
        <w:rPr>
          <w:rFonts w:ascii="Times New Roman" w:hAnsi="Times New Roman"/>
        </w:rPr>
        <w:br w:type="page"/>
      </w:r>
      <w:r w:rsidRPr="00A92914">
        <w:rPr>
          <w:rFonts w:ascii="Times New Roman" w:hAnsi="Times New Roman"/>
          <w:b/>
          <w:sz w:val="28"/>
        </w:rPr>
        <w:t>Úvod</w:t>
      </w:r>
    </w:p>
    <w:p w:rsidR="00CE51C7" w:rsidRPr="00A92914" w:rsidP="00A92914">
      <w:pPr>
        <w:bidi w:val="0"/>
        <w:spacing w:after="120"/>
        <w:ind w:firstLine="708"/>
        <w:jc w:val="both"/>
        <w:rPr>
          <w:rFonts w:ascii="Times New Roman" w:hAnsi="Times New Roman"/>
        </w:rPr>
      </w:pPr>
      <w:r w:rsidRPr="00A92914" w:rsidR="000E298F">
        <w:rPr>
          <w:rFonts w:ascii="Times New Roman" w:hAnsi="Times New Roman"/>
        </w:rPr>
        <w:t>Stratégia riadenia štátneho dlhu na roky 201</w:t>
      </w:r>
      <w:r w:rsidRPr="00A92914" w:rsidR="00783F3E">
        <w:rPr>
          <w:rFonts w:ascii="Times New Roman" w:hAnsi="Times New Roman"/>
        </w:rPr>
        <w:t>5</w:t>
      </w:r>
      <w:r w:rsidRPr="00A92914" w:rsidR="000E298F">
        <w:rPr>
          <w:rFonts w:ascii="Times New Roman" w:hAnsi="Times New Roman"/>
        </w:rPr>
        <w:t xml:space="preserve"> až 201</w:t>
      </w:r>
      <w:r w:rsidRPr="00A92914" w:rsidR="00783F3E">
        <w:rPr>
          <w:rFonts w:ascii="Times New Roman" w:hAnsi="Times New Roman"/>
        </w:rPr>
        <w:t>8</w:t>
      </w:r>
      <w:r w:rsidRPr="00A92914" w:rsidR="000E298F">
        <w:rPr>
          <w:rFonts w:ascii="Times New Roman" w:hAnsi="Times New Roman"/>
        </w:rPr>
        <w:t xml:space="preserve"> bo</w:t>
      </w:r>
      <w:r w:rsidRPr="00A92914" w:rsidR="00783F3E">
        <w:rPr>
          <w:rFonts w:ascii="Times New Roman" w:hAnsi="Times New Roman"/>
        </w:rPr>
        <w:t>la pripravená v</w:t>
      </w:r>
      <w:r w:rsidRPr="00A92914">
        <w:rPr>
          <w:rFonts w:ascii="Times New Roman" w:hAnsi="Times New Roman"/>
        </w:rPr>
        <w:t xml:space="preserve"> období, keď </w:t>
      </w:r>
      <w:r w:rsidRPr="00A92914" w:rsidR="00783F3E">
        <w:rPr>
          <w:rFonts w:ascii="Times New Roman" w:hAnsi="Times New Roman"/>
        </w:rPr>
        <w:t>kríz</w:t>
      </w:r>
      <w:r w:rsidRPr="00A92914">
        <w:rPr>
          <w:rFonts w:ascii="Times New Roman" w:hAnsi="Times New Roman"/>
        </w:rPr>
        <w:t>a už prekonala svoju kulminačnú fázu</w:t>
      </w:r>
      <w:r w:rsidRPr="00A92914" w:rsidR="00783F3E">
        <w:rPr>
          <w:rFonts w:ascii="Times New Roman" w:hAnsi="Times New Roman"/>
        </w:rPr>
        <w:t xml:space="preserve"> </w:t>
      </w:r>
      <w:r w:rsidRPr="00A92914" w:rsidR="002C7E83">
        <w:rPr>
          <w:rFonts w:ascii="Times New Roman" w:hAnsi="Times New Roman"/>
        </w:rPr>
        <w:t xml:space="preserve">nielen </w:t>
      </w:r>
      <w:r w:rsidRPr="00A92914" w:rsidR="000E298F">
        <w:rPr>
          <w:rFonts w:ascii="Times New Roman" w:hAnsi="Times New Roman"/>
        </w:rPr>
        <w:t>na finančných trhoch</w:t>
      </w:r>
      <w:r w:rsidRPr="00A92914" w:rsidR="007074C1">
        <w:rPr>
          <w:rFonts w:ascii="Times New Roman" w:hAnsi="Times New Roman"/>
        </w:rPr>
        <w:t>,</w:t>
      </w:r>
      <w:r w:rsidRPr="00A92914" w:rsidR="000E298F">
        <w:rPr>
          <w:rFonts w:ascii="Times New Roman" w:hAnsi="Times New Roman"/>
        </w:rPr>
        <w:t xml:space="preserve"> a</w:t>
      </w:r>
      <w:r w:rsidRPr="00A92914" w:rsidR="002C7E83">
        <w:rPr>
          <w:rFonts w:ascii="Times New Roman" w:hAnsi="Times New Roman"/>
        </w:rPr>
        <w:t>le aj</w:t>
      </w:r>
      <w:r w:rsidRPr="00A92914" w:rsidR="000E298F">
        <w:rPr>
          <w:rFonts w:ascii="Times New Roman" w:hAnsi="Times New Roman"/>
        </w:rPr>
        <w:t xml:space="preserve"> v reálnej ekonomike. </w:t>
      </w:r>
      <w:r w:rsidRPr="00A92914">
        <w:rPr>
          <w:rFonts w:ascii="Times New Roman" w:hAnsi="Times New Roman"/>
        </w:rPr>
        <w:t>V období, ke</w:t>
      </w:r>
      <w:r w:rsidRPr="00A92914" w:rsidR="0060496D">
        <w:rPr>
          <w:rFonts w:ascii="Times New Roman" w:hAnsi="Times New Roman"/>
        </w:rPr>
        <w:t>ď</w:t>
      </w:r>
      <w:r w:rsidRPr="00A92914">
        <w:rPr>
          <w:rFonts w:ascii="Times New Roman" w:hAnsi="Times New Roman"/>
        </w:rPr>
        <w:t xml:space="preserve"> s</w:t>
      </w:r>
      <w:r w:rsidRPr="00A92914" w:rsidR="00AA09DE">
        <w:rPr>
          <w:rFonts w:ascii="Times New Roman" w:hAnsi="Times New Roman"/>
        </w:rPr>
        <w:t>tabilizácia s</w:t>
      </w:r>
      <w:r w:rsidRPr="00A92914" w:rsidR="000E298F">
        <w:rPr>
          <w:rFonts w:ascii="Times New Roman" w:hAnsi="Times New Roman"/>
        </w:rPr>
        <w:t>vetové</w:t>
      </w:r>
      <w:r w:rsidRPr="00A92914" w:rsidR="00AA09DE">
        <w:rPr>
          <w:rFonts w:ascii="Times New Roman" w:hAnsi="Times New Roman"/>
        </w:rPr>
        <w:t>ho</w:t>
      </w:r>
      <w:r w:rsidRPr="00A92914" w:rsidR="000E298F">
        <w:rPr>
          <w:rFonts w:ascii="Times New Roman" w:hAnsi="Times New Roman"/>
        </w:rPr>
        <w:t xml:space="preserve"> hospodárstv</w:t>
      </w:r>
      <w:r w:rsidRPr="00A92914" w:rsidR="00AA09DE">
        <w:rPr>
          <w:rFonts w:ascii="Times New Roman" w:hAnsi="Times New Roman"/>
        </w:rPr>
        <w:t>a</w:t>
      </w:r>
      <w:r w:rsidRPr="00A92914" w:rsidR="000E298F">
        <w:rPr>
          <w:rFonts w:ascii="Times New Roman" w:hAnsi="Times New Roman"/>
        </w:rPr>
        <w:t xml:space="preserve"> </w:t>
      </w:r>
      <w:r w:rsidRPr="00A92914" w:rsidR="00AA09DE">
        <w:rPr>
          <w:rFonts w:ascii="Times New Roman" w:hAnsi="Times New Roman"/>
        </w:rPr>
        <w:t xml:space="preserve">pokročila </w:t>
      </w:r>
      <w:r w:rsidRPr="00A92914" w:rsidR="002C7E83">
        <w:rPr>
          <w:rFonts w:ascii="Times New Roman" w:hAnsi="Times New Roman"/>
        </w:rPr>
        <w:t>a</w:t>
      </w:r>
      <w:r w:rsidRPr="00A92914" w:rsidR="00E73D31">
        <w:rPr>
          <w:rFonts w:ascii="Times New Roman" w:hAnsi="Times New Roman"/>
        </w:rPr>
        <w:t xml:space="preserve"> niektoré </w:t>
      </w:r>
      <w:r w:rsidRPr="00A92914" w:rsidR="002C7E83">
        <w:rPr>
          <w:rFonts w:ascii="Times New Roman" w:hAnsi="Times New Roman"/>
        </w:rPr>
        <w:t>krajiny, ktoré sa počas dlhovej krízy nedokázali refinancovať na kapitálových trhoch</w:t>
      </w:r>
      <w:r w:rsidRPr="00A92914" w:rsidR="00E91EAC">
        <w:rPr>
          <w:rFonts w:ascii="Times New Roman" w:hAnsi="Times New Roman"/>
        </w:rPr>
        <w:t>,</w:t>
      </w:r>
      <w:r w:rsidRPr="00A92914" w:rsidR="00AA09DE">
        <w:rPr>
          <w:rFonts w:ascii="Times New Roman" w:hAnsi="Times New Roman"/>
        </w:rPr>
        <w:t xml:space="preserve"> </w:t>
      </w:r>
      <w:r w:rsidRPr="00A92914" w:rsidR="002C7E83">
        <w:rPr>
          <w:rFonts w:ascii="Times New Roman" w:hAnsi="Times New Roman"/>
        </w:rPr>
        <w:t>sa</w:t>
      </w:r>
      <w:r w:rsidRPr="00A92914" w:rsidR="00AA09DE">
        <w:rPr>
          <w:rFonts w:ascii="Times New Roman" w:hAnsi="Times New Roman"/>
        </w:rPr>
        <w:t xml:space="preserve"> </w:t>
      </w:r>
      <w:r w:rsidRPr="00A92914" w:rsidR="0060496D">
        <w:rPr>
          <w:rFonts w:ascii="Times New Roman" w:hAnsi="Times New Roman"/>
        </w:rPr>
        <w:t>postupne vracajú</w:t>
      </w:r>
      <w:r w:rsidRPr="00A92914" w:rsidR="002C7E83">
        <w:rPr>
          <w:rFonts w:ascii="Times New Roman" w:hAnsi="Times New Roman"/>
        </w:rPr>
        <w:t xml:space="preserve"> úspešnými emisiami na trh.</w:t>
      </w:r>
      <w:r w:rsidRPr="00A92914" w:rsidR="000E298F">
        <w:rPr>
          <w:rFonts w:ascii="Times New Roman" w:hAnsi="Times New Roman"/>
        </w:rPr>
        <w:t xml:space="preserve"> </w:t>
      </w:r>
    </w:p>
    <w:p w:rsidR="0060496D" w:rsidRPr="00A92914" w:rsidP="00A92914">
      <w:pPr>
        <w:bidi w:val="0"/>
        <w:spacing w:after="120"/>
        <w:ind w:firstLine="708"/>
        <w:jc w:val="both"/>
        <w:rPr>
          <w:rFonts w:ascii="Times New Roman" w:hAnsi="Times New Roman"/>
        </w:rPr>
      </w:pPr>
      <w:r w:rsidRPr="00A92914" w:rsidR="002C7E83">
        <w:rPr>
          <w:rFonts w:ascii="Times New Roman" w:hAnsi="Times New Roman"/>
        </w:rPr>
        <w:t>Slovensk</w:t>
      </w:r>
      <w:r w:rsidRPr="00A92914" w:rsidR="006A6BB1">
        <w:rPr>
          <w:rFonts w:ascii="Times New Roman" w:hAnsi="Times New Roman"/>
        </w:rPr>
        <w:t>é</w:t>
      </w:r>
      <w:r w:rsidRPr="00A92914" w:rsidR="002C7E83">
        <w:rPr>
          <w:rFonts w:ascii="Times New Roman" w:hAnsi="Times New Roman"/>
        </w:rPr>
        <w:t xml:space="preserve"> </w:t>
      </w:r>
      <w:r w:rsidRPr="00A92914" w:rsidR="006A6BB1">
        <w:rPr>
          <w:rFonts w:ascii="Times New Roman" w:hAnsi="Times New Roman"/>
        </w:rPr>
        <w:t xml:space="preserve">hospodárstvo </w:t>
      </w:r>
      <w:r w:rsidRPr="00A92914" w:rsidR="002C7E83">
        <w:rPr>
          <w:rFonts w:ascii="Times New Roman" w:hAnsi="Times New Roman"/>
        </w:rPr>
        <w:t>si vedie takmer vo všetkých ohľadoch dobre</w:t>
      </w:r>
      <w:r w:rsidRPr="00A92914" w:rsidR="000D4817">
        <w:rPr>
          <w:rFonts w:ascii="Times New Roman" w:hAnsi="Times New Roman"/>
        </w:rPr>
        <w:t>,</w:t>
      </w:r>
      <w:r w:rsidRPr="00A92914" w:rsidR="002C7E83">
        <w:rPr>
          <w:rFonts w:ascii="Times New Roman" w:hAnsi="Times New Roman"/>
        </w:rPr>
        <w:t xml:space="preserve"> </w:t>
      </w:r>
      <w:r w:rsidRPr="00A92914" w:rsidR="000E298F">
        <w:rPr>
          <w:rFonts w:ascii="Times New Roman" w:hAnsi="Times New Roman"/>
        </w:rPr>
        <w:t>ekonomika rastie nepretržite od 2.</w:t>
      </w:r>
      <w:r w:rsidRPr="00A92914" w:rsidR="00F66D25">
        <w:rPr>
          <w:rFonts w:ascii="Times New Roman" w:hAnsi="Times New Roman"/>
        </w:rPr>
        <w:t> </w:t>
      </w:r>
      <w:r w:rsidRPr="00A92914" w:rsidR="000E298F">
        <w:rPr>
          <w:rFonts w:ascii="Times New Roman" w:hAnsi="Times New Roman"/>
        </w:rPr>
        <w:t xml:space="preserve">štvrťroku 2009 a dosahuje jeden z najväčších rastov </w:t>
      </w:r>
      <w:r w:rsidRPr="00A92914">
        <w:rPr>
          <w:rFonts w:ascii="Times New Roman" w:hAnsi="Times New Roman"/>
        </w:rPr>
        <w:t xml:space="preserve">HDP </w:t>
      </w:r>
      <w:r w:rsidRPr="00A92914" w:rsidR="000E298F">
        <w:rPr>
          <w:rFonts w:ascii="Times New Roman" w:hAnsi="Times New Roman"/>
        </w:rPr>
        <w:t>v</w:t>
      </w:r>
      <w:r w:rsidRPr="00A92914" w:rsidR="002C7E83">
        <w:rPr>
          <w:rFonts w:ascii="Times New Roman" w:hAnsi="Times New Roman"/>
        </w:rPr>
        <w:t> </w:t>
      </w:r>
      <w:r w:rsidRPr="00A92914" w:rsidR="000E298F">
        <w:rPr>
          <w:rFonts w:ascii="Times New Roman" w:hAnsi="Times New Roman"/>
        </w:rPr>
        <w:t>EÚ</w:t>
      </w:r>
      <w:r w:rsidRPr="00A92914" w:rsidR="002C7E83">
        <w:rPr>
          <w:rFonts w:ascii="Times New Roman" w:hAnsi="Times New Roman"/>
        </w:rPr>
        <w:t>,</w:t>
      </w:r>
      <w:r w:rsidRPr="00A92914">
        <w:rPr>
          <w:rFonts w:ascii="Times New Roman" w:hAnsi="Times New Roman"/>
        </w:rPr>
        <w:t xml:space="preserve"> inflácia je pod kontrolou na stabilne nízkych úrovniach a platobná bilancia je už druhý rok pozitívna. </w:t>
      </w:r>
    </w:p>
    <w:p w:rsidR="006C7754" w:rsidP="00A92914">
      <w:pPr>
        <w:bidi w:val="0"/>
        <w:ind w:firstLine="709"/>
        <w:jc w:val="both"/>
        <w:rPr>
          <w:rFonts w:ascii="Times New Roman" w:hAnsi="Times New Roman"/>
        </w:rPr>
      </w:pPr>
      <w:r w:rsidRPr="00A92914" w:rsidR="009235F7">
        <w:rPr>
          <w:rFonts w:ascii="Times New Roman" w:hAnsi="Times New Roman"/>
        </w:rPr>
        <w:t xml:space="preserve">V oblasti riadenia </w:t>
      </w:r>
      <w:r w:rsidRPr="00A92914" w:rsidR="002371A3">
        <w:rPr>
          <w:rFonts w:ascii="Times New Roman" w:hAnsi="Times New Roman"/>
        </w:rPr>
        <w:t xml:space="preserve">a refinancovania </w:t>
      </w:r>
      <w:r w:rsidRPr="00A92914" w:rsidR="009235F7">
        <w:rPr>
          <w:rFonts w:ascii="Times New Roman" w:hAnsi="Times New Roman"/>
        </w:rPr>
        <w:t>štátneho dlhu Slovensko prekonalo finančnú a dlhovú krízu v rokoch 2009 až 2012 bez problémov</w:t>
      </w:r>
      <w:r w:rsidRPr="00A92914" w:rsidR="002371A3">
        <w:rPr>
          <w:rFonts w:ascii="Times New Roman" w:hAnsi="Times New Roman"/>
        </w:rPr>
        <w:t>.</w:t>
      </w:r>
      <w:r w:rsidRPr="00A92914" w:rsidR="009235F7">
        <w:rPr>
          <w:rFonts w:ascii="Times New Roman" w:hAnsi="Times New Roman"/>
        </w:rPr>
        <w:t xml:space="preserve"> Dôvodom bolo dôsledné napĺňanie Stratégie riadenia štátneho dlhu</w:t>
      </w:r>
      <w:r w:rsidRPr="00A92914" w:rsidR="00EE226E">
        <w:rPr>
          <w:rFonts w:ascii="Times New Roman" w:hAnsi="Times New Roman"/>
        </w:rPr>
        <w:t xml:space="preserve">, dobrý rating, pozitívne vnímanie krajiny investormi, konsolidačné úsilie </w:t>
      </w:r>
      <w:r w:rsidRPr="00A92914" w:rsidR="0016463B">
        <w:rPr>
          <w:rFonts w:ascii="Times New Roman" w:hAnsi="Times New Roman"/>
        </w:rPr>
        <w:t xml:space="preserve">vlády </w:t>
      </w:r>
      <w:r w:rsidRPr="00A92914" w:rsidR="00EE226E">
        <w:rPr>
          <w:rFonts w:ascii="Times New Roman" w:hAnsi="Times New Roman"/>
        </w:rPr>
        <w:t>a stabilný bankový sektor.</w:t>
      </w:r>
      <w:r w:rsidRPr="00A92914" w:rsidR="0060496D">
        <w:rPr>
          <w:rFonts w:ascii="Times New Roman" w:hAnsi="Times New Roman"/>
        </w:rPr>
        <w:t xml:space="preserve"> </w:t>
      </w:r>
      <w:r w:rsidRPr="00A92914" w:rsidR="00EE226E">
        <w:rPr>
          <w:rFonts w:ascii="Times New Roman" w:hAnsi="Times New Roman"/>
        </w:rPr>
        <w:t>Stabilit</w:t>
      </w:r>
      <w:r w:rsidRPr="00A92914" w:rsidR="0016463B">
        <w:rPr>
          <w:rFonts w:ascii="Times New Roman" w:hAnsi="Times New Roman"/>
        </w:rPr>
        <w:t>e</w:t>
      </w:r>
      <w:r w:rsidRPr="00A92914" w:rsidR="00EE226E">
        <w:rPr>
          <w:rFonts w:ascii="Times New Roman" w:hAnsi="Times New Roman"/>
        </w:rPr>
        <w:t xml:space="preserve"> financovania štátu </w:t>
      </w:r>
      <w:r w:rsidRPr="00A92914" w:rsidR="0016463B">
        <w:rPr>
          <w:rFonts w:ascii="Times New Roman" w:hAnsi="Times New Roman"/>
        </w:rPr>
        <w:t>významne napomohla rozsiahla</w:t>
      </w:r>
      <w:r w:rsidRPr="00A92914" w:rsidR="00EE226E">
        <w:rPr>
          <w:rFonts w:ascii="Times New Roman" w:hAnsi="Times New Roman"/>
        </w:rPr>
        <w:t xml:space="preserve"> diverzifikácia investorskej bázy </w:t>
      </w:r>
      <w:r w:rsidRPr="00A92914" w:rsidR="0016463B">
        <w:rPr>
          <w:rFonts w:ascii="Times New Roman" w:hAnsi="Times New Roman"/>
        </w:rPr>
        <w:t xml:space="preserve">prostredníctvom emisií dlhopisov vydaných mimo </w:t>
      </w:r>
      <w:r w:rsidRPr="00A92914" w:rsidR="005747A7">
        <w:rPr>
          <w:rFonts w:ascii="Times New Roman" w:hAnsi="Times New Roman"/>
        </w:rPr>
        <w:t>eur</w:t>
      </w:r>
      <w:r w:rsidRPr="00A92914" w:rsidR="0016463B">
        <w:rPr>
          <w:rFonts w:ascii="Times New Roman" w:hAnsi="Times New Roman"/>
        </w:rPr>
        <w:t xml:space="preserve">ozóny, </w:t>
      </w:r>
      <w:r w:rsidRPr="00A92914" w:rsidR="00B32375">
        <w:rPr>
          <w:rFonts w:ascii="Times New Roman" w:hAnsi="Times New Roman"/>
        </w:rPr>
        <w:t xml:space="preserve">v menách iných krajín, </w:t>
      </w:r>
      <w:r w:rsidRPr="00A92914" w:rsidR="00627E81">
        <w:rPr>
          <w:rFonts w:ascii="Times New Roman" w:hAnsi="Times New Roman"/>
        </w:rPr>
        <w:t xml:space="preserve">ktorá </w:t>
      </w:r>
      <w:r w:rsidRPr="00A92914" w:rsidR="0016463B">
        <w:rPr>
          <w:rFonts w:ascii="Times New Roman" w:hAnsi="Times New Roman"/>
        </w:rPr>
        <w:t>zača</w:t>
      </w:r>
      <w:r w:rsidRPr="00A92914" w:rsidR="00627E81">
        <w:rPr>
          <w:rFonts w:ascii="Times New Roman" w:hAnsi="Times New Roman"/>
        </w:rPr>
        <w:t>la</w:t>
      </w:r>
      <w:r w:rsidRPr="00A92914" w:rsidR="0016463B">
        <w:rPr>
          <w:rFonts w:ascii="Times New Roman" w:hAnsi="Times New Roman"/>
        </w:rPr>
        <w:t xml:space="preserve"> v roku 2012. V súčasnosti pokrývajú investori mimo </w:t>
      </w:r>
      <w:r w:rsidRPr="00A92914" w:rsidR="005747A7">
        <w:rPr>
          <w:rFonts w:ascii="Times New Roman" w:hAnsi="Times New Roman"/>
        </w:rPr>
        <w:t>eur</w:t>
      </w:r>
      <w:r w:rsidRPr="00A92914" w:rsidR="0016463B">
        <w:rPr>
          <w:rFonts w:ascii="Times New Roman" w:hAnsi="Times New Roman"/>
        </w:rPr>
        <w:t xml:space="preserve">ozóny </w:t>
      </w:r>
      <w:r w:rsidRPr="00A92914" w:rsidR="00627E81">
        <w:rPr>
          <w:rFonts w:ascii="Times New Roman" w:hAnsi="Times New Roman"/>
        </w:rPr>
        <w:t xml:space="preserve">v iných menách ako </w:t>
      </w:r>
      <w:r w:rsidRPr="00A92914" w:rsidR="005747A7">
        <w:rPr>
          <w:rFonts w:ascii="Times New Roman" w:hAnsi="Times New Roman"/>
        </w:rPr>
        <w:t>eur</w:t>
      </w:r>
      <w:r w:rsidRPr="00A92914" w:rsidR="00627E81">
        <w:rPr>
          <w:rFonts w:ascii="Times New Roman" w:hAnsi="Times New Roman"/>
        </w:rPr>
        <w:t xml:space="preserve">o </w:t>
      </w:r>
      <w:r w:rsidRPr="00A92914" w:rsidR="0016463B">
        <w:rPr>
          <w:rFonts w:ascii="Times New Roman" w:hAnsi="Times New Roman"/>
        </w:rPr>
        <w:t xml:space="preserve">približne 10 </w:t>
      </w:r>
      <w:r w:rsidRPr="00A92914" w:rsidR="0061287C">
        <w:rPr>
          <w:rFonts w:ascii="Times New Roman" w:hAnsi="Times New Roman"/>
        </w:rPr>
        <w:t xml:space="preserve">% hodnoty </w:t>
      </w:r>
      <w:r w:rsidRPr="00A92914" w:rsidR="0016463B">
        <w:rPr>
          <w:rFonts w:ascii="Times New Roman" w:hAnsi="Times New Roman"/>
        </w:rPr>
        <w:t xml:space="preserve">štátneho dlhu Slovenska. </w:t>
      </w:r>
      <w:r w:rsidRPr="00A92914" w:rsidR="0061287C">
        <w:rPr>
          <w:rFonts w:ascii="Times New Roman" w:hAnsi="Times New Roman"/>
        </w:rPr>
        <w:t xml:space="preserve">Diverzifikácia priniesla alternatívnu možnosť získavania zdrojov pre financovanie štátu, zvýšenie dopytu zo strany tradičných </w:t>
      </w:r>
      <w:r w:rsidRPr="00A92914" w:rsidR="000D4817">
        <w:rPr>
          <w:rFonts w:ascii="Times New Roman" w:hAnsi="Times New Roman"/>
        </w:rPr>
        <w:t xml:space="preserve">dlhopisových </w:t>
      </w:r>
      <w:r w:rsidRPr="00A92914" w:rsidR="0061287C">
        <w:rPr>
          <w:rFonts w:ascii="Times New Roman" w:hAnsi="Times New Roman"/>
        </w:rPr>
        <w:t xml:space="preserve">investorov a pozitívny marketing krajiny na trhoch, kde Slovensko z hľadiska svojej veľkosti a významu nie je známym emitentom štátnych dlhopisov. </w:t>
      </w:r>
      <w:r w:rsidRPr="00A92914" w:rsidR="00B32375">
        <w:rPr>
          <w:rFonts w:ascii="Times New Roman" w:hAnsi="Times New Roman"/>
        </w:rPr>
        <w:t>Úspešné emisie na americkom, švajčiarskom a českom trhu</w:t>
      </w:r>
      <w:r w:rsidRPr="00A92914" w:rsidR="0061287C">
        <w:rPr>
          <w:rFonts w:ascii="Times New Roman" w:hAnsi="Times New Roman"/>
        </w:rPr>
        <w:t xml:space="preserve"> </w:t>
      </w:r>
      <w:r w:rsidRPr="00A92914" w:rsidR="004B386C">
        <w:rPr>
          <w:rFonts w:ascii="Times New Roman" w:hAnsi="Times New Roman"/>
        </w:rPr>
        <w:t>vytvárali</w:t>
      </w:r>
      <w:r w:rsidRPr="00A92914" w:rsidR="00B32375">
        <w:rPr>
          <w:rFonts w:ascii="Times New Roman" w:hAnsi="Times New Roman"/>
        </w:rPr>
        <w:t xml:space="preserve"> </w:t>
      </w:r>
      <w:r w:rsidRPr="00A92914" w:rsidR="00627E81">
        <w:rPr>
          <w:rFonts w:ascii="Times New Roman" w:hAnsi="Times New Roman"/>
        </w:rPr>
        <w:t xml:space="preserve">od roku 2012 </w:t>
      </w:r>
      <w:r w:rsidRPr="00A92914" w:rsidR="00A76095">
        <w:rPr>
          <w:rFonts w:ascii="Times New Roman" w:hAnsi="Times New Roman"/>
        </w:rPr>
        <w:t xml:space="preserve">postupný </w:t>
      </w:r>
      <w:r w:rsidRPr="00A92914" w:rsidR="002371A3">
        <w:rPr>
          <w:rFonts w:ascii="Times New Roman" w:hAnsi="Times New Roman"/>
        </w:rPr>
        <w:t xml:space="preserve">nepriamy </w:t>
      </w:r>
      <w:r w:rsidRPr="00A92914" w:rsidR="00B32375">
        <w:rPr>
          <w:rFonts w:ascii="Times New Roman" w:hAnsi="Times New Roman"/>
        </w:rPr>
        <w:t xml:space="preserve">tlak na znižovanie prirážok slovenských štátnych dlhopisov, vydaných na domácom </w:t>
      </w:r>
      <w:r w:rsidRPr="00A92914" w:rsidR="005747A7">
        <w:rPr>
          <w:rFonts w:ascii="Times New Roman" w:hAnsi="Times New Roman"/>
        </w:rPr>
        <w:t>eur</w:t>
      </w:r>
      <w:r w:rsidRPr="00A92914" w:rsidR="00B32375">
        <w:rPr>
          <w:rFonts w:ascii="Times New Roman" w:hAnsi="Times New Roman"/>
        </w:rPr>
        <w:t>ópskom kapitálovom trhu</w:t>
      </w:r>
      <w:r w:rsidRPr="00A92914" w:rsidR="004B386C">
        <w:rPr>
          <w:rFonts w:ascii="Times New Roman" w:hAnsi="Times New Roman"/>
        </w:rPr>
        <w:t>.</w:t>
      </w:r>
    </w:p>
    <w:p w:rsidR="00A92914" w:rsidRPr="00A92914" w:rsidP="00A92914">
      <w:pPr>
        <w:bidi w:val="0"/>
        <w:ind w:firstLine="709"/>
        <w:jc w:val="both"/>
        <w:rPr>
          <w:rFonts w:ascii="Times New Roman" w:hAnsi="Times New Roman"/>
        </w:rPr>
      </w:pPr>
    </w:p>
    <w:p w:rsidR="00392210" w:rsidP="00A92914">
      <w:pPr>
        <w:bidi w:val="0"/>
        <w:ind w:firstLine="709"/>
        <w:jc w:val="both"/>
        <w:rPr>
          <w:rFonts w:ascii="Times New Roman" w:hAnsi="Times New Roman"/>
        </w:rPr>
      </w:pPr>
      <w:r w:rsidRPr="00A92914" w:rsidR="008D6A58">
        <w:rPr>
          <w:rFonts w:ascii="Times New Roman" w:hAnsi="Times New Roman"/>
        </w:rPr>
        <w:t xml:space="preserve">Finančné potreby štátu (splatné záväzky a priebežné financovanie deficitu štátneho rozpočtu) boli v roku 2011 čiastočne kryté </w:t>
      </w:r>
      <w:r w:rsidRPr="00A92914" w:rsidR="00A76095">
        <w:rPr>
          <w:rFonts w:ascii="Times New Roman" w:hAnsi="Times New Roman"/>
        </w:rPr>
        <w:t xml:space="preserve">rezervami a </w:t>
      </w:r>
      <w:r w:rsidRPr="00A92914" w:rsidR="008D6A58">
        <w:rPr>
          <w:rFonts w:ascii="Times New Roman" w:hAnsi="Times New Roman"/>
        </w:rPr>
        <w:t>zdrojmi zo Štátnej pokladnice.</w:t>
      </w:r>
      <w:r w:rsidRPr="00A92914" w:rsidR="007E30CE">
        <w:rPr>
          <w:rFonts w:ascii="Times New Roman" w:hAnsi="Times New Roman"/>
        </w:rPr>
        <w:t xml:space="preserve"> Dôvodom boli </w:t>
      </w:r>
      <w:r w:rsidRPr="00A92914" w:rsidR="00A76095">
        <w:rPr>
          <w:rFonts w:ascii="Times New Roman" w:hAnsi="Times New Roman"/>
        </w:rPr>
        <w:t xml:space="preserve">opakované </w:t>
      </w:r>
      <w:r w:rsidRPr="00A92914" w:rsidR="007E30CE">
        <w:rPr>
          <w:rFonts w:ascii="Times New Roman" w:hAnsi="Times New Roman"/>
        </w:rPr>
        <w:t>turbulencie na finančných trhoch koncom roka 2011.</w:t>
      </w:r>
      <w:r w:rsidRPr="00A92914" w:rsidR="008D6A58">
        <w:rPr>
          <w:rFonts w:ascii="Times New Roman" w:hAnsi="Times New Roman"/>
        </w:rPr>
        <w:t xml:space="preserve"> Následne v roku 2012 bolo vydan</w:t>
      </w:r>
      <w:r w:rsidRPr="00A92914" w:rsidR="00E606E3">
        <w:rPr>
          <w:rFonts w:ascii="Times New Roman" w:hAnsi="Times New Roman"/>
        </w:rPr>
        <w:t xml:space="preserve">ých </w:t>
      </w:r>
      <w:r w:rsidRPr="00A92914" w:rsidR="008D6A58">
        <w:rPr>
          <w:rFonts w:ascii="Times New Roman" w:hAnsi="Times New Roman"/>
        </w:rPr>
        <w:t xml:space="preserve">viac dlhopisov, </w:t>
      </w:r>
      <w:r w:rsidRPr="00A92914" w:rsidR="00A76095">
        <w:rPr>
          <w:rFonts w:ascii="Times New Roman" w:hAnsi="Times New Roman"/>
        </w:rPr>
        <w:t xml:space="preserve">než vyžadovalo priebežné financovanie štátu, </w:t>
      </w:r>
      <w:r w:rsidRPr="00A92914" w:rsidR="008D6A58">
        <w:rPr>
          <w:rFonts w:ascii="Times New Roman" w:hAnsi="Times New Roman"/>
        </w:rPr>
        <w:t xml:space="preserve">čo stačilo nielen na nahradenie zdrojov </w:t>
      </w:r>
      <w:r w:rsidRPr="00A92914" w:rsidR="00A76095">
        <w:rPr>
          <w:rFonts w:ascii="Times New Roman" w:hAnsi="Times New Roman"/>
        </w:rPr>
        <w:t xml:space="preserve">zo </w:t>
      </w:r>
      <w:r w:rsidR="00331CB4">
        <w:rPr>
          <w:rFonts w:ascii="Times New Roman" w:hAnsi="Times New Roman"/>
        </w:rPr>
        <w:t>Štátnej pokladnice</w:t>
      </w:r>
      <w:r w:rsidRPr="00A92914" w:rsidR="00E606E3">
        <w:rPr>
          <w:rFonts w:ascii="Times New Roman" w:hAnsi="Times New Roman"/>
        </w:rPr>
        <w:t>,</w:t>
      </w:r>
      <w:r w:rsidRPr="00A92914" w:rsidR="008D6A58">
        <w:rPr>
          <w:rFonts w:ascii="Times New Roman" w:hAnsi="Times New Roman"/>
        </w:rPr>
        <w:t xml:space="preserve"> ale aj na zväčšenie hotovostnej rezervy.</w:t>
      </w:r>
      <w:r w:rsidRPr="00A92914" w:rsidR="00EC3BBD">
        <w:rPr>
          <w:rFonts w:ascii="Times New Roman" w:hAnsi="Times New Roman"/>
        </w:rPr>
        <w:t xml:space="preserve"> Situácia sa zmenila v roku 201</w:t>
      </w:r>
      <w:r w:rsidRPr="00A92914" w:rsidR="00FA6869">
        <w:rPr>
          <w:rFonts w:ascii="Times New Roman" w:hAnsi="Times New Roman"/>
        </w:rPr>
        <w:t>3 a najmä v roku 2014</w:t>
      </w:r>
      <w:r w:rsidRPr="00A92914" w:rsidR="00EC3BBD">
        <w:rPr>
          <w:rFonts w:ascii="Times New Roman" w:hAnsi="Times New Roman"/>
        </w:rPr>
        <w:t>, ke</w:t>
      </w:r>
      <w:r w:rsidRPr="00A92914" w:rsidR="004B386C">
        <w:rPr>
          <w:rFonts w:ascii="Times New Roman" w:hAnsi="Times New Roman"/>
        </w:rPr>
        <w:t>ď</w:t>
      </w:r>
      <w:r w:rsidRPr="00A92914" w:rsidR="00EC3BBD">
        <w:rPr>
          <w:rFonts w:ascii="Times New Roman" w:hAnsi="Times New Roman"/>
        </w:rPr>
        <w:t xml:space="preserve"> sa opäť </w:t>
      </w:r>
      <w:r w:rsidRPr="00A92914" w:rsidR="00A76095">
        <w:rPr>
          <w:rFonts w:ascii="Times New Roman" w:hAnsi="Times New Roman"/>
        </w:rPr>
        <w:t xml:space="preserve">postupne </w:t>
      </w:r>
      <w:r w:rsidRPr="00A92914" w:rsidR="00EC3BBD">
        <w:rPr>
          <w:rFonts w:ascii="Times New Roman" w:hAnsi="Times New Roman"/>
        </w:rPr>
        <w:t>zmenšovala hotovostná rezerva</w:t>
      </w:r>
      <w:r w:rsidRPr="00A92914" w:rsidR="00611FC9">
        <w:rPr>
          <w:rFonts w:ascii="Times New Roman" w:hAnsi="Times New Roman"/>
        </w:rPr>
        <w:t>.</w:t>
      </w:r>
      <w:r w:rsidRPr="00A92914" w:rsidR="006A6BB1">
        <w:rPr>
          <w:rFonts w:ascii="Times New Roman" w:hAnsi="Times New Roman"/>
        </w:rPr>
        <w:t xml:space="preserve"> </w:t>
      </w:r>
      <w:r w:rsidRPr="00A92914" w:rsidR="00A76095">
        <w:rPr>
          <w:rFonts w:ascii="Times New Roman" w:hAnsi="Times New Roman"/>
        </w:rPr>
        <w:t>Zníženie hotovostnej rezervy bolo aj dôsledkom predčasného odkúpenia časti štátnych dlhopisov</w:t>
      </w:r>
      <w:r w:rsidRPr="00A92914" w:rsidR="00627E81">
        <w:rPr>
          <w:rFonts w:ascii="Times New Roman" w:hAnsi="Times New Roman"/>
        </w:rPr>
        <w:t xml:space="preserve"> pred splatnosťou</w:t>
      </w:r>
      <w:r w:rsidRPr="00A92914" w:rsidR="00FB599D">
        <w:rPr>
          <w:rFonts w:ascii="Times New Roman" w:hAnsi="Times New Roman"/>
        </w:rPr>
        <w:t xml:space="preserve">, </w:t>
      </w:r>
      <w:r w:rsidRPr="00A92914" w:rsidR="00A76095">
        <w:rPr>
          <w:rFonts w:ascii="Times New Roman" w:hAnsi="Times New Roman"/>
        </w:rPr>
        <w:t>čo prinieslo komfortnejšie splácanie veľkých emisií štátnych dlhopisov a</w:t>
      </w:r>
      <w:r w:rsidRPr="00A92914" w:rsidR="002371A3">
        <w:rPr>
          <w:rFonts w:ascii="Times New Roman" w:hAnsi="Times New Roman"/>
        </w:rPr>
        <w:t xml:space="preserve"> miernu </w:t>
      </w:r>
      <w:r w:rsidRPr="00A92914" w:rsidR="00A76095">
        <w:rPr>
          <w:rFonts w:ascii="Times New Roman" w:hAnsi="Times New Roman"/>
        </w:rPr>
        <w:t xml:space="preserve">redukciu nákladov spojených s držbou hotovostnej rezervy. </w:t>
      </w:r>
      <w:r w:rsidRPr="00A92914" w:rsidR="001C51A1">
        <w:rPr>
          <w:rFonts w:ascii="Times New Roman" w:hAnsi="Times New Roman"/>
        </w:rPr>
        <w:t xml:space="preserve">Konsolidácia na kapitálových trhoch priniesla </w:t>
      </w:r>
      <w:r w:rsidRPr="00A92914" w:rsidR="007E30CE">
        <w:rPr>
          <w:rFonts w:ascii="Times New Roman" w:hAnsi="Times New Roman"/>
        </w:rPr>
        <w:t xml:space="preserve">postupne </w:t>
      </w:r>
      <w:r w:rsidRPr="00A92914" w:rsidR="001C51A1">
        <w:rPr>
          <w:rFonts w:ascii="Times New Roman" w:hAnsi="Times New Roman"/>
        </w:rPr>
        <w:t xml:space="preserve">výhodné podmienky </w:t>
      </w:r>
      <w:r w:rsidRPr="00A92914">
        <w:rPr>
          <w:rFonts w:ascii="Times New Roman" w:hAnsi="Times New Roman"/>
        </w:rPr>
        <w:t xml:space="preserve">pre „bezpečné“ krajiny </w:t>
      </w:r>
      <w:r w:rsidRPr="00A92914" w:rsidR="001C51A1">
        <w:rPr>
          <w:rFonts w:ascii="Times New Roman" w:hAnsi="Times New Roman"/>
        </w:rPr>
        <w:t xml:space="preserve">v podobe úrokových sadzieb na úrovni historických miním a pre Slovensko </w:t>
      </w:r>
      <w:r w:rsidRPr="00A92914" w:rsidR="001F369D">
        <w:rPr>
          <w:rFonts w:ascii="Times New Roman" w:hAnsi="Times New Roman"/>
        </w:rPr>
        <w:t xml:space="preserve">navyše </w:t>
      </w:r>
      <w:r w:rsidRPr="00A92914" w:rsidR="001C51A1">
        <w:rPr>
          <w:rFonts w:ascii="Times New Roman" w:hAnsi="Times New Roman"/>
        </w:rPr>
        <w:t xml:space="preserve">aj </w:t>
      </w:r>
      <w:r w:rsidRPr="00A92914" w:rsidR="00E91EAC">
        <w:rPr>
          <w:rFonts w:ascii="Times New Roman" w:hAnsi="Times New Roman"/>
        </w:rPr>
        <w:t xml:space="preserve">dopyt </w:t>
      </w:r>
      <w:r w:rsidRPr="00A92914" w:rsidR="001F369D">
        <w:rPr>
          <w:rFonts w:ascii="Times New Roman" w:hAnsi="Times New Roman"/>
        </w:rPr>
        <w:t>t</w:t>
      </w:r>
      <w:r w:rsidRPr="00A92914" w:rsidR="00724CB1">
        <w:rPr>
          <w:rFonts w:ascii="Times New Roman" w:hAnsi="Times New Roman"/>
        </w:rPr>
        <w:t xml:space="preserve">ých investorov, ktorí </w:t>
      </w:r>
      <w:r w:rsidRPr="00A92914">
        <w:rPr>
          <w:rFonts w:ascii="Times New Roman" w:hAnsi="Times New Roman"/>
        </w:rPr>
        <w:t xml:space="preserve">obmedzili </w:t>
      </w:r>
      <w:r w:rsidRPr="00A92914" w:rsidR="007E30CE">
        <w:rPr>
          <w:rFonts w:ascii="Times New Roman" w:hAnsi="Times New Roman"/>
        </w:rPr>
        <w:t xml:space="preserve">z dôvodu dlhovej krízy </w:t>
      </w:r>
      <w:r w:rsidRPr="00A92914">
        <w:rPr>
          <w:rFonts w:ascii="Times New Roman" w:hAnsi="Times New Roman"/>
        </w:rPr>
        <w:t>nákupy</w:t>
      </w:r>
      <w:r w:rsidRPr="00A92914" w:rsidR="00724CB1">
        <w:rPr>
          <w:rFonts w:ascii="Times New Roman" w:hAnsi="Times New Roman"/>
        </w:rPr>
        <w:t xml:space="preserve"> dlhopis</w:t>
      </w:r>
      <w:r w:rsidRPr="00A92914">
        <w:rPr>
          <w:rFonts w:ascii="Times New Roman" w:hAnsi="Times New Roman"/>
        </w:rPr>
        <w:t>ov</w:t>
      </w:r>
      <w:r w:rsidRPr="00A92914" w:rsidR="00724CB1">
        <w:rPr>
          <w:rFonts w:ascii="Times New Roman" w:hAnsi="Times New Roman"/>
        </w:rPr>
        <w:t xml:space="preserve"> „okrajových“ krajín. Konsolidáciu na finančných trhoch </w:t>
      </w:r>
      <w:r w:rsidRPr="00A92914" w:rsidR="005A3043">
        <w:rPr>
          <w:rFonts w:ascii="Times New Roman" w:hAnsi="Times New Roman"/>
        </w:rPr>
        <w:t xml:space="preserve">a historicky minimálne úrokové sadzby </w:t>
      </w:r>
      <w:r w:rsidRPr="00A92914" w:rsidR="00724CB1">
        <w:rPr>
          <w:rFonts w:ascii="Times New Roman" w:hAnsi="Times New Roman"/>
        </w:rPr>
        <w:t xml:space="preserve">využilo Slovensko na </w:t>
      </w:r>
      <w:r w:rsidRPr="00A92914" w:rsidR="004B386C">
        <w:rPr>
          <w:rFonts w:ascii="Times New Roman" w:hAnsi="Times New Roman"/>
        </w:rPr>
        <w:t xml:space="preserve">podstatné zlepšenie rizikového profilu </w:t>
      </w:r>
      <w:r w:rsidRPr="00A92914" w:rsidR="00724CB1">
        <w:rPr>
          <w:rFonts w:ascii="Times New Roman" w:hAnsi="Times New Roman"/>
        </w:rPr>
        <w:t>portfólia</w:t>
      </w:r>
      <w:r w:rsidRPr="00A92914" w:rsidR="004B386C">
        <w:rPr>
          <w:rFonts w:ascii="Times New Roman" w:hAnsi="Times New Roman"/>
        </w:rPr>
        <w:t xml:space="preserve"> štátneho dlhu</w:t>
      </w:r>
      <w:r w:rsidRPr="00A92914" w:rsidR="00724CB1">
        <w:rPr>
          <w:rFonts w:ascii="Times New Roman" w:hAnsi="Times New Roman"/>
        </w:rPr>
        <w:t xml:space="preserve"> smerom k</w:t>
      </w:r>
      <w:r w:rsidRPr="00A92914">
        <w:rPr>
          <w:rFonts w:ascii="Times New Roman" w:hAnsi="Times New Roman"/>
        </w:rPr>
        <w:t xml:space="preserve"> väčšej </w:t>
      </w:r>
      <w:r w:rsidRPr="00A92914" w:rsidR="004B386C">
        <w:rPr>
          <w:rFonts w:ascii="Times New Roman" w:hAnsi="Times New Roman"/>
        </w:rPr>
        <w:t xml:space="preserve">priemernej splatnosti a menšieho rizika </w:t>
      </w:r>
      <w:r w:rsidRPr="00A92914" w:rsidR="00627E81">
        <w:rPr>
          <w:rFonts w:ascii="Times New Roman" w:hAnsi="Times New Roman"/>
        </w:rPr>
        <w:t xml:space="preserve">možného </w:t>
      </w:r>
      <w:r w:rsidRPr="00A92914" w:rsidR="004B386C">
        <w:rPr>
          <w:rFonts w:ascii="Times New Roman" w:hAnsi="Times New Roman"/>
        </w:rPr>
        <w:t>negatívneho precenenia portfólia</w:t>
      </w:r>
      <w:r w:rsidRPr="00A92914" w:rsidR="00A76095">
        <w:rPr>
          <w:rFonts w:ascii="Times New Roman" w:hAnsi="Times New Roman"/>
        </w:rPr>
        <w:t>. Tento princíp správy portfólia je</w:t>
      </w:r>
      <w:r w:rsidRPr="00A92914" w:rsidR="00724CB1">
        <w:rPr>
          <w:rFonts w:ascii="Times New Roman" w:hAnsi="Times New Roman"/>
        </w:rPr>
        <w:t xml:space="preserve"> štandard</w:t>
      </w:r>
      <w:r w:rsidRPr="00A92914" w:rsidR="00FA6869">
        <w:rPr>
          <w:rFonts w:ascii="Times New Roman" w:hAnsi="Times New Roman"/>
        </w:rPr>
        <w:t>om</w:t>
      </w:r>
      <w:r w:rsidRPr="00A92914" w:rsidR="00724CB1">
        <w:rPr>
          <w:rFonts w:ascii="Times New Roman" w:hAnsi="Times New Roman"/>
        </w:rPr>
        <w:t xml:space="preserve"> </w:t>
      </w:r>
      <w:r w:rsidRPr="00A92914">
        <w:rPr>
          <w:rFonts w:ascii="Times New Roman" w:hAnsi="Times New Roman"/>
        </w:rPr>
        <w:t xml:space="preserve">pre </w:t>
      </w:r>
      <w:r w:rsidRPr="00A92914" w:rsidR="00724CB1">
        <w:rPr>
          <w:rFonts w:ascii="Times New Roman" w:hAnsi="Times New Roman"/>
        </w:rPr>
        <w:t>kraj</w:t>
      </w:r>
      <w:r w:rsidRPr="00A92914">
        <w:rPr>
          <w:rFonts w:ascii="Times New Roman" w:hAnsi="Times New Roman"/>
        </w:rPr>
        <w:t>iny</w:t>
      </w:r>
      <w:r w:rsidRPr="00A92914" w:rsidR="00724CB1">
        <w:rPr>
          <w:rFonts w:ascii="Times New Roman" w:hAnsi="Times New Roman"/>
        </w:rPr>
        <w:t xml:space="preserve"> s rozvinutým kapitálovým trhom</w:t>
      </w:r>
      <w:r w:rsidRPr="00A92914" w:rsidR="00FD507A">
        <w:rPr>
          <w:rFonts w:ascii="Times New Roman" w:hAnsi="Times New Roman"/>
        </w:rPr>
        <w:t xml:space="preserve"> a sofistikovaným riadením štátneho dlhu</w:t>
      </w:r>
      <w:r w:rsidRPr="00A92914" w:rsidR="00724CB1">
        <w:rPr>
          <w:rFonts w:ascii="Times New Roman" w:hAnsi="Times New Roman"/>
        </w:rPr>
        <w:t>.</w:t>
      </w:r>
      <w:r w:rsidRPr="00A92914" w:rsidR="001F369D">
        <w:rPr>
          <w:rFonts w:ascii="Times New Roman" w:hAnsi="Times New Roman"/>
        </w:rPr>
        <w:t xml:space="preserve"> </w:t>
      </w:r>
      <w:r w:rsidRPr="00A92914" w:rsidR="004B386C">
        <w:rPr>
          <w:rFonts w:ascii="Times New Roman" w:hAnsi="Times New Roman"/>
        </w:rPr>
        <w:t xml:space="preserve">Táto potrebná a dlhovou krízou vynútená stabilizácia portfólia štátneho dlhu sa uskutočnila </w:t>
      </w:r>
      <w:r w:rsidRPr="00A92914" w:rsidR="0049591A">
        <w:rPr>
          <w:rFonts w:ascii="Times New Roman" w:hAnsi="Times New Roman"/>
        </w:rPr>
        <w:t xml:space="preserve">v rokoch 2011 až 2014 </w:t>
      </w:r>
      <w:r w:rsidRPr="00A92914" w:rsidR="004B386C">
        <w:rPr>
          <w:rFonts w:ascii="Times New Roman" w:hAnsi="Times New Roman"/>
        </w:rPr>
        <w:t xml:space="preserve">bez významného nárastu priemerných nákladov na správu štátneho dlhu. </w:t>
      </w:r>
    </w:p>
    <w:p w:rsidR="00A92914" w:rsidRPr="00A92914" w:rsidP="00A92914">
      <w:pPr>
        <w:bidi w:val="0"/>
        <w:ind w:firstLine="709"/>
        <w:jc w:val="both"/>
        <w:rPr>
          <w:rFonts w:ascii="Times New Roman" w:hAnsi="Times New Roman"/>
        </w:rPr>
      </w:pPr>
    </w:p>
    <w:p w:rsidR="00AB7A7D" w:rsidP="00A92914">
      <w:pPr>
        <w:bidi w:val="0"/>
        <w:spacing w:after="120"/>
        <w:ind w:firstLine="708"/>
        <w:jc w:val="both"/>
        <w:rPr>
          <w:rFonts w:ascii="Times New Roman" w:hAnsi="Times New Roman"/>
        </w:rPr>
      </w:pPr>
      <w:r w:rsidRPr="00A92914" w:rsidR="00E72EC5">
        <w:rPr>
          <w:rFonts w:ascii="Times New Roman" w:hAnsi="Times New Roman"/>
        </w:rPr>
        <w:t>Navrhovaná</w:t>
      </w:r>
      <w:r w:rsidRPr="00A92914" w:rsidR="006C7754">
        <w:rPr>
          <w:rFonts w:ascii="Times New Roman" w:hAnsi="Times New Roman"/>
        </w:rPr>
        <w:t xml:space="preserve"> Stratégia riadenia dlhu na roky 201</w:t>
      </w:r>
      <w:r w:rsidRPr="00A92914" w:rsidR="001F369D">
        <w:rPr>
          <w:rFonts w:ascii="Times New Roman" w:hAnsi="Times New Roman"/>
        </w:rPr>
        <w:t>5</w:t>
      </w:r>
      <w:r w:rsidRPr="00A92914" w:rsidR="006C7754">
        <w:rPr>
          <w:rFonts w:ascii="Times New Roman" w:hAnsi="Times New Roman"/>
        </w:rPr>
        <w:t xml:space="preserve"> až 201</w:t>
      </w:r>
      <w:r w:rsidRPr="00A92914" w:rsidR="001F369D">
        <w:rPr>
          <w:rFonts w:ascii="Times New Roman" w:hAnsi="Times New Roman"/>
        </w:rPr>
        <w:t>8</w:t>
      </w:r>
      <w:r w:rsidRPr="00A92914" w:rsidR="006C7754">
        <w:rPr>
          <w:rFonts w:ascii="Times New Roman" w:hAnsi="Times New Roman"/>
        </w:rPr>
        <w:t xml:space="preserve"> nadväzuje </w:t>
      </w:r>
      <w:r w:rsidRPr="00A92914" w:rsidR="001F369D">
        <w:rPr>
          <w:rFonts w:ascii="Times New Roman" w:hAnsi="Times New Roman"/>
        </w:rPr>
        <w:t xml:space="preserve">v princípoch </w:t>
      </w:r>
      <w:r w:rsidRPr="00A92914" w:rsidR="006C7754">
        <w:rPr>
          <w:rFonts w:ascii="Times New Roman" w:hAnsi="Times New Roman"/>
        </w:rPr>
        <w:t>na predchádzajúcu stratégiu</w:t>
      </w:r>
      <w:r w:rsidRPr="00A92914" w:rsidR="001F369D">
        <w:rPr>
          <w:rFonts w:ascii="Times New Roman" w:hAnsi="Times New Roman"/>
        </w:rPr>
        <w:t>.</w:t>
      </w:r>
      <w:r w:rsidRPr="00A92914" w:rsidR="006C7754">
        <w:rPr>
          <w:rFonts w:ascii="Times New Roman" w:hAnsi="Times New Roman"/>
        </w:rPr>
        <w:t xml:space="preserve"> </w:t>
      </w:r>
      <w:r w:rsidRPr="00A92914" w:rsidR="001F369D">
        <w:rPr>
          <w:rFonts w:ascii="Times New Roman" w:hAnsi="Times New Roman"/>
        </w:rPr>
        <w:t>V</w:t>
      </w:r>
      <w:r w:rsidRPr="00A92914" w:rsidR="006C7754">
        <w:rPr>
          <w:rFonts w:ascii="Times New Roman" w:hAnsi="Times New Roman"/>
        </w:rPr>
        <w:t xml:space="preserve">ývoj </w:t>
      </w:r>
      <w:r w:rsidRPr="00A92914" w:rsidR="00A76095">
        <w:rPr>
          <w:rFonts w:ascii="Times New Roman" w:hAnsi="Times New Roman"/>
        </w:rPr>
        <w:t xml:space="preserve">verejných financií a nákladov na správu štátneho dlhu v posledných rokoch </w:t>
      </w:r>
      <w:r w:rsidRPr="00A92914" w:rsidR="001F369D">
        <w:rPr>
          <w:rFonts w:ascii="Times New Roman" w:hAnsi="Times New Roman"/>
        </w:rPr>
        <w:t>a</w:t>
      </w:r>
      <w:r w:rsidRPr="00A92914" w:rsidR="00FD507A">
        <w:rPr>
          <w:rFonts w:ascii="Times New Roman" w:hAnsi="Times New Roman"/>
        </w:rPr>
        <w:t xml:space="preserve"> najmä </w:t>
      </w:r>
      <w:r w:rsidRPr="00A92914" w:rsidR="001F369D">
        <w:rPr>
          <w:rFonts w:ascii="Times New Roman" w:hAnsi="Times New Roman"/>
        </w:rPr>
        <w:t xml:space="preserve">hodnotenie Slovenska investormi, bankami a ratingovými spoločnosťami </w:t>
      </w:r>
      <w:r w:rsidRPr="00A92914" w:rsidR="006C7754">
        <w:rPr>
          <w:rFonts w:ascii="Times New Roman" w:hAnsi="Times New Roman"/>
        </w:rPr>
        <w:t>ukázal</w:t>
      </w:r>
      <w:r w:rsidRPr="00A92914" w:rsidR="004B386C">
        <w:rPr>
          <w:rFonts w:ascii="Times New Roman" w:hAnsi="Times New Roman"/>
        </w:rPr>
        <w:t>i</w:t>
      </w:r>
      <w:r w:rsidRPr="00A92914" w:rsidR="006C7754">
        <w:rPr>
          <w:rFonts w:ascii="Times New Roman" w:hAnsi="Times New Roman"/>
        </w:rPr>
        <w:t>, že sledované ciele riadenia štátneho dlhu na roky 20</w:t>
      </w:r>
      <w:r w:rsidRPr="00A92914" w:rsidR="001F369D">
        <w:rPr>
          <w:rFonts w:ascii="Times New Roman" w:hAnsi="Times New Roman"/>
        </w:rPr>
        <w:t>11</w:t>
      </w:r>
      <w:r w:rsidRPr="00A92914" w:rsidR="006C7754">
        <w:rPr>
          <w:rFonts w:ascii="Times New Roman" w:hAnsi="Times New Roman"/>
        </w:rPr>
        <w:t xml:space="preserve"> až 201</w:t>
      </w:r>
      <w:r w:rsidRPr="00A92914" w:rsidR="001F369D">
        <w:rPr>
          <w:rFonts w:ascii="Times New Roman" w:hAnsi="Times New Roman"/>
        </w:rPr>
        <w:t>4</w:t>
      </w:r>
      <w:r w:rsidRPr="00A92914" w:rsidR="006C7754">
        <w:rPr>
          <w:rFonts w:ascii="Times New Roman" w:hAnsi="Times New Roman"/>
        </w:rPr>
        <w:t xml:space="preserve"> boli vhodn</w:t>
      </w:r>
      <w:r w:rsidRPr="00A92914" w:rsidR="00FD507A">
        <w:rPr>
          <w:rFonts w:ascii="Times New Roman" w:hAnsi="Times New Roman"/>
        </w:rPr>
        <w:t>e</w:t>
      </w:r>
      <w:r w:rsidRPr="00A92914" w:rsidR="006C7754">
        <w:rPr>
          <w:rFonts w:ascii="Times New Roman" w:hAnsi="Times New Roman"/>
        </w:rPr>
        <w:t xml:space="preserve"> </w:t>
      </w:r>
      <w:r w:rsidRPr="00A92914" w:rsidR="00FD507A">
        <w:rPr>
          <w:rFonts w:ascii="Times New Roman" w:hAnsi="Times New Roman"/>
        </w:rPr>
        <w:t xml:space="preserve">nastavené </w:t>
      </w:r>
      <w:r w:rsidRPr="00A92914" w:rsidR="006C7754">
        <w:rPr>
          <w:rFonts w:ascii="Times New Roman" w:hAnsi="Times New Roman"/>
        </w:rPr>
        <w:t xml:space="preserve">pre podmienky </w:t>
      </w:r>
      <w:r w:rsidRPr="00A92914" w:rsidR="0049591A">
        <w:rPr>
          <w:rFonts w:ascii="Times New Roman" w:hAnsi="Times New Roman"/>
        </w:rPr>
        <w:t xml:space="preserve">slovenskej </w:t>
      </w:r>
      <w:r w:rsidRPr="00A92914" w:rsidR="006C7754">
        <w:rPr>
          <w:rFonts w:ascii="Times New Roman" w:hAnsi="Times New Roman"/>
        </w:rPr>
        <w:t>ekonomiky</w:t>
      </w:r>
      <w:r w:rsidRPr="00A92914" w:rsidR="0049591A">
        <w:rPr>
          <w:rFonts w:ascii="Times New Roman" w:hAnsi="Times New Roman"/>
        </w:rPr>
        <w:t>, verejných financií</w:t>
      </w:r>
      <w:r w:rsidRPr="00A92914" w:rsidR="006C7754">
        <w:rPr>
          <w:rFonts w:ascii="Times New Roman" w:hAnsi="Times New Roman"/>
        </w:rPr>
        <w:t xml:space="preserve"> a</w:t>
      </w:r>
      <w:r w:rsidRPr="00A92914" w:rsidR="00FD507A">
        <w:rPr>
          <w:rFonts w:ascii="Times New Roman" w:hAnsi="Times New Roman"/>
        </w:rPr>
        <w:t> </w:t>
      </w:r>
      <w:r w:rsidRPr="00A92914" w:rsidR="006C7754">
        <w:rPr>
          <w:rFonts w:ascii="Times New Roman" w:hAnsi="Times New Roman"/>
        </w:rPr>
        <w:t>systému</w:t>
      </w:r>
      <w:r w:rsidRPr="00A92914" w:rsidR="00FD507A">
        <w:rPr>
          <w:rFonts w:ascii="Times New Roman" w:hAnsi="Times New Roman"/>
        </w:rPr>
        <w:t xml:space="preserve"> riadenia štátneho dlhu SR.</w:t>
      </w:r>
      <w:r w:rsidRPr="00A92914" w:rsidR="001F369D">
        <w:rPr>
          <w:rFonts w:ascii="Times New Roman" w:hAnsi="Times New Roman"/>
        </w:rPr>
        <w:t xml:space="preserve"> </w:t>
      </w:r>
      <w:r w:rsidRPr="00A92914" w:rsidR="00FD507A">
        <w:rPr>
          <w:rFonts w:ascii="Times New Roman" w:hAnsi="Times New Roman"/>
        </w:rPr>
        <w:t xml:space="preserve">Vzhľadom na obmedzenú kapacitu regionálneho </w:t>
      </w:r>
      <w:r w:rsidRPr="00A92914" w:rsidR="0049591A">
        <w:rPr>
          <w:rFonts w:ascii="Times New Roman" w:hAnsi="Times New Roman"/>
        </w:rPr>
        <w:t xml:space="preserve">dlhopisového </w:t>
      </w:r>
      <w:r w:rsidRPr="00A92914" w:rsidR="00FD507A">
        <w:rPr>
          <w:rFonts w:ascii="Times New Roman" w:hAnsi="Times New Roman"/>
        </w:rPr>
        <w:t xml:space="preserve">trhu, stále sprísňujúcu sa </w:t>
      </w:r>
      <w:r w:rsidRPr="00A92914" w:rsidR="0049591A">
        <w:rPr>
          <w:rFonts w:ascii="Times New Roman" w:hAnsi="Times New Roman"/>
        </w:rPr>
        <w:t xml:space="preserve">všeobecnú </w:t>
      </w:r>
      <w:r w:rsidRPr="00A92914" w:rsidR="00FD507A">
        <w:rPr>
          <w:rFonts w:ascii="Times New Roman" w:hAnsi="Times New Roman"/>
        </w:rPr>
        <w:t>finančnú reguláciu a kumulatívny nárast absolútnej hodnoty štátneho dlhu SR</w:t>
      </w:r>
      <w:r w:rsidRPr="00A92914" w:rsidR="001F369D">
        <w:rPr>
          <w:rFonts w:ascii="Times New Roman" w:hAnsi="Times New Roman"/>
        </w:rPr>
        <w:t xml:space="preserve"> je potrebné posunúť parametre </w:t>
      </w:r>
      <w:r w:rsidRPr="00A92914" w:rsidR="0049591A">
        <w:rPr>
          <w:rFonts w:ascii="Times New Roman" w:hAnsi="Times New Roman"/>
        </w:rPr>
        <w:t xml:space="preserve">cielene riadeného </w:t>
      </w:r>
      <w:r w:rsidRPr="00A92914" w:rsidR="001F369D">
        <w:rPr>
          <w:rFonts w:ascii="Times New Roman" w:hAnsi="Times New Roman"/>
        </w:rPr>
        <w:t>portfólia do oblasti menšieho rizika</w:t>
      </w:r>
      <w:r w:rsidRPr="00A92914">
        <w:rPr>
          <w:rFonts w:ascii="Times New Roman" w:hAnsi="Times New Roman"/>
        </w:rPr>
        <w:t>.</w:t>
      </w:r>
      <w:r w:rsidRPr="00A92914" w:rsidR="006C7754">
        <w:rPr>
          <w:rFonts w:ascii="Times New Roman" w:hAnsi="Times New Roman"/>
        </w:rPr>
        <w:t xml:space="preserve"> </w:t>
      </w:r>
      <w:r w:rsidRPr="00A92914" w:rsidR="0074534D">
        <w:rPr>
          <w:rFonts w:ascii="Times New Roman" w:hAnsi="Times New Roman"/>
        </w:rPr>
        <w:t xml:space="preserve">Novým nastavením rizikových parametrov sa Slovensko v oblasti riadenia štátneho dlhu priradí k jadrovým krajinám </w:t>
      </w:r>
      <w:r w:rsidRPr="00A92914" w:rsidR="005747A7">
        <w:rPr>
          <w:rFonts w:ascii="Times New Roman" w:hAnsi="Times New Roman"/>
        </w:rPr>
        <w:t>eur</w:t>
      </w:r>
      <w:r w:rsidRPr="00A92914" w:rsidR="0074534D">
        <w:rPr>
          <w:rFonts w:ascii="Times New Roman" w:hAnsi="Times New Roman"/>
        </w:rPr>
        <w:t xml:space="preserve">ozóny s moderným </w:t>
      </w:r>
      <w:r w:rsidRPr="00A92914" w:rsidR="002371A3">
        <w:rPr>
          <w:rFonts w:ascii="Times New Roman" w:hAnsi="Times New Roman"/>
        </w:rPr>
        <w:t xml:space="preserve">a prísnym </w:t>
      </w:r>
      <w:r w:rsidRPr="00A92914" w:rsidR="0074534D">
        <w:rPr>
          <w:rFonts w:ascii="Times New Roman" w:hAnsi="Times New Roman"/>
        </w:rPr>
        <w:t xml:space="preserve">prístupom k riadeniu finančného rizika. </w:t>
      </w:r>
      <w:r w:rsidRPr="00A92914" w:rsidR="006C7754">
        <w:rPr>
          <w:rFonts w:ascii="Times New Roman" w:hAnsi="Times New Roman"/>
        </w:rPr>
        <w:t>Ciele v </w:t>
      </w:r>
      <w:r w:rsidRPr="00A92914" w:rsidR="00DF7081">
        <w:rPr>
          <w:rFonts w:ascii="Times New Roman" w:hAnsi="Times New Roman"/>
        </w:rPr>
        <w:t>navrhovanej</w:t>
      </w:r>
      <w:r w:rsidRPr="00A92914" w:rsidR="006C7754">
        <w:rPr>
          <w:rFonts w:ascii="Times New Roman" w:hAnsi="Times New Roman"/>
        </w:rPr>
        <w:t xml:space="preserve"> stratégii sú v línii s</w:t>
      </w:r>
      <w:r w:rsidRPr="00A92914" w:rsidR="0049591A">
        <w:rPr>
          <w:rFonts w:ascii="Times New Roman" w:hAnsi="Times New Roman"/>
        </w:rPr>
        <w:t> </w:t>
      </w:r>
      <w:r w:rsidRPr="00A92914" w:rsidR="006C7754">
        <w:rPr>
          <w:rFonts w:ascii="Times New Roman" w:hAnsi="Times New Roman"/>
        </w:rPr>
        <w:t>cieľmi</w:t>
      </w:r>
      <w:r w:rsidRPr="00A92914" w:rsidR="0049591A">
        <w:rPr>
          <w:rFonts w:ascii="Times New Roman" w:hAnsi="Times New Roman"/>
        </w:rPr>
        <w:t xml:space="preserve"> definovanými v pre</w:t>
      </w:r>
      <w:r w:rsidRPr="00A92914" w:rsidR="00541922">
        <w:rPr>
          <w:rFonts w:ascii="Times New Roman" w:hAnsi="Times New Roman"/>
        </w:rPr>
        <w:t>d</w:t>
      </w:r>
      <w:r w:rsidRPr="00A92914" w:rsidR="0049591A">
        <w:rPr>
          <w:rFonts w:ascii="Times New Roman" w:hAnsi="Times New Roman"/>
        </w:rPr>
        <w:t>chádzajúcich stratégiách riadenia štátneho dlhu</w:t>
      </w:r>
      <w:r w:rsidRPr="00A92914" w:rsidR="00DF7081">
        <w:rPr>
          <w:rFonts w:ascii="Times New Roman" w:hAnsi="Times New Roman"/>
        </w:rPr>
        <w:t xml:space="preserve">. Nová </w:t>
      </w:r>
      <w:r w:rsidRPr="00A92914" w:rsidR="006C7754">
        <w:rPr>
          <w:rFonts w:ascii="Times New Roman" w:hAnsi="Times New Roman"/>
        </w:rPr>
        <w:t xml:space="preserve">stratégia </w:t>
      </w:r>
      <w:r w:rsidRPr="00A92914" w:rsidR="0049591A">
        <w:rPr>
          <w:rFonts w:ascii="Times New Roman" w:hAnsi="Times New Roman"/>
        </w:rPr>
        <w:t xml:space="preserve">mierne </w:t>
      </w:r>
      <w:r w:rsidRPr="00A92914" w:rsidR="006C7754">
        <w:rPr>
          <w:rFonts w:ascii="Times New Roman" w:hAnsi="Times New Roman"/>
        </w:rPr>
        <w:t xml:space="preserve">modifikuje kvantitatívne </w:t>
      </w:r>
      <w:r w:rsidRPr="00A92914" w:rsidR="00AB7EF9">
        <w:rPr>
          <w:rFonts w:ascii="Times New Roman" w:hAnsi="Times New Roman"/>
        </w:rPr>
        <w:t xml:space="preserve">primárne </w:t>
      </w:r>
      <w:r w:rsidRPr="00A92914" w:rsidR="006C7754">
        <w:rPr>
          <w:rFonts w:ascii="Times New Roman" w:hAnsi="Times New Roman"/>
        </w:rPr>
        <w:t xml:space="preserve">ciele riadenia </w:t>
      </w:r>
      <w:r w:rsidRPr="00A92914" w:rsidR="005840BF">
        <w:rPr>
          <w:rFonts w:ascii="Times New Roman" w:hAnsi="Times New Roman"/>
        </w:rPr>
        <w:t>rizika</w:t>
      </w:r>
      <w:r w:rsidRPr="00A92914" w:rsidR="006C7754">
        <w:rPr>
          <w:rFonts w:ascii="Times New Roman" w:hAnsi="Times New Roman"/>
        </w:rPr>
        <w:t>.</w:t>
      </w:r>
    </w:p>
    <w:p w:rsidR="00A92914" w:rsidRPr="00A92914" w:rsidP="00A92914">
      <w:pPr>
        <w:bidi w:val="0"/>
        <w:spacing w:after="120"/>
        <w:ind w:firstLine="708"/>
        <w:jc w:val="both"/>
        <w:rPr>
          <w:rFonts w:ascii="Times New Roman" w:hAnsi="Times New Roman"/>
        </w:rPr>
      </w:pPr>
    </w:p>
    <w:p w:rsidR="00370005" w:rsidRPr="00A92914" w:rsidP="00FC4CF9">
      <w:pPr>
        <w:pStyle w:val="Heading1"/>
        <w:numPr>
          <w:ilvl w:val="3"/>
          <w:numId w:val="17"/>
        </w:numPr>
        <w:bidi w:val="0"/>
        <w:spacing w:after="480"/>
        <w:ind w:left="562" w:hanging="562"/>
        <w:rPr>
          <w:rFonts w:ascii="Times New Roman" w:hAnsi="Times New Roman" w:cs="Times New Roman"/>
          <w:sz w:val="28"/>
        </w:rPr>
      </w:pPr>
      <w:bookmarkStart w:id="6" w:name="_Toc234999675"/>
      <w:bookmarkStart w:id="7" w:name="_Toc235596857"/>
      <w:bookmarkStart w:id="8" w:name="_Toc234999674"/>
      <w:bookmarkStart w:id="9" w:name="_Toc235596856"/>
      <w:bookmarkStart w:id="10" w:name="_Toc234999673"/>
      <w:bookmarkStart w:id="11" w:name="_Toc235596855"/>
      <w:bookmarkStart w:id="12" w:name="_Toc234999672"/>
      <w:bookmarkStart w:id="13" w:name="_Toc235596854"/>
      <w:bookmarkStart w:id="14" w:name="_Toc234999670"/>
      <w:bookmarkStart w:id="15" w:name="_Toc235596852"/>
      <w:bookmarkStart w:id="16" w:name="_Toc384124253"/>
      <w:bookmarkStart w:id="17" w:name="_Toc394471504"/>
      <w:bookmarkStart w:id="18" w:name="_Toc394471855"/>
      <w:r w:rsidRPr="00A92914" w:rsidR="00C31584">
        <w:rPr>
          <w:rFonts w:ascii="Times New Roman" w:hAnsi="Times New Roman" w:cs="Times New Roman"/>
          <w:sz w:val="28"/>
        </w:rPr>
        <w:t>Riadenie a vývoj štátneho dlhu v rokoch 20</w:t>
      </w:r>
      <w:r w:rsidRPr="00A92914" w:rsidR="005862B4">
        <w:rPr>
          <w:rFonts w:ascii="Times New Roman" w:hAnsi="Times New Roman" w:cs="Times New Roman"/>
          <w:sz w:val="28"/>
        </w:rPr>
        <w:t>1</w:t>
      </w:r>
      <w:r w:rsidRPr="00A92914" w:rsidR="00AC6749">
        <w:rPr>
          <w:rFonts w:ascii="Times New Roman" w:hAnsi="Times New Roman" w:cs="Times New Roman"/>
          <w:sz w:val="28"/>
        </w:rPr>
        <w:t>1</w:t>
      </w:r>
      <w:r w:rsidRPr="00A92914" w:rsidR="00C31584">
        <w:rPr>
          <w:rFonts w:ascii="Times New Roman" w:hAnsi="Times New Roman" w:cs="Times New Roman"/>
          <w:sz w:val="28"/>
        </w:rPr>
        <w:t>-201</w:t>
      </w:r>
      <w:r w:rsidRPr="00A92914" w:rsidR="00AC6749">
        <w:rPr>
          <w:rFonts w:ascii="Times New Roman" w:hAnsi="Times New Roman" w:cs="Times New Roman"/>
          <w:sz w:val="28"/>
        </w:rPr>
        <w:t>4</w:t>
      </w:r>
      <w:bookmarkEnd w:id="16"/>
      <w:bookmarkEnd w:id="17"/>
      <w:bookmarkEnd w:id="18"/>
    </w:p>
    <w:p w:rsidR="00BA548B" w:rsidRPr="00A92914" w:rsidP="00FC4CF9">
      <w:pPr>
        <w:pStyle w:val="Heading1"/>
        <w:numPr>
          <w:ilvl w:val="1"/>
          <w:numId w:val="9"/>
        </w:numPr>
        <w:bidi w:val="0"/>
        <w:spacing w:before="360" w:after="240"/>
        <w:rPr>
          <w:rFonts w:ascii="Times New Roman" w:hAnsi="Times New Roman" w:cs="Times New Roman"/>
          <w:sz w:val="24"/>
          <w:szCs w:val="24"/>
        </w:rPr>
      </w:pPr>
      <w:bookmarkStart w:id="19" w:name="_Toc252455509"/>
      <w:bookmarkStart w:id="20" w:name="_Toc384124254"/>
      <w:bookmarkStart w:id="21" w:name="_Toc394471505"/>
      <w:bookmarkStart w:id="22" w:name="_Toc394471856"/>
      <w:bookmarkEnd w:id="19"/>
      <w:r w:rsidRPr="00A92914" w:rsidR="00C31584">
        <w:rPr>
          <w:rFonts w:ascii="Times New Roman" w:hAnsi="Times New Roman" w:cs="Times New Roman"/>
          <w:sz w:val="24"/>
          <w:szCs w:val="24"/>
        </w:rPr>
        <w:t xml:space="preserve">Zhodnotenie </w:t>
      </w:r>
      <w:r w:rsidRPr="00A92914" w:rsidR="00AC6749">
        <w:rPr>
          <w:rFonts w:ascii="Times New Roman" w:hAnsi="Times New Roman" w:cs="Times New Roman"/>
          <w:sz w:val="24"/>
          <w:szCs w:val="24"/>
        </w:rPr>
        <w:t xml:space="preserve">plnenia </w:t>
      </w:r>
      <w:r w:rsidRPr="00A92914" w:rsidR="00C31584">
        <w:rPr>
          <w:rFonts w:ascii="Times New Roman" w:hAnsi="Times New Roman" w:cs="Times New Roman"/>
          <w:sz w:val="24"/>
          <w:szCs w:val="24"/>
        </w:rPr>
        <w:t xml:space="preserve">Stratégie riadenia štátneho dlhu </w:t>
      </w:r>
      <w:r w:rsidRPr="00A92914" w:rsidR="00AC6749">
        <w:rPr>
          <w:rFonts w:ascii="Times New Roman" w:hAnsi="Times New Roman" w:cs="Times New Roman"/>
          <w:sz w:val="24"/>
          <w:szCs w:val="24"/>
        </w:rPr>
        <w:t xml:space="preserve">v </w:t>
      </w:r>
      <w:r w:rsidRPr="00A92914" w:rsidR="00C31584">
        <w:rPr>
          <w:rFonts w:ascii="Times New Roman" w:hAnsi="Times New Roman" w:cs="Times New Roman"/>
          <w:sz w:val="24"/>
          <w:szCs w:val="24"/>
        </w:rPr>
        <w:t>rok</w:t>
      </w:r>
      <w:r w:rsidRPr="00A92914" w:rsidR="00AC6749">
        <w:rPr>
          <w:rFonts w:ascii="Times New Roman" w:hAnsi="Times New Roman" w:cs="Times New Roman"/>
          <w:sz w:val="24"/>
          <w:szCs w:val="24"/>
        </w:rPr>
        <w:t>och</w:t>
      </w:r>
      <w:r w:rsidRPr="00A92914" w:rsidR="00C31584">
        <w:rPr>
          <w:rFonts w:ascii="Times New Roman" w:hAnsi="Times New Roman" w:cs="Times New Roman"/>
          <w:sz w:val="24"/>
          <w:szCs w:val="24"/>
        </w:rPr>
        <w:t xml:space="preserve"> 20</w:t>
      </w:r>
      <w:r w:rsidRPr="00A92914" w:rsidR="005862B4">
        <w:rPr>
          <w:rFonts w:ascii="Times New Roman" w:hAnsi="Times New Roman" w:cs="Times New Roman"/>
          <w:sz w:val="24"/>
          <w:szCs w:val="24"/>
        </w:rPr>
        <w:t>11</w:t>
      </w:r>
      <w:r w:rsidRPr="00A92914" w:rsidR="00C31584">
        <w:rPr>
          <w:rFonts w:ascii="Times New Roman" w:hAnsi="Times New Roman" w:cs="Times New Roman"/>
          <w:sz w:val="24"/>
          <w:szCs w:val="24"/>
        </w:rPr>
        <w:t xml:space="preserve"> až 201</w:t>
      </w:r>
      <w:r w:rsidRPr="00A92914" w:rsidR="005862B4">
        <w:rPr>
          <w:rFonts w:ascii="Times New Roman" w:hAnsi="Times New Roman" w:cs="Times New Roman"/>
          <w:sz w:val="24"/>
          <w:szCs w:val="24"/>
        </w:rPr>
        <w:t>4</w:t>
      </w:r>
      <w:bookmarkEnd w:id="20"/>
      <w:bookmarkEnd w:id="21"/>
      <w:bookmarkEnd w:id="22"/>
    </w:p>
    <w:p w:rsidR="006C7754" w:rsidRPr="00A92914" w:rsidP="00A92914">
      <w:pPr>
        <w:bidi w:val="0"/>
        <w:spacing w:after="120"/>
        <w:ind w:firstLine="708"/>
        <w:jc w:val="both"/>
        <w:rPr>
          <w:rFonts w:ascii="Times New Roman" w:hAnsi="Times New Roman"/>
          <w:bCs/>
          <w:i/>
          <w:iCs/>
          <w:szCs w:val="22"/>
        </w:rPr>
      </w:pPr>
      <w:r w:rsidRPr="00A92914" w:rsidR="00AC6749">
        <w:rPr>
          <w:rFonts w:ascii="Times New Roman" w:hAnsi="Times New Roman"/>
          <w:szCs w:val="22"/>
        </w:rPr>
        <w:t>Ciele riadenia štátneho dlhu v rokoch 2011 až 2014 sa oproti pred</w:t>
      </w:r>
      <w:r w:rsidRPr="00A92914" w:rsidR="00467376">
        <w:rPr>
          <w:rFonts w:ascii="Times New Roman" w:hAnsi="Times New Roman"/>
          <w:szCs w:val="22"/>
        </w:rPr>
        <w:t xml:space="preserve">chádzajúcej </w:t>
      </w:r>
      <w:r w:rsidRPr="00A92914" w:rsidR="00AC6749">
        <w:rPr>
          <w:rFonts w:ascii="Times New Roman" w:hAnsi="Times New Roman"/>
          <w:szCs w:val="22"/>
        </w:rPr>
        <w:t xml:space="preserve">Stratégii riadenia štátneho dlhu </w:t>
      </w:r>
      <w:r w:rsidRPr="00A92914" w:rsidR="00152C82">
        <w:rPr>
          <w:rFonts w:ascii="Times New Roman" w:hAnsi="Times New Roman"/>
          <w:szCs w:val="22"/>
        </w:rPr>
        <w:t>významne</w:t>
      </w:r>
      <w:r w:rsidRPr="00A92914" w:rsidR="00467376">
        <w:rPr>
          <w:rFonts w:ascii="Times New Roman" w:hAnsi="Times New Roman"/>
          <w:szCs w:val="22"/>
        </w:rPr>
        <w:t xml:space="preserve"> nezmenili a</w:t>
      </w:r>
      <w:r w:rsidRPr="00A92914" w:rsidR="00E91EAC">
        <w:rPr>
          <w:rFonts w:ascii="Times New Roman" w:hAnsi="Times New Roman"/>
          <w:szCs w:val="22"/>
        </w:rPr>
        <w:t xml:space="preserve"> aktuálna stratégia </w:t>
      </w:r>
      <w:r w:rsidRPr="00A92914" w:rsidR="00467376">
        <w:rPr>
          <w:rFonts w:ascii="Times New Roman" w:hAnsi="Times New Roman"/>
          <w:szCs w:val="22"/>
        </w:rPr>
        <w:t>kontinuálne nadviazala na predchádzajúce stratégie. Zachované zostali primárne ciele, ktorými sú zabezpečenie likvidity a prístupu na trh pre financovanie potrieb štátu transparentným, obozretným a nákladovo úsporným spôsobom a súčasne udržanie rizík obsiahnutých v dlhu na akceptovateľnej úrovni</w:t>
      </w:r>
      <w:r w:rsidRPr="00A92914">
        <w:rPr>
          <w:rFonts w:ascii="Times New Roman" w:hAnsi="Times New Roman"/>
          <w:szCs w:val="22"/>
        </w:rPr>
        <w:t xml:space="preserve">. </w:t>
      </w:r>
    </w:p>
    <w:p w:rsidR="004B7C2E" w:rsidRPr="00A92914" w:rsidP="00A92914">
      <w:pPr>
        <w:bidi w:val="0"/>
        <w:spacing w:before="360" w:after="240"/>
        <w:ind w:firstLine="708"/>
        <w:rPr>
          <w:rFonts w:ascii="Times New Roman" w:hAnsi="Times New Roman"/>
          <w:szCs w:val="22"/>
        </w:rPr>
      </w:pPr>
      <w:bookmarkStart w:id="23" w:name="_Toc384124256"/>
      <w:bookmarkStart w:id="24" w:name="_Toc394471508"/>
      <w:bookmarkStart w:id="25" w:name="_Toc394471858"/>
      <w:bookmarkEnd w:id="6"/>
      <w:bookmarkEnd w:id="7"/>
      <w:bookmarkEnd w:id="8"/>
      <w:bookmarkEnd w:id="9"/>
      <w:bookmarkEnd w:id="10"/>
      <w:bookmarkEnd w:id="11"/>
      <w:bookmarkEnd w:id="12"/>
      <w:bookmarkEnd w:id="13"/>
      <w:bookmarkEnd w:id="14"/>
      <w:bookmarkEnd w:id="15"/>
      <w:r w:rsidRPr="00A92914">
        <w:rPr>
          <w:rFonts w:ascii="Times New Roman" w:hAnsi="Times New Roman"/>
          <w:szCs w:val="22"/>
        </w:rPr>
        <w:t>Plnenie parciálnych cieľov:</w:t>
      </w:r>
    </w:p>
    <w:p w:rsidR="004B7C2E" w:rsidRPr="00A92914" w:rsidP="004B7C2E">
      <w:pPr>
        <w:bidi w:val="0"/>
        <w:spacing w:before="240" w:after="120"/>
        <w:rPr>
          <w:rFonts w:ascii="Times New Roman" w:hAnsi="Times New Roman"/>
          <w:szCs w:val="22"/>
          <w:u w:val="single"/>
        </w:rPr>
      </w:pPr>
      <w:r w:rsidRPr="00A92914">
        <w:rPr>
          <w:rFonts w:ascii="Times New Roman" w:hAnsi="Times New Roman"/>
          <w:szCs w:val="22"/>
          <w:u w:val="single"/>
        </w:rPr>
        <w:t>1 - Štandardizovanie vlastností nových emisií cenných papierov</w:t>
      </w:r>
    </w:p>
    <w:p w:rsidR="004B7C2E" w:rsidRPr="00A92914" w:rsidP="00A92914">
      <w:pPr>
        <w:bidi w:val="0"/>
        <w:spacing w:after="120"/>
        <w:ind w:firstLine="708"/>
        <w:jc w:val="both"/>
        <w:rPr>
          <w:rFonts w:ascii="Times New Roman" w:hAnsi="Times New Roman"/>
          <w:szCs w:val="22"/>
        </w:rPr>
      </w:pPr>
      <w:r w:rsidRPr="00A92914">
        <w:rPr>
          <w:rFonts w:ascii="Times New Roman" w:hAnsi="Times New Roman"/>
          <w:szCs w:val="22"/>
        </w:rPr>
        <w:t>V rokoch 2011 až 2014 bolo na domácom trhu otvorených 11 nových línií dlhopisov, z toho 8 bolo uskutočnených pomocou syndikátu bánk.</w:t>
      </w:r>
      <w:r w:rsidRPr="00A92914">
        <w:rPr>
          <w:rFonts w:ascii="Times New Roman" w:hAnsi="Times New Roman"/>
          <w:color w:val="FF0000"/>
          <w:szCs w:val="22"/>
        </w:rPr>
        <w:t xml:space="preserve"> </w:t>
      </w:r>
      <w:r w:rsidRPr="00A92914">
        <w:rPr>
          <w:rFonts w:ascii="Times New Roman" w:hAnsi="Times New Roman"/>
          <w:szCs w:val="22"/>
        </w:rPr>
        <w:t>V uvedenom období bolo splatených 17 emisií, z toho jedna emisia registrovaná v zahraničí. K 30.</w:t>
      </w:r>
      <w:r w:rsidR="00331CB4">
        <w:rPr>
          <w:rFonts w:ascii="Times New Roman" w:hAnsi="Times New Roman"/>
          <w:szCs w:val="22"/>
        </w:rPr>
        <w:t xml:space="preserve"> septembru </w:t>
      </w:r>
      <w:r w:rsidRPr="00A92914">
        <w:rPr>
          <w:rFonts w:ascii="Times New Roman" w:hAnsi="Times New Roman"/>
          <w:szCs w:val="22"/>
        </w:rPr>
        <w:t xml:space="preserve">2014 malo </w:t>
      </w:r>
      <w:r w:rsidR="00331CB4">
        <w:rPr>
          <w:rFonts w:ascii="Times New Roman" w:hAnsi="Times New Roman"/>
          <w:szCs w:val="22"/>
        </w:rPr>
        <w:t>Ministerstvo financií</w:t>
      </w:r>
      <w:r w:rsidRPr="00A92914">
        <w:rPr>
          <w:rFonts w:ascii="Times New Roman" w:hAnsi="Times New Roman"/>
          <w:szCs w:val="22"/>
        </w:rPr>
        <w:t xml:space="preserve"> SR „živých“ celkovo 31 emisií (z toho 14 emisií registrovaných v zahraničí). Novootvorené domáce benchmarkové emisie majú obmedzenú maximálnu menovitú hodnotu na štandardných 3,0 mld. eur, nové ostatné emisie majú obvykle maximálnu menovitú hodnotu 1,5 mld. eur. V rokoch 2013 a 2014 boli vydané dlhopisy s dobou do splatnosti 20 rokov (jedna emisia ako „private placement“). Od roku 2012 ARDAL vo väčšom rozsahu realizuje spätné nákupy štátnych cenných papierov. Spätné nákupy dlhopisov uľahčujú nárazové splácanie veľkých emisií a mierne znižujú náklady na správu hotovostnej rezervy.</w:t>
      </w:r>
    </w:p>
    <w:p w:rsidR="004B7C2E" w:rsidP="00A92914">
      <w:pPr>
        <w:bidi w:val="0"/>
        <w:ind w:firstLine="708"/>
        <w:jc w:val="both"/>
        <w:rPr>
          <w:rFonts w:ascii="Times New Roman" w:hAnsi="Times New Roman"/>
          <w:szCs w:val="22"/>
        </w:rPr>
      </w:pPr>
      <w:r w:rsidRPr="00A92914">
        <w:rPr>
          <w:rFonts w:ascii="Times New Roman" w:hAnsi="Times New Roman"/>
          <w:szCs w:val="22"/>
        </w:rPr>
        <w:t>Všetky verejne obchodovateľné emitované štátne cenné papiere (denominované v eur) spĺňajú podmienku akceptovateľnosti aktív ECB, takže môžu byť použité v priamych operáciách ECB/NBS alebo ako zábezpeka pri operáciách súvisiacich s výkonom menovej politiky.</w:t>
      </w:r>
    </w:p>
    <w:p w:rsidR="00A92914" w:rsidP="00A92914">
      <w:pPr>
        <w:bidi w:val="0"/>
        <w:ind w:firstLine="708"/>
        <w:jc w:val="both"/>
        <w:rPr>
          <w:rFonts w:ascii="Times New Roman" w:hAnsi="Times New Roman"/>
          <w:szCs w:val="22"/>
        </w:rPr>
      </w:pPr>
    </w:p>
    <w:p w:rsidR="00A92914" w:rsidP="00A92914">
      <w:pPr>
        <w:bidi w:val="0"/>
        <w:ind w:firstLine="708"/>
        <w:jc w:val="both"/>
        <w:rPr>
          <w:rFonts w:ascii="Times New Roman" w:hAnsi="Times New Roman"/>
          <w:szCs w:val="22"/>
        </w:rPr>
      </w:pPr>
    </w:p>
    <w:p w:rsidR="00A92914" w:rsidP="00A92914">
      <w:pPr>
        <w:bidi w:val="0"/>
        <w:ind w:firstLine="708"/>
        <w:jc w:val="both"/>
        <w:rPr>
          <w:rFonts w:ascii="Times New Roman" w:hAnsi="Times New Roman"/>
          <w:szCs w:val="22"/>
        </w:rPr>
      </w:pPr>
    </w:p>
    <w:p w:rsidR="00A92914" w:rsidP="00A92914">
      <w:pPr>
        <w:bidi w:val="0"/>
        <w:ind w:firstLine="708"/>
        <w:jc w:val="both"/>
        <w:rPr>
          <w:rFonts w:ascii="Times New Roman" w:hAnsi="Times New Roman"/>
          <w:szCs w:val="22"/>
        </w:rPr>
      </w:pPr>
    </w:p>
    <w:p w:rsidR="00A92914" w:rsidP="00A92914">
      <w:pPr>
        <w:bidi w:val="0"/>
        <w:ind w:firstLine="708"/>
        <w:jc w:val="both"/>
        <w:rPr>
          <w:rFonts w:ascii="Times New Roman" w:hAnsi="Times New Roman"/>
          <w:szCs w:val="22"/>
        </w:rPr>
      </w:pPr>
    </w:p>
    <w:p w:rsidR="00F50680" w:rsidP="00A92914">
      <w:pPr>
        <w:bidi w:val="0"/>
        <w:ind w:firstLine="708"/>
        <w:jc w:val="both"/>
        <w:rPr>
          <w:rFonts w:ascii="Times New Roman" w:hAnsi="Times New Roman"/>
          <w:szCs w:val="22"/>
        </w:rPr>
      </w:pPr>
    </w:p>
    <w:p w:rsidR="00F50680" w:rsidP="00A92914">
      <w:pPr>
        <w:bidi w:val="0"/>
        <w:ind w:firstLine="708"/>
        <w:jc w:val="both"/>
        <w:rPr>
          <w:rFonts w:ascii="Times New Roman" w:hAnsi="Times New Roman"/>
          <w:szCs w:val="22"/>
        </w:rPr>
      </w:pPr>
    </w:p>
    <w:p w:rsidR="00F50680" w:rsidP="00A92914">
      <w:pPr>
        <w:bidi w:val="0"/>
        <w:ind w:firstLine="708"/>
        <w:jc w:val="both"/>
        <w:rPr>
          <w:rFonts w:ascii="Times New Roman" w:hAnsi="Times New Roman"/>
          <w:szCs w:val="22"/>
        </w:rPr>
      </w:pPr>
    </w:p>
    <w:p w:rsidR="00F50680" w:rsidP="00A92914">
      <w:pPr>
        <w:bidi w:val="0"/>
        <w:ind w:firstLine="708"/>
        <w:jc w:val="both"/>
        <w:rPr>
          <w:rFonts w:ascii="Times New Roman" w:hAnsi="Times New Roman"/>
          <w:szCs w:val="22"/>
        </w:rPr>
      </w:pPr>
    </w:p>
    <w:p w:rsidR="00F50680" w:rsidP="00A92914">
      <w:pPr>
        <w:bidi w:val="0"/>
        <w:ind w:firstLine="708"/>
        <w:jc w:val="both"/>
        <w:rPr>
          <w:rFonts w:ascii="Times New Roman" w:hAnsi="Times New Roman"/>
          <w:szCs w:val="22"/>
        </w:rPr>
      </w:pPr>
    </w:p>
    <w:p w:rsidR="00A92914" w:rsidP="00A92914">
      <w:pPr>
        <w:bidi w:val="0"/>
        <w:ind w:firstLine="708"/>
        <w:jc w:val="both"/>
        <w:rPr>
          <w:rFonts w:ascii="Times New Roman" w:hAnsi="Times New Roman"/>
          <w:szCs w:val="22"/>
        </w:rPr>
      </w:pPr>
    </w:p>
    <w:p w:rsidR="00A92914" w:rsidRPr="00A92914" w:rsidP="00A92914">
      <w:pPr>
        <w:bidi w:val="0"/>
        <w:ind w:firstLine="708"/>
        <w:jc w:val="both"/>
        <w:rPr>
          <w:rFonts w:ascii="Times New Roman" w:hAnsi="Times New Roman"/>
          <w:szCs w:val="22"/>
        </w:rPr>
      </w:pPr>
    </w:p>
    <w:p w:rsidR="004B7C2E" w:rsidRPr="00A92914" w:rsidP="004B7C2E">
      <w:pPr>
        <w:bidi w:val="0"/>
        <w:spacing w:before="240" w:after="120"/>
        <w:jc w:val="center"/>
        <w:rPr>
          <w:rFonts w:ascii="Times New Roman" w:hAnsi="Times New Roman"/>
          <w:b/>
          <w:szCs w:val="22"/>
        </w:rPr>
      </w:pPr>
      <w:r w:rsidRPr="00A92914">
        <w:rPr>
          <w:rFonts w:ascii="Times New Roman" w:hAnsi="Times New Roman"/>
          <w:b/>
          <w:sz w:val="22"/>
          <w:szCs w:val="22"/>
        </w:rPr>
        <w:t>Dopyt a akceptovaný dopyt v domácich aukciách ŠD (mld. eur) a úroková sadzba z aukcií (% p. a.)</w:t>
      </w:r>
    </w:p>
    <w:p w:rsidR="004B7C2E" w:rsidRPr="00A92914" w:rsidP="004B7C2E">
      <w:pPr>
        <w:bidi w:val="0"/>
        <w:jc w:val="both"/>
        <w:rPr>
          <w:rFonts w:ascii="Times New Roman" w:hAnsi="Times New Roman"/>
          <w:sz w:val="22"/>
          <w:szCs w:val="22"/>
        </w:rPr>
      </w:pPr>
      <w:r>
        <w:rPr>
          <w:rFonts w:ascii="Times New Roman" w:hAnsi="Times New Roman"/>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465.55pt;height:247.3pt;visibility:visible" stroked="f">
            <v:imagedata r:id="rId6" o:title="" croptop="-133f" cropbottom="-933f" cropleft="-609f" cropright="-453f"/>
            <o:lock v:ext="edit" aspectratio="f"/>
          </v:shape>
        </w:pict>
      </w:r>
    </w:p>
    <w:p w:rsidR="004B7C2E" w:rsidRPr="00A92914" w:rsidP="004B7C2E">
      <w:pPr>
        <w:bidi w:val="0"/>
        <w:spacing w:after="120"/>
        <w:jc w:val="both"/>
        <w:rPr>
          <w:rFonts w:ascii="Times New Roman" w:hAnsi="Times New Roman"/>
          <w:i/>
          <w:sz w:val="16"/>
          <w:szCs w:val="16"/>
        </w:rPr>
      </w:pPr>
      <w:r w:rsidRPr="00A92914">
        <w:rPr>
          <w:rFonts w:ascii="Times New Roman" w:hAnsi="Times New Roman"/>
          <w:i/>
          <w:sz w:val="16"/>
          <w:szCs w:val="16"/>
        </w:rPr>
        <w:t>Pozn. v roku 2014 údaje do 30.0</w:t>
      </w:r>
      <w:r w:rsidRPr="00A92914" w:rsidR="00151324">
        <w:rPr>
          <w:rFonts w:ascii="Times New Roman" w:hAnsi="Times New Roman"/>
          <w:i/>
          <w:sz w:val="16"/>
          <w:szCs w:val="16"/>
        </w:rPr>
        <w:t>9</w:t>
      </w:r>
      <w:r w:rsidRPr="00A92914">
        <w:rPr>
          <w:rFonts w:ascii="Times New Roman" w:hAnsi="Times New Roman"/>
          <w:i/>
          <w:sz w:val="16"/>
          <w:szCs w:val="16"/>
        </w:rPr>
        <w:tab/>
        <w:tab/>
        <w:tab/>
        <w:tab/>
        <w:tab/>
        <w:tab/>
        <w:tab/>
        <w:tab/>
        <w:t>Zdroj: ARDAL</w:t>
      </w:r>
    </w:p>
    <w:p w:rsidR="004B7C2E" w:rsidRPr="00A92914" w:rsidP="004B7C2E">
      <w:pPr>
        <w:bidi w:val="0"/>
        <w:spacing w:before="240" w:after="120"/>
        <w:rPr>
          <w:rFonts w:ascii="Times New Roman" w:hAnsi="Times New Roman"/>
          <w:sz w:val="22"/>
          <w:szCs w:val="22"/>
          <w:u w:val="single"/>
        </w:rPr>
      </w:pPr>
    </w:p>
    <w:p w:rsidR="004B7C2E" w:rsidRPr="00A92914" w:rsidP="004B7C2E">
      <w:pPr>
        <w:bidi w:val="0"/>
        <w:spacing w:before="240" w:after="120"/>
        <w:rPr>
          <w:rFonts w:ascii="Times New Roman" w:hAnsi="Times New Roman"/>
          <w:szCs w:val="22"/>
          <w:u w:val="single"/>
        </w:rPr>
      </w:pPr>
      <w:r w:rsidRPr="00A92914">
        <w:rPr>
          <w:rFonts w:ascii="Times New Roman" w:hAnsi="Times New Roman"/>
          <w:szCs w:val="22"/>
          <w:u w:val="single"/>
        </w:rPr>
        <w:t>2 - Optimalizovanie štruktúry neobchodovateľného dlhu</w:t>
      </w:r>
    </w:p>
    <w:p w:rsidR="004B7C2E" w:rsidRPr="00A92914" w:rsidP="00A92914">
      <w:pPr>
        <w:bidi w:val="0"/>
        <w:spacing w:before="240" w:after="120"/>
        <w:ind w:firstLine="708"/>
        <w:jc w:val="both"/>
        <w:rPr>
          <w:rFonts w:ascii="Times New Roman" w:hAnsi="Times New Roman"/>
          <w:szCs w:val="22"/>
        </w:rPr>
      </w:pPr>
      <w:r w:rsidRPr="00A92914">
        <w:rPr>
          <w:rFonts w:ascii="Times New Roman" w:hAnsi="Times New Roman"/>
          <w:szCs w:val="22"/>
        </w:rPr>
        <w:t>V rokoch 2011 až 2012 bola ukončená intenzívna fáza optimalizácie štruktúry neobchodovateľného dlhu. Všetky úvery, pri ktorých bolo možné predčasné splatenie za finančne priaznivých alebo neutrálnych podmienok, boli predčasne splatené a neobchodovateľný dlh bol nahradený obchodovateľným dlhom (dlhopismi). Nové úvery (okrem realizovaných záruk) boli schvaľované len v prípade ich ekonomickej výhodnosti a „pridanej hodnoty“ vo forme auditu oprávnenosti výdavkov na schválený projekt.</w:t>
      </w:r>
    </w:p>
    <w:p w:rsidR="004B7C2E" w:rsidRPr="00A92914" w:rsidP="004B7C2E">
      <w:pPr>
        <w:bidi w:val="0"/>
        <w:spacing w:before="240" w:after="120"/>
        <w:rPr>
          <w:rFonts w:ascii="Times New Roman" w:hAnsi="Times New Roman"/>
          <w:szCs w:val="22"/>
          <w:u w:val="single"/>
        </w:rPr>
      </w:pPr>
      <w:r w:rsidRPr="00A92914">
        <w:rPr>
          <w:rFonts w:ascii="Times New Roman" w:hAnsi="Times New Roman"/>
          <w:szCs w:val="22"/>
          <w:u w:val="single"/>
        </w:rPr>
        <w:t>3 - Dodržiavanie parametrov refinančného, úrokového a cudzomenového rizika štátneho dlhu</w:t>
      </w:r>
    </w:p>
    <w:p w:rsidR="004B7C2E" w:rsidRPr="00A92914" w:rsidP="00A92914">
      <w:pPr>
        <w:bidi w:val="0"/>
        <w:spacing w:before="240" w:after="120"/>
        <w:ind w:firstLine="708"/>
        <w:jc w:val="both"/>
        <w:rPr>
          <w:rFonts w:ascii="Times New Roman" w:hAnsi="Times New Roman"/>
          <w:szCs w:val="22"/>
        </w:rPr>
      </w:pPr>
      <w:r w:rsidRPr="00A92914">
        <w:rPr>
          <w:rFonts w:ascii="Times New Roman" w:hAnsi="Times New Roman"/>
          <w:szCs w:val="22"/>
        </w:rPr>
        <w:t>Pre obdobie 2011 až 2014 boli pre sledovanie refinančného a úrokového rizika</w:t>
      </w:r>
      <w:r w:rsidRPr="00A92914">
        <w:rPr>
          <w:rFonts w:ascii="Times New Roman" w:hAnsi="Times New Roman"/>
          <w:color w:val="FF0000"/>
          <w:szCs w:val="22"/>
        </w:rPr>
        <w:t xml:space="preserve"> </w:t>
      </w:r>
      <w:r w:rsidRPr="00A92914">
        <w:rPr>
          <w:rFonts w:ascii="Times New Roman" w:hAnsi="Times New Roman"/>
          <w:szCs w:val="22"/>
        </w:rPr>
        <w:t xml:space="preserve">stanovené optimálne hodnoty parametrov, v blízkosti ktorých je potrebné udržiavať stav portfólia. Hodnotu splatných aj preceňovaných finančných záväzkov štátu v prvom roku udržiavať blízko úrovne 25 % celkových finančných záväzkov a hodnotu splatných aj preceňovaných finančných záväzkov štátu kumulatívne za päť rokov udržiavať blízko úrovne 65 % celkových finančných záväzkov. </w:t>
      </w:r>
    </w:p>
    <w:p w:rsidR="004B7C2E" w:rsidP="004B7C2E">
      <w:pPr>
        <w:bidi w:val="0"/>
        <w:spacing w:before="240" w:after="120"/>
        <w:jc w:val="both"/>
        <w:rPr>
          <w:rFonts w:ascii="Times New Roman" w:hAnsi="Times New Roman"/>
          <w:sz w:val="22"/>
          <w:szCs w:val="22"/>
        </w:rPr>
      </w:pPr>
    </w:p>
    <w:p w:rsidR="00A92914" w:rsidP="004B7C2E">
      <w:pPr>
        <w:bidi w:val="0"/>
        <w:spacing w:before="240" w:after="120"/>
        <w:jc w:val="both"/>
        <w:rPr>
          <w:rFonts w:ascii="Times New Roman" w:hAnsi="Times New Roman"/>
          <w:sz w:val="22"/>
          <w:szCs w:val="22"/>
        </w:rPr>
      </w:pPr>
    </w:p>
    <w:p w:rsidR="00A92914" w:rsidP="004B7C2E">
      <w:pPr>
        <w:bidi w:val="0"/>
        <w:spacing w:before="240" w:after="120"/>
        <w:jc w:val="both"/>
        <w:rPr>
          <w:rFonts w:ascii="Times New Roman" w:hAnsi="Times New Roman"/>
          <w:sz w:val="22"/>
          <w:szCs w:val="22"/>
        </w:rPr>
      </w:pPr>
    </w:p>
    <w:p w:rsidR="00A92914" w:rsidP="004B7C2E">
      <w:pPr>
        <w:bidi w:val="0"/>
        <w:spacing w:before="240" w:after="120"/>
        <w:jc w:val="both"/>
        <w:rPr>
          <w:rFonts w:ascii="Times New Roman" w:hAnsi="Times New Roman"/>
          <w:sz w:val="22"/>
          <w:szCs w:val="22"/>
        </w:rPr>
      </w:pPr>
    </w:p>
    <w:p w:rsidR="00A92914" w:rsidP="004B7C2E">
      <w:pPr>
        <w:bidi w:val="0"/>
        <w:spacing w:before="240" w:after="120"/>
        <w:jc w:val="both"/>
        <w:rPr>
          <w:rFonts w:ascii="Times New Roman" w:hAnsi="Times New Roman"/>
          <w:sz w:val="22"/>
          <w:szCs w:val="22"/>
        </w:rPr>
      </w:pPr>
    </w:p>
    <w:p w:rsidR="00A92914" w:rsidP="004B7C2E">
      <w:pPr>
        <w:bidi w:val="0"/>
        <w:spacing w:before="240" w:after="120"/>
        <w:jc w:val="both"/>
        <w:rPr>
          <w:rFonts w:ascii="Times New Roman" w:hAnsi="Times New Roman"/>
          <w:sz w:val="22"/>
          <w:szCs w:val="22"/>
        </w:rPr>
      </w:pPr>
    </w:p>
    <w:tbl>
      <w:tblPr>
        <w:tblStyle w:val="TableNormal"/>
        <w:tblW w:w="8115"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2"/>
        <w:gridCol w:w="960"/>
        <w:gridCol w:w="909"/>
        <w:gridCol w:w="1330"/>
        <w:gridCol w:w="1330"/>
        <w:gridCol w:w="1287"/>
        <w:gridCol w:w="1287"/>
      </w:tblGrid>
      <w:tr>
        <w:tblPrEx>
          <w:tblW w:w="8115"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0"/>
          <w:jc w:val="center"/>
        </w:trPr>
        <w:tc>
          <w:tcPr>
            <w:tcW w:w="8115" w:type="dxa"/>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Ukazovatele refinančného rizika a rizika z precenia</w:t>
            </w:r>
          </w:p>
        </w:tc>
      </w:tr>
      <w:tr>
        <w:tblPrEx>
          <w:tblW w:w="8115" w:type="dxa"/>
          <w:jc w:val="center"/>
          <w:tblInd w:w="-520" w:type="dxa"/>
          <w:tblCellMar>
            <w:left w:w="70" w:type="dxa"/>
            <w:right w:w="70" w:type="dxa"/>
          </w:tblCellMar>
          <w:tblLook w:val="04A0"/>
        </w:tblPrEx>
        <w:trPr>
          <w:trHeight w:val="575"/>
          <w:jc w:val="center"/>
        </w:trPr>
        <w:tc>
          <w:tcPr>
            <w:tcW w:w="101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Priemerná splatnosť*</w:t>
            </w:r>
          </w:p>
          <w:p w:rsidR="004B7C2E" w:rsidRPr="00A92914" w:rsidP="00013FD3">
            <w:pPr>
              <w:bidi w:val="0"/>
              <w:jc w:val="center"/>
              <w:rPr>
                <w:rFonts w:ascii="Times New Roman" w:hAnsi="Times New Roman"/>
                <w:b/>
                <w:bCs/>
                <w:sz w:val="16"/>
                <w:szCs w:val="16"/>
                <w:lang w:val="en-US"/>
              </w:rPr>
            </w:pPr>
            <w:r w:rsidRPr="00A92914">
              <w:rPr>
                <w:rFonts w:ascii="Times New Roman" w:hAnsi="Times New Roman"/>
                <w:b/>
                <w:bCs/>
                <w:sz w:val="16"/>
                <w:szCs w:val="16"/>
                <w:lang w:val="en-US"/>
              </w:rPr>
              <w:t>[rok]</w:t>
            </w:r>
          </w:p>
        </w:tc>
        <w:tc>
          <w:tcPr>
            <w:tcW w:w="909"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Durácia*</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lang w:val="en-US"/>
              </w:rPr>
              <w:t>[rok]</w:t>
            </w:r>
          </w:p>
        </w:tc>
        <w:tc>
          <w:tcPr>
            <w:tcW w:w="133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Refinancovanie</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v 1 roku**</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(opt. 25 %)</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w:t>
            </w:r>
          </w:p>
        </w:tc>
        <w:tc>
          <w:tcPr>
            <w:tcW w:w="133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Refinancovanie</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v 5 rokoch**</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(opt. 60 %)</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w:t>
            </w:r>
          </w:p>
        </w:tc>
        <w:tc>
          <w:tcPr>
            <w:tcW w:w="128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Zmena úroku</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v 1 roku**</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(opt. 25 %)</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w:t>
            </w:r>
          </w:p>
        </w:tc>
        <w:tc>
          <w:tcPr>
            <w:tcW w:w="1287"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Zmena úroku</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v 5 rokoch**</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(opt. 65 %)</w:t>
            </w:r>
          </w:p>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1Q 2010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4,86</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3,99</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29,7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74,5</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37,8</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75,1</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2Q 2010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5,23</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4,38</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25,4</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67,2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33,1</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67,8</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3Q 2010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5,06</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4,32</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25,9</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66,6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32,8</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66,7</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4Q 2010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5,63</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4,62</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18,0</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58,2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25,4</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58,3</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1Q 2011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5,67</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4,65</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16,1</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61,4</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25,3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61,5</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2Q 2011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5,75</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4,77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16,5</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26,8</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59,3</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3Q 2011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5,39</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4,51</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16,5</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59,5</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27,3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59,6</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4Q 2011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5,15</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4,33</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17,3</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27,7</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59,6</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1Q 2012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4,95</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4,19</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18,1</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61,1</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29,9</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61,1</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2Q 2012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5,20</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4,47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10,9</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62,4</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23,5</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62,5</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3Q 2012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5,39</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4,67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9,7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60,2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22,2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60,2</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4Q 2012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5,60</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4,87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13,3</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20,3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59,3</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1Q 2013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6,42</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5,54</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7,7</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50,6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15,6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50,7</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2Q 2013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6,37</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5,45</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13,1</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47,6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21,2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47,6</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3Q 2013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6,31</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5,36</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9,8</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45,6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19,3</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46,8</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4Q 2013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6,45</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5,44</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9,6</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47,7</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16,6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47,7</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1Q 2014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6,93</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5,94</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11,8</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42,2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17,2</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42,2</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2Q 2014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7,10</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6,19</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11,1</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45,1</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16,8</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45,1</w:t>
            </w:r>
          </w:p>
        </w:tc>
      </w:tr>
      <w:tr>
        <w:tblPrEx>
          <w:tblW w:w="8115" w:type="dxa"/>
          <w:jc w:val="center"/>
          <w:tblInd w:w="-520" w:type="dxa"/>
          <w:tblCellMar>
            <w:left w:w="70" w:type="dxa"/>
            <w:right w:w="70" w:type="dxa"/>
          </w:tblCellMar>
          <w:tblLook w:val="04A0"/>
        </w:tblPrEx>
        <w:trPr>
          <w:trHeight w:val="255"/>
          <w:jc w:val="center"/>
        </w:trPr>
        <w:tc>
          <w:tcPr>
            <w:tcW w:w="101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jc w:val="center"/>
              <w:rPr>
                <w:rFonts w:ascii="Times New Roman" w:hAnsi="Times New Roman"/>
                <w:sz w:val="16"/>
                <w:szCs w:val="16"/>
              </w:rPr>
            </w:pPr>
            <w:r w:rsidRPr="00A92914">
              <w:rPr>
                <w:rFonts w:ascii="Times New Roman" w:hAnsi="Times New Roman"/>
                <w:sz w:val="16"/>
                <w:szCs w:val="16"/>
              </w:rPr>
              <w:t>3Q 2014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6,86</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6,06</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11,6</w:t>
            </w:r>
          </w:p>
        </w:tc>
        <w:tc>
          <w:tcPr>
            <w:tcW w:w="1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44,6</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15,9</w:t>
            </w:r>
          </w:p>
        </w:tc>
        <w:tc>
          <w:tcPr>
            <w:tcW w:w="128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4B7C2E" w:rsidRPr="00A92914" w:rsidP="00013FD3">
            <w:pPr>
              <w:bidi w:val="0"/>
              <w:ind w:right="113"/>
              <w:jc w:val="right"/>
              <w:rPr>
                <w:rFonts w:ascii="Times New Roman" w:hAnsi="Times New Roman"/>
                <w:sz w:val="16"/>
                <w:szCs w:val="16"/>
              </w:rPr>
            </w:pPr>
            <w:r w:rsidRPr="00A92914">
              <w:rPr>
                <w:rFonts w:ascii="Times New Roman" w:hAnsi="Times New Roman"/>
                <w:sz w:val="16"/>
                <w:szCs w:val="16"/>
              </w:rPr>
              <w:t>44,6</w:t>
            </w:r>
          </w:p>
        </w:tc>
      </w:tr>
      <w:tr>
        <w:tblPrEx>
          <w:tblW w:w="8115" w:type="dxa"/>
          <w:jc w:val="center"/>
          <w:tblInd w:w="-520" w:type="dxa"/>
          <w:tblCellMar>
            <w:left w:w="70" w:type="dxa"/>
            <w:right w:w="70" w:type="dxa"/>
          </w:tblCellMar>
          <w:tblLook w:val="04A0"/>
        </w:tblPrEx>
        <w:trPr>
          <w:trHeight w:val="255"/>
          <w:jc w:val="center"/>
        </w:trPr>
        <w:tc>
          <w:tcPr>
            <w:tcW w:w="6828" w:type="dxa"/>
            <w:gridSpan w:val="6"/>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i/>
                <w:iCs/>
                <w:sz w:val="16"/>
                <w:szCs w:val="16"/>
              </w:rPr>
            </w:pPr>
            <w:r w:rsidRPr="00A92914">
              <w:rPr>
                <w:rFonts w:ascii="Times New Roman" w:hAnsi="Times New Roman"/>
                <w:i/>
                <w:iCs/>
                <w:sz w:val="16"/>
                <w:szCs w:val="16"/>
              </w:rPr>
              <w:t>* Portfólio (Štátne dlhopisy, Štátne pokladničné poukážky, úvery)</w:t>
            </w:r>
          </w:p>
          <w:p w:rsidR="004B7C2E" w:rsidRPr="00A92914" w:rsidP="00013FD3">
            <w:pPr>
              <w:bidi w:val="0"/>
              <w:rPr>
                <w:rFonts w:ascii="Times New Roman" w:hAnsi="Times New Roman"/>
                <w:sz w:val="16"/>
                <w:szCs w:val="16"/>
              </w:rPr>
            </w:pPr>
            <w:r w:rsidRPr="00A92914">
              <w:rPr>
                <w:rFonts w:ascii="Times New Roman" w:hAnsi="Times New Roman"/>
                <w:i/>
                <w:iCs/>
                <w:sz w:val="16"/>
                <w:szCs w:val="16"/>
              </w:rPr>
              <w:t>** Celé portfólio (Štátne dlhopisy, Štátne pokladničné poukážky, úvery, peňažný trh a Štátna pokladnica)</w:t>
            </w:r>
          </w:p>
        </w:tc>
        <w:tc>
          <w:tcPr>
            <w:tcW w:w="1287" w:type="dxa"/>
            <w:tcBorders>
              <w:top w:val="single" w:sz="4" w:space="0" w:color="auto"/>
              <w:left w:val="nil"/>
              <w:bottom w:val="nil"/>
              <w:right w:val="nil"/>
            </w:tcBorders>
            <w:noWrap/>
            <w:textDirection w:val="lrTb"/>
            <w:vAlign w:val="bottom"/>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ARDAL</w:t>
            </w:r>
          </w:p>
        </w:tc>
      </w:tr>
    </w:tbl>
    <w:p w:rsidR="004B7C2E" w:rsidRPr="00A92914" w:rsidP="004B7C2E">
      <w:pPr>
        <w:bidi w:val="0"/>
        <w:spacing w:before="360" w:after="120"/>
        <w:jc w:val="center"/>
        <w:rPr>
          <w:rFonts w:ascii="Times New Roman" w:hAnsi="Times New Roman"/>
          <w:b/>
          <w:sz w:val="22"/>
          <w:szCs w:val="22"/>
        </w:rPr>
      </w:pPr>
      <w:r w:rsidRPr="00A92914">
        <w:rPr>
          <w:rFonts w:ascii="Times New Roman" w:hAnsi="Times New Roman"/>
          <w:b/>
          <w:sz w:val="22"/>
          <w:szCs w:val="22"/>
        </w:rPr>
        <w:t>Vývoj ukazovateľov refinančného rizika a rizika z precenenia:</w:t>
      </w:r>
    </w:p>
    <w:tbl>
      <w:tblPr>
        <w:tblStyle w:val="TableNormal"/>
        <w:tblW w:w="9733" w:type="dxa"/>
        <w:jc w:val="center"/>
        <w:tblInd w:w="-521" w:type="dxa"/>
        <w:tblCellMar>
          <w:left w:w="70" w:type="dxa"/>
          <w:right w:w="70" w:type="dxa"/>
        </w:tblCellMar>
      </w:tblPr>
      <w:tblGrid>
        <w:gridCol w:w="4793"/>
        <w:gridCol w:w="209"/>
        <w:gridCol w:w="4731"/>
      </w:tblGrid>
      <w:tr>
        <w:tblPrEx>
          <w:tblW w:w="9733" w:type="dxa"/>
          <w:jc w:val="center"/>
          <w:tblInd w:w="-521" w:type="dxa"/>
          <w:tblCellMar>
            <w:left w:w="70" w:type="dxa"/>
            <w:right w:w="70" w:type="dxa"/>
          </w:tblCellMar>
        </w:tblPrEx>
        <w:trPr>
          <w:trHeight w:val="316"/>
          <w:jc w:val="center"/>
        </w:trPr>
        <w:tc>
          <w:tcPr>
            <w:tcW w:w="4853" w:type="dxa"/>
            <w:tcBorders>
              <w:top w:val="nil"/>
              <w:left w:val="nil"/>
              <w:bottom w:val="nil"/>
              <w:right w:val="nil"/>
            </w:tcBorders>
            <w:shd w:val="clear" w:color="auto" w:fill="A6A6A6"/>
            <w:noWrap/>
            <w:textDirection w:val="lrTb"/>
            <w:vAlign w:val="center"/>
          </w:tcPr>
          <w:p w:rsidR="004B7C2E" w:rsidRPr="00A92914" w:rsidP="00013FD3">
            <w:pPr>
              <w:bidi w:val="0"/>
              <w:jc w:val="center"/>
              <w:rPr>
                <w:rFonts w:ascii="Times New Roman" w:hAnsi="Times New Roman"/>
                <w:b/>
                <w:bCs/>
                <w:sz w:val="20"/>
                <w:szCs w:val="20"/>
              </w:rPr>
            </w:pPr>
            <w:r w:rsidRPr="00A92914">
              <w:rPr>
                <w:rFonts w:ascii="Times New Roman" w:hAnsi="Times New Roman"/>
                <w:b/>
                <w:bCs/>
                <w:sz w:val="20"/>
                <w:szCs w:val="20"/>
              </w:rPr>
              <w:t>Vývoj ukazovateľov refinančného rizika (%)</w:t>
            </w:r>
          </w:p>
        </w:tc>
        <w:tc>
          <w:tcPr>
            <w:tcW w:w="210" w:type="dxa"/>
            <w:tcBorders>
              <w:top w:val="nil"/>
              <w:left w:val="nil"/>
              <w:bottom w:val="nil"/>
              <w:right w:val="nil"/>
            </w:tcBorders>
            <w:noWrap/>
            <w:textDirection w:val="lrTb"/>
            <w:vAlign w:val="center"/>
          </w:tcPr>
          <w:p w:rsidR="004B7C2E" w:rsidRPr="00A92914" w:rsidP="00013FD3">
            <w:pPr>
              <w:bidi w:val="0"/>
              <w:rPr>
                <w:rFonts w:ascii="Times New Roman" w:hAnsi="Times New Roman"/>
                <w:b/>
                <w:bCs/>
                <w:sz w:val="20"/>
                <w:szCs w:val="20"/>
              </w:rPr>
            </w:pPr>
          </w:p>
        </w:tc>
        <w:tc>
          <w:tcPr>
            <w:tcW w:w="4670" w:type="dxa"/>
            <w:tcBorders>
              <w:top w:val="nil"/>
              <w:left w:val="nil"/>
              <w:bottom w:val="nil"/>
              <w:right w:val="nil"/>
            </w:tcBorders>
            <w:shd w:val="clear" w:color="auto" w:fill="A6A6A6"/>
            <w:noWrap/>
            <w:textDirection w:val="lrTb"/>
            <w:vAlign w:val="center"/>
          </w:tcPr>
          <w:p w:rsidR="004B7C2E" w:rsidRPr="00A92914" w:rsidP="00013FD3">
            <w:pPr>
              <w:bidi w:val="0"/>
              <w:jc w:val="center"/>
              <w:rPr>
                <w:rFonts w:ascii="Times New Roman" w:hAnsi="Times New Roman"/>
                <w:b/>
                <w:bCs/>
                <w:sz w:val="20"/>
                <w:szCs w:val="20"/>
              </w:rPr>
            </w:pPr>
            <w:bookmarkStart w:id="26" w:name="_Toc394047557"/>
            <w:r w:rsidRPr="00A92914">
              <w:rPr>
                <w:rFonts w:ascii="Times New Roman" w:hAnsi="Times New Roman"/>
                <w:b/>
                <w:bCs/>
                <w:sz w:val="20"/>
                <w:szCs w:val="20"/>
              </w:rPr>
              <w:t>Vývoj ukazovateľov rizika z precenenia (%)</w:t>
            </w:r>
            <w:bookmarkEnd w:id="26"/>
          </w:p>
        </w:tc>
      </w:tr>
      <w:tr>
        <w:tblPrEx>
          <w:tblW w:w="9733" w:type="dxa"/>
          <w:jc w:val="center"/>
          <w:tblInd w:w="-521" w:type="dxa"/>
          <w:tblCellMar>
            <w:left w:w="70" w:type="dxa"/>
            <w:right w:w="70" w:type="dxa"/>
          </w:tblCellMar>
        </w:tblPrEx>
        <w:trPr>
          <w:trHeight w:val="2872"/>
          <w:jc w:val="center"/>
        </w:trPr>
        <w:tc>
          <w:tcPr>
            <w:tcW w:w="4853" w:type="dxa"/>
            <w:tcBorders>
              <w:top w:val="nil"/>
              <w:left w:val="nil"/>
              <w:bottom w:val="nil"/>
              <w:right w:val="nil"/>
            </w:tcBorders>
            <w:noWrap/>
            <w:textDirection w:val="lrTb"/>
            <w:vAlign w:val="center"/>
          </w:tcPr>
          <w:p w:rsidR="004B7C2E" w:rsidRPr="00A92914" w:rsidP="00013FD3">
            <w:pPr>
              <w:bidi w:val="0"/>
              <w:ind w:left="-142"/>
              <w:jc w:val="center"/>
              <w:rPr>
                <w:rFonts w:ascii="Times New Roman" w:hAnsi="Times New Roman"/>
                <w:sz w:val="20"/>
                <w:szCs w:val="20"/>
                <w:highlight w:val="yellow"/>
              </w:rPr>
            </w:pPr>
            <w:r>
              <w:rPr>
                <w:rFonts w:ascii="Times New Roman" w:hAnsi="Times New Roman"/>
                <w:noProof/>
                <w:rtl w:val="0"/>
              </w:rPr>
              <w:pict>
                <v:shape id="Graf 1" o:spid="_x0000_i1026" type="#_x0000_t75" style="width:243.64pt;height:164.87pt;visibility:visible" stroked="f">
                  <v:imagedata r:id="rId7" o:title="" cropbottom="-15f" cropright="-43f"/>
                  <o:lock v:ext="edit" aspectratio="f"/>
                </v:shape>
              </w:pict>
            </w:r>
          </w:p>
        </w:tc>
        <w:tc>
          <w:tcPr>
            <w:tcW w:w="210" w:type="dxa"/>
            <w:tcBorders>
              <w:top w:val="nil"/>
              <w:left w:val="nil"/>
              <w:bottom w:val="nil"/>
              <w:right w:val="nil"/>
            </w:tcBorders>
            <w:noWrap/>
            <w:textDirection w:val="lrTb"/>
            <w:vAlign w:val="center"/>
          </w:tcPr>
          <w:p w:rsidR="004B7C2E" w:rsidRPr="00A92914" w:rsidP="00013FD3">
            <w:pPr>
              <w:bidi w:val="0"/>
              <w:jc w:val="center"/>
              <w:rPr>
                <w:rFonts w:ascii="Times New Roman" w:hAnsi="Times New Roman"/>
                <w:sz w:val="20"/>
                <w:szCs w:val="20"/>
                <w:highlight w:val="yellow"/>
              </w:rPr>
            </w:pPr>
          </w:p>
        </w:tc>
        <w:tc>
          <w:tcPr>
            <w:tcW w:w="4670" w:type="dxa"/>
            <w:tcBorders>
              <w:top w:val="nil"/>
              <w:left w:val="nil"/>
              <w:bottom w:val="nil"/>
              <w:right w:val="nil"/>
            </w:tcBorders>
            <w:noWrap/>
            <w:textDirection w:val="lrTb"/>
            <w:vAlign w:val="center"/>
          </w:tcPr>
          <w:p w:rsidR="004B7C2E" w:rsidRPr="00A92914" w:rsidP="00013FD3">
            <w:pPr>
              <w:bidi w:val="0"/>
              <w:jc w:val="center"/>
              <w:rPr>
                <w:rFonts w:ascii="Times New Roman" w:hAnsi="Times New Roman"/>
                <w:sz w:val="20"/>
                <w:szCs w:val="20"/>
                <w:highlight w:val="yellow"/>
              </w:rPr>
            </w:pPr>
            <w:r>
              <w:rPr>
                <w:rFonts w:ascii="Times New Roman" w:hAnsi="Times New Roman"/>
                <w:noProof/>
                <w:rtl w:val="0"/>
              </w:rPr>
              <w:pict>
                <v:shape id="Graf 1" o:spid="_x0000_i1027" type="#_x0000_t75" style="width:233.31pt;height:162.64pt;visibility:visible" stroked="f">
                  <v:imagedata r:id="rId8" o:title="" cropbottom="-15f" cropright="-22f"/>
                  <o:lock v:ext="edit" aspectratio="f"/>
                </v:shape>
              </w:pict>
            </w:r>
          </w:p>
        </w:tc>
      </w:tr>
      <w:tr>
        <w:tblPrEx>
          <w:tblW w:w="9733" w:type="dxa"/>
          <w:jc w:val="center"/>
          <w:tblInd w:w="-521" w:type="dxa"/>
          <w:tblCellMar>
            <w:left w:w="70" w:type="dxa"/>
            <w:right w:w="70" w:type="dxa"/>
          </w:tblCellMar>
        </w:tblPrEx>
        <w:trPr>
          <w:trHeight w:val="237"/>
          <w:jc w:val="center"/>
        </w:trPr>
        <w:tc>
          <w:tcPr>
            <w:tcW w:w="4853" w:type="dxa"/>
            <w:tcBorders>
              <w:top w:val="single" w:sz="4" w:space="0" w:color="auto"/>
              <w:left w:val="nil"/>
              <w:bottom w:val="nil"/>
              <w:right w:val="nil"/>
            </w:tcBorders>
            <w:noWrap/>
            <w:textDirection w:val="lrTb"/>
            <w:vAlign w:val="center"/>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ARDAL</w:t>
            </w:r>
          </w:p>
        </w:tc>
        <w:tc>
          <w:tcPr>
            <w:tcW w:w="210" w:type="dxa"/>
            <w:tcBorders>
              <w:top w:val="nil"/>
              <w:left w:val="nil"/>
              <w:bottom w:val="nil"/>
              <w:right w:val="nil"/>
            </w:tcBorders>
            <w:noWrap/>
            <w:textDirection w:val="lrTb"/>
            <w:vAlign w:val="center"/>
          </w:tcPr>
          <w:p w:rsidR="004B7C2E" w:rsidRPr="00A92914" w:rsidP="00013FD3">
            <w:pPr>
              <w:bidi w:val="0"/>
              <w:jc w:val="right"/>
              <w:rPr>
                <w:rFonts w:ascii="Times New Roman" w:hAnsi="Times New Roman"/>
                <w:sz w:val="20"/>
                <w:szCs w:val="20"/>
              </w:rPr>
            </w:pPr>
          </w:p>
        </w:tc>
        <w:tc>
          <w:tcPr>
            <w:tcW w:w="4670" w:type="dxa"/>
            <w:tcBorders>
              <w:top w:val="single" w:sz="4" w:space="0" w:color="auto"/>
              <w:left w:val="nil"/>
              <w:bottom w:val="nil"/>
              <w:right w:val="nil"/>
            </w:tcBorders>
            <w:noWrap/>
            <w:textDirection w:val="lrTb"/>
            <w:vAlign w:val="center"/>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ARDAL</w:t>
            </w:r>
          </w:p>
        </w:tc>
      </w:tr>
    </w:tbl>
    <w:p w:rsidR="004B7C2E" w:rsidRPr="00A92914" w:rsidP="00A92914">
      <w:pPr>
        <w:bidi w:val="0"/>
        <w:spacing w:before="240" w:after="120"/>
        <w:ind w:firstLine="708"/>
        <w:jc w:val="both"/>
        <w:rPr>
          <w:rFonts w:ascii="Times New Roman" w:hAnsi="Times New Roman"/>
          <w:szCs w:val="22"/>
        </w:rPr>
      </w:pPr>
      <w:r w:rsidRPr="00A92914">
        <w:rPr>
          <w:rFonts w:ascii="Times New Roman" w:hAnsi="Times New Roman"/>
          <w:szCs w:val="22"/>
        </w:rPr>
        <w:t>Vývoj na finančných trhoch bol ovplyvnený zápasom centrálnych bánk s krízou, v Európe navyše dlhovou krízou niektorých štátov eurozóny (Grécko, Írsko, Portugalsko, Španielsko, Taliansko a Slovinsko). Po kritickom závere roka 2011 boli v roku 2012 finančné trhy stabilizované opatreniami centrálnych bánk a v Európe aj stabilizačnými mechanizmami. Úrokové sadzby „jadrových“ krajín v dôsledku vývoja na trhoch dosahovali stále nové rekordné minimá. To, spolu so zmenšenou dôverou investorov v „okrajové“ krajiny, znamenalo pre Slovensko v následných rokoch prílev nových investorov, najmä v oblasti stále väčších splatností. Rekordne malé úrokové sadzby sa prejavili aj pri slovenských dlhopisoch, a preto boli uvedené podmienky využité na vydávanie dlhopisov (dlhu) s čo najväčšou dobou do splatnosti (15 až 20 rokov). Parametre portfólia sa takto dostali do oblasti malého rizika, ale vzhľadom k malým a postupne klesajúcim úrokovým sadzbám, nedošlo k zväčšeniu nákladov.</w:t>
      </w:r>
    </w:p>
    <w:p w:rsidR="004B7C2E" w:rsidRPr="00A92914" w:rsidP="004B7C2E">
      <w:pPr>
        <w:bidi w:val="0"/>
        <w:spacing w:before="240" w:after="120"/>
        <w:jc w:val="center"/>
        <w:rPr>
          <w:rFonts w:ascii="Times New Roman" w:hAnsi="Times New Roman"/>
          <w:szCs w:val="22"/>
        </w:rPr>
      </w:pPr>
      <w:r w:rsidRPr="00A92914">
        <w:rPr>
          <w:rFonts w:ascii="Times New Roman" w:hAnsi="Times New Roman"/>
          <w:b/>
          <w:sz w:val="22"/>
          <w:szCs w:val="20"/>
        </w:rPr>
        <w:t>Vývoj priemernej splatnosti (roky) a durácie (roky) štátneho dlhu v rokoch 2011 až 2014</w:t>
      </w:r>
    </w:p>
    <w:p w:rsidR="004B7C2E" w:rsidRPr="00A92914" w:rsidP="004B7C2E">
      <w:pPr>
        <w:bidi w:val="0"/>
        <w:jc w:val="right"/>
        <w:rPr>
          <w:rFonts w:ascii="Times New Roman" w:hAnsi="Times New Roman"/>
          <w:sz w:val="22"/>
          <w:szCs w:val="22"/>
        </w:rPr>
      </w:pPr>
      <w:r>
        <w:rPr>
          <w:rFonts w:ascii="Times New Roman" w:hAnsi="Times New Roman"/>
          <w:noProof/>
          <w:rtl w:val="0"/>
        </w:rPr>
        <w:pict>
          <v:shape id="Graf 1" o:spid="_x0000_i1028" type="#_x0000_t75" style="width:451.63pt;height:192.19pt;visibility:visible" stroked="f">
            <v:imagedata r:id="rId9" o:title=""/>
            <o:lock v:ext="edit" aspectratio="f"/>
          </v:shape>
        </w:pict>
      </w:r>
      <w:r w:rsidRPr="00A92914">
        <w:rPr>
          <w:rFonts w:ascii="Times New Roman" w:hAnsi="Times New Roman"/>
          <w:i/>
          <w:sz w:val="16"/>
          <w:szCs w:val="16"/>
        </w:rPr>
        <w:t>Zdroj: ARDAL</w:t>
      </w:r>
    </w:p>
    <w:p w:rsidR="004B7C2E" w:rsidRPr="00A92914" w:rsidP="00A92914">
      <w:pPr>
        <w:bidi w:val="0"/>
        <w:spacing w:before="240" w:after="120"/>
        <w:ind w:firstLine="708"/>
        <w:jc w:val="both"/>
        <w:rPr>
          <w:rFonts w:ascii="Times New Roman" w:hAnsi="Times New Roman"/>
          <w:szCs w:val="22"/>
        </w:rPr>
      </w:pPr>
      <w:r w:rsidRPr="00A92914">
        <w:rPr>
          <w:rFonts w:ascii="Times New Roman" w:hAnsi="Times New Roman"/>
          <w:szCs w:val="22"/>
        </w:rPr>
        <w:t xml:space="preserve">Pre riadenie cudzomenového rizika bolo strategickým zámerom dodržanie limitu otvorenej nezabezpečenej cudzomenovej pozície štátneho dlhu pod úrovňou 5 % v pomere k celkovému štátnemu dlhu. Tento limit bol s veľkou rezervou dodržaný počas celého obdobia (napr. začiatkom roku 2014 bola hodnota nezabezpečeného dlhu v cudzej mene 0,06 % z celého dlhu). </w:t>
      </w:r>
    </w:p>
    <w:p w:rsidR="004B7C2E" w:rsidRPr="00A92914" w:rsidP="004B7C2E">
      <w:pPr>
        <w:bidi w:val="0"/>
        <w:spacing w:before="240" w:after="120"/>
        <w:rPr>
          <w:rFonts w:ascii="Times New Roman" w:hAnsi="Times New Roman"/>
          <w:szCs w:val="22"/>
          <w:u w:val="single"/>
        </w:rPr>
      </w:pPr>
      <w:r w:rsidRPr="00A92914">
        <w:rPr>
          <w:rFonts w:ascii="Times New Roman" w:hAnsi="Times New Roman"/>
          <w:szCs w:val="22"/>
          <w:u w:val="single"/>
        </w:rPr>
        <w:t>4 - Diverzifikácia investorskej základne</w:t>
      </w:r>
    </w:p>
    <w:p w:rsidR="004B7C2E" w:rsidRPr="00A92914" w:rsidP="00A92914">
      <w:pPr>
        <w:bidi w:val="0"/>
        <w:spacing w:after="120"/>
        <w:ind w:firstLine="708"/>
        <w:jc w:val="both"/>
        <w:rPr>
          <w:rFonts w:ascii="Times New Roman" w:hAnsi="Times New Roman"/>
          <w:szCs w:val="22"/>
        </w:rPr>
      </w:pPr>
      <w:r w:rsidRPr="00A92914">
        <w:rPr>
          <w:rFonts w:ascii="Times New Roman" w:hAnsi="Times New Roman"/>
          <w:szCs w:val="22"/>
        </w:rPr>
        <w:t>Na stretnutiach s účastníkmi aukcií a na stretnutiach s investormi zástupca emitenta – ARDAL, informoval o aktuálnych zámeroch v oblasti primárneho a sekundárneho trhu štátnych cenných papierov. Každoročne v decembri bol publikovaný plán otvorenia nových línií dlhopisov a ŠPP a tiež harmonogram aukcií štátnych dlhopisov na ďalší rok. ARDAL pravidelne posielala investorom a publikovala na svojej stránke mesačné správy, týkajúce sa činností súvisiacich so správou štátneho dlhu a riadením  likvidity. Nepriaznivý vývoj na finančných trhoch (európskom) v roku 2011 bol hlavným dôvodom zintenzívnenia komunikácie s investormi. ARDAL následne v rokoch 2012 a 2013 absolvovala každoročne niekoľko pracovných ciest spojených s návštevami investorov a prezentáciou Slovenska a jeho ekonomiky (roadshow) najmä v Európe (Francúzsko, Nemecko, Švajčiarsko, Nórsko a iné krajiny), ale aj v USA, Japonsku a v Ázii.</w:t>
      </w:r>
    </w:p>
    <w:p w:rsidR="004B7C2E" w:rsidRPr="00A92914" w:rsidP="00A92914">
      <w:pPr>
        <w:bidi w:val="0"/>
        <w:spacing w:after="120"/>
        <w:ind w:firstLine="708"/>
        <w:jc w:val="both"/>
        <w:rPr>
          <w:rFonts w:ascii="Times New Roman" w:hAnsi="Times New Roman"/>
          <w:szCs w:val="22"/>
        </w:rPr>
      </w:pPr>
      <w:r w:rsidRPr="00A92914">
        <w:rPr>
          <w:rFonts w:ascii="Times New Roman" w:hAnsi="Times New Roman"/>
          <w:szCs w:val="22"/>
        </w:rPr>
        <w:t>Výsledkom diverzifikácie investorskej základne bol predaj 12 tranží šiestich emisií dlhopisov denominovaných v CHF, CZK, JPY, USD a NOK v zahraničí od roku 2012 (okrem CZK boli registrované a kótované v zahraničí). Riziká vyplývajúce z realizovaných transakcií boli eliminované cross currency interest rate swapmi (CCIRS). Zabezpečovacie CCIRS ku každej emisii boli uzatvorené prostredníctvom konkurenčných tendrov s bankami, s ktorými má Slovensko podpísanú ISDA zmluvu pre obchody s finančnými derivátmi. ISDA zmluva s väčšinou bánk obsahuje aj dodatok, určujúci pravidlá pre kolateralizáciu kreditného rizika, čo prináša ďalšie nároky na administratívu a správu.</w:t>
      </w:r>
    </w:p>
    <w:p w:rsidR="004B7C2E" w:rsidRPr="00A92914" w:rsidP="00A92914">
      <w:pPr>
        <w:bidi w:val="0"/>
        <w:spacing w:after="120"/>
        <w:ind w:firstLine="708"/>
        <w:jc w:val="both"/>
        <w:rPr>
          <w:rFonts w:ascii="Times New Roman" w:hAnsi="Times New Roman"/>
          <w:szCs w:val="22"/>
        </w:rPr>
      </w:pPr>
      <w:r w:rsidRPr="00A92914">
        <w:rPr>
          <w:rFonts w:ascii="Times New Roman" w:hAnsi="Times New Roman"/>
          <w:szCs w:val="22"/>
        </w:rPr>
        <w:t>Diverzifikácia investorskej základne je nevyhnutná najmä z  dôvodu každoročných deficitov štátneho rozpočtu, ktoré sú väčšie ako absorpčná kapacita domáceho a regionálneho finančného trhu. Táto diverzifikácia prináša tiež zmenu podielu štátneho dlhu vlastneného domácimi investormi a zahraničnými investormi v prospech zahraničných investorov (väčšie riziko).</w:t>
      </w:r>
    </w:p>
    <w:p w:rsidR="004B7C2E" w:rsidRPr="00A92914" w:rsidP="00A92914">
      <w:pPr>
        <w:bidi w:val="0"/>
        <w:spacing w:before="240" w:after="120"/>
        <w:ind w:left="284" w:hanging="284"/>
        <w:jc w:val="both"/>
        <w:rPr>
          <w:rFonts w:ascii="Times New Roman" w:hAnsi="Times New Roman"/>
          <w:szCs w:val="22"/>
          <w:u w:val="single"/>
        </w:rPr>
      </w:pPr>
      <w:r w:rsidRPr="00A92914">
        <w:rPr>
          <w:rFonts w:ascii="Times New Roman" w:hAnsi="Times New Roman"/>
          <w:szCs w:val="22"/>
          <w:u w:val="single"/>
        </w:rPr>
        <w:t>5 - Skvalitnenie infraštruktúry riadenia štátneho dlhu (primárni dealeri, ISDA zmluvy, brokeri, zlepšenie podmienok vysporiadania CP)</w:t>
      </w:r>
    </w:p>
    <w:p w:rsidR="004B7C2E" w:rsidRPr="00A92914" w:rsidP="00A92914">
      <w:pPr>
        <w:bidi w:val="0"/>
        <w:spacing w:before="120" w:after="120"/>
        <w:ind w:firstLine="708"/>
        <w:jc w:val="both"/>
        <w:rPr>
          <w:rFonts w:ascii="Times New Roman" w:hAnsi="Times New Roman"/>
          <w:szCs w:val="22"/>
        </w:rPr>
      </w:pPr>
      <w:r w:rsidRPr="00A92914">
        <w:rPr>
          <w:rFonts w:ascii="Times New Roman" w:hAnsi="Times New Roman"/>
          <w:szCs w:val="22"/>
        </w:rPr>
        <w:t>Systém primárnych dealerov bol zavedený na začiatku roka 2013. Vzhľadom k nie štandardnému fungovaniu vysporiadania transakcií na kapitálovom trhu (nutnosť pre členov BCPB registrovať obchody na BCPB a neexistencia DVP vysporiadania v oblasti OTC obchodov) bolo rozhodnuté zaviesť systém primárnych dealerov zatiaľ len pre primárny trh s tým, že elektronický sekundárny trh spolu s povinnosťou kótovania benchmarkových emisií primárnymi dealermi bude zavedený po vytvorení podmienok pre jeho realizáciu.</w:t>
      </w:r>
    </w:p>
    <w:p w:rsidR="004B7C2E" w:rsidRPr="00A92914" w:rsidP="00A92914">
      <w:pPr>
        <w:bidi w:val="0"/>
        <w:spacing w:before="120" w:after="120"/>
        <w:ind w:firstLine="708"/>
        <w:jc w:val="both"/>
        <w:rPr>
          <w:rFonts w:ascii="Times New Roman" w:hAnsi="Times New Roman"/>
          <w:szCs w:val="22"/>
        </w:rPr>
      </w:pPr>
      <w:r w:rsidRPr="00A92914">
        <w:rPr>
          <w:rFonts w:ascii="Times New Roman" w:hAnsi="Times New Roman"/>
          <w:szCs w:val="22"/>
        </w:rPr>
        <w:t xml:space="preserve">V období od začiatku roka 2012 boli uzatvorené zmluvy s desiatimi bankami (ISDA Master Agreement). Banky, s ktorými má Slovensko platné zmluvy môžu byť pozvané do tendra na uzatvorenie zabezpečovacích transakcií. Služby brokerských spoločností (zahraničných) využíva Slovensko na transakcie na peňažnom a na sekundárnom kapitálovom trhu pre spätné nákupy v menšom rozsahu. </w:t>
      </w:r>
    </w:p>
    <w:p w:rsidR="004B7C2E" w:rsidRPr="00A92914" w:rsidP="004B7C2E">
      <w:pPr>
        <w:pStyle w:val="Heading1"/>
        <w:numPr>
          <w:ilvl w:val="1"/>
          <w:numId w:val="26"/>
        </w:numPr>
        <w:bidi w:val="0"/>
        <w:spacing w:before="360" w:after="240"/>
        <w:rPr>
          <w:rFonts w:ascii="Times New Roman" w:hAnsi="Times New Roman" w:cs="Times New Roman"/>
          <w:sz w:val="24"/>
          <w:szCs w:val="24"/>
        </w:rPr>
      </w:pPr>
      <w:bookmarkStart w:id="27" w:name="_Toc384124255"/>
      <w:bookmarkStart w:id="28" w:name="_Toc394471507"/>
      <w:bookmarkStart w:id="29" w:name="_Toc394471857"/>
      <w:r w:rsidRPr="00A92914">
        <w:rPr>
          <w:rFonts w:ascii="Times New Roman" w:hAnsi="Times New Roman" w:cs="Times New Roman"/>
          <w:sz w:val="24"/>
          <w:szCs w:val="24"/>
        </w:rPr>
        <w:t>Štruktúra a vývoj štátneho dlhu v SR</w:t>
      </w:r>
      <w:bookmarkEnd w:id="27"/>
      <w:bookmarkEnd w:id="28"/>
      <w:bookmarkEnd w:id="29"/>
    </w:p>
    <w:p w:rsidR="004B7C2E" w:rsidP="00A92914">
      <w:pPr>
        <w:autoSpaceDE w:val="0"/>
        <w:autoSpaceDN w:val="0"/>
        <w:bidi w:val="0"/>
        <w:adjustRightInd w:val="0"/>
        <w:ind w:firstLine="709"/>
        <w:jc w:val="both"/>
        <w:rPr>
          <w:rFonts w:ascii="Times New Roman" w:hAnsi="Times New Roman"/>
          <w:szCs w:val="22"/>
        </w:rPr>
      </w:pPr>
      <w:r w:rsidRPr="00A92914">
        <w:rPr>
          <w:rFonts w:ascii="Times New Roman" w:hAnsi="Times New Roman"/>
          <w:szCs w:val="22"/>
        </w:rPr>
        <w:t>Štátny dlh</w:t>
      </w:r>
      <w:r>
        <w:rPr>
          <w:rStyle w:val="FootnoteReference"/>
          <w:rFonts w:ascii="Times New Roman" w:hAnsi="Times New Roman"/>
          <w:szCs w:val="22"/>
          <w:rtl w:val="0"/>
        </w:rPr>
        <w:footnoteReference w:id="3"/>
      </w:r>
      <w:r w:rsidRPr="00A92914">
        <w:rPr>
          <w:rFonts w:ascii="Times New Roman" w:hAnsi="Times New Roman"/>
          <w:szCs w:val="22"/>
        </w:rPr>
        <w:t xml:space="preserve"> (všetky údaje v menovitej hodnote) v rokoch 2011 až 2014 rástol vplyvom viacerých faktorov. Deficity štátneho rozpočtu prispeli sumou 12,141 mld. eur (z čoho je už realizovaných 9,1 mld. eur v rokoch 2011 až 2013). Príspevkom, ktorý nie je financovaný štátom a zväčšuje dlh len účtovne, sú štátne garancie poskytnuté EFSF v hodnote </w:t>
      </w:r>
      <w:r w:rsidR="00331CB4">
        <w:rPr>
          <w:rFonts w:ascii="Times New Roman" w:hAnsi="Times New Roman"/>
          <w:szCs w:val="22"/>
        </w:rPr>
        <w:br/>
      </w:r>
      <w:r w:rsidRPr="00A92914">
        <w:rPr>
          <w:rFonts w:ascii="Times New Roman" w:hAnsi="Times New Roman"/>
          <w:szCs w:val="22"/>
        </w:rPr>
        <w:t>1,895 mld. eur. V  období rokov 2007 až 2010, kedy boli prejavy krízy väčšie na finančnom trhu ako v reálnej ekonomike, sa dlh Slovenska zväčšil o 10,196 mld. eur. Obdobie rokov 2011 až 2014 možno charakterizovať vyvrcholením krízy na finančnom trhu a následne prejavením krízy v reálnej ekonomike v Európe. Vzhľadom k dlhovej kríze európskych vlád a situácii na peňažnom trhu, začala pri riadení dlhu nadobúdať väčší význam hotovostná rezerva. Podiel štátneho dlhu k HDP dosiahol k 31.</w:t>
      </w:r>
      <w:r w:rsidR="00331CB4">
        <w:rPr>
          <w:rFonts w:ascii="Times New Roman" w:hAnsi="Times New Roman"/>
          <w:szCs w:val="22"/>
        </w:rPr>
        <w:t xml:space="preserve"> decembru </w:t>
      </w:r>
      <w:r w:rsidRPr="00A92914">
        <w:rPr>
          <w:rFonts w:ascii="Times New Roman" w:hAnsi="Times New Roman"/>
          <w:szCs w:val="22"/>
        </w:rPr>
        <w:t>2013 hodnotu 52,8 %. Takmer celý štátny dlh je krytý emitovanými cennými papiermi, ktorých podiel na celkovom dlhu je 90,2 %, pričom podiel úverov predstavuje 4,9 % (podiel záruk vystavených na záväzky EFSF je 5 %).</w:t>
      </w:r>
    </w:p>
    <w:p w:rsidR="00A92914" w:rsidRPr="00A92914" w:rsidP="00A92914">
      <w:pPr>
        <w:autoSpaceDE w:val="0"/>
        <w:autoSpaceDN w:val="0"/>
        <w:bidi w:val="0"/>
        <w:adjustRightInd w:val="0"/>
        <w:spacing w:before="120" w:after="120"/>
        <w:ind w:firstLine="708"/>
        <w:jc w:val="both"/>
        <w:rPr>
          <w:rFonts w:ascii="Times New Roman" w:hAnsi="Times New Roman"/>
          <w:szCs w:val="22"/>
        </w:rPr>
      </w:pPr>
    </w:p>
    <w:tbl>
      <w:tblPr>
        <w:tblStyle w:val="TableNormal"/>
        <w:tblW w:w="9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06"/>
        <w:gridCol w:w="1065"/>
        <w:gridCol w:w="1065"/>
        <w:gridCol w:w="1065"/>
        <w:gridCol w:w="1065"/>
        <w:gridCol w:w="1065"/>
        <w:gridCol w:w="1065"/>
      </w:tblGrid>
      <w:tr>
        <w:tblPrEx>
          <w:tblW w:w="9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9096" w:type="dxa"/>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Štruktúra štátneho dlhu v menovitej hodnote (v mil. eur)</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HDP</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celku</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 </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31.12.2011</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31.12.2012</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4B7C2E">
            <w:pPr>
              <w:bidi w:val="0"/>
              <w:jc w:val="right"/>
              <w:rPr>
                <w:rFonts w:ascii="Times New Roman" w:hAnsi="Times New Roman"/>
                <w:b/>
                <w:bCs/>
                <w:sz w:val="16"/>
                <w:szCs w:val="16"/>
              </w:rPr>
            </w:pPr>
            <w:r w:rsidRPr="00A92914">
              <w:rPr>
                <w:rFonts w:ascii="Times New Roman" w:hAnsi="Times New Roman"/>
                <w:b/>
                <w:bCs/>
                <w:sz w:val="16"/>
                <w:szCs w:val="16"/>
              </w:rPr>
              <w:t>k 30.9.2014</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noWrap/>
            <w:textDirection w:val="lrTb"/>
            <w:vAlign w:val="bottom"/>
          </w:tcPr>
          <w:p w:rsidR="004B7C2E" w:rsidRPr="00A92914" w:rsidP="00013FD3">
            <w:pPr>
              <w:bidi w:val="0"/>
              <w:rPr>
                <w:rFonts w:ascii="Times New Roman" w:hAnsi="Times New Roman"/>
                <w:sz w:val="16"/>
                <w:szCs w:val="16"/>
              </w:rPr>
            </w:pPr>
            <w:r w:rsidRPr="00A92914">
              <w:rPr>
                <w:rFonts w:ascii="Times New Roman" w:hAnsi="Times New Roman"/>
                <w:sz w:val="16"/>
                <w:szCs w:val="16"/>
              </w:rPr>
              <w:t>Cenné papiere</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27 029,4</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32 776,2</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34 326,0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35 749,5</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47,6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90,2</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noWrap/>
            <w:textDirection w:val="lrTb"/>
            <w:vAlign w:val="bottom"/>
          </w:tcPr>
          <w:p w:rsidR="004B7C2E" w:rsidRPr="00A92914" w:rsidP="00013FD3">
            <w:pPr>
              <w:bidi w:val="0"/>
              <w:rPr>
                <w:rFonts w:ascii="Times New Roman" w:hAnsi="Times New Roman"/>
                <w:sz w:val="16"/>
                <w:szCs w:val="16"/>
              </w:rPr>
            </w:pPr>
            <w:r w:rsidRPr="00A92914">
              <w:rPr>
                <w:rFonts w:ascii="Times New Roman" w:hAnsi="Times New Roman"/>
                <w:sz w:val="16"/>
                <w:szCs w:val="16"/>
              </w:rPr>
              <w:t>Úvery</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1 360,6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1 577,9</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1 851,6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1 572,6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4,9</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noWrap/>
            <w:textDirection w:val="lrTb"/>
            <w:vAlign w:val="bottom"/>
          </w:tcPr>
          <w:p w:rsidR="004B7C2E" w:rsidRPr="00A92914" w:rsidP="00013FD3">
            <w:pPr>
              <w:bidi w:val="0"/>
              <w:rPr>
                <w:rFonts w:ascii="Times New Roman" w:hAnsi="Times New Roman"/>
                <w:sz w:val="16"/>
                <w:szCs w:val="16"/>
              </w:rPr>
            </w:pPr>
            <w:r w:rsidRPr="00A92914">
              <w:rPr>
                <w:rFonts w:ascii="Times New Roman" w:hAnsi="Times New Roman"/>
                <w:sz w:val="16"/>
                <w:szCs w:val="16"/>
              </w:rPr>
              <w:t>Riziká z realizácie štátnych záruk</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172,6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1 494,0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1 894,8</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1 895,1</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5,0</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noWrap/>
            <w:textDirection w:val="lrTb"/>
            <w:vAlign w:val="bottom"/>
          </w:tcPr>
          <w:p w:rsidR="004B7C2E" w:rsidRPr="00A92914" w:rsidP="00013FD3">
            <w:pPr>
              <w:bidi w:val="0"/>
              <w:rPr>
                <w:rFonts w:ascii="Times New Roman" w:hAnsi="Times New Roman"/>
                <w:sz w:val="16"/>
                <w:szCs w:val="16"/>
              </w:rPr>
            </w:pPr>
            <w:r w:rsidRPr="00A92914">
              <w:rPr>
                <w:rFonts w:ascii="Times New Roman" w:hAnsi="Times New Roman"/>
                <w:sz w:val="16"/>
                <w:szCs w:val="16"/>
              </w:rPr>
              <w:t>Ostatné</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8,0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0,0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r>
      <w:tr>
        <w:tblPrEx>
          <w:tblW w:w="9096" w:type="dxa"/>
          <w:tblInd w:w="70" w:type="dxa"/>
          <w:tblCellMar>
            <w:left w:w="70" w:type="dxa"/>
            <w:right w:w="70" w:type="dxa"/>
          </w:tblCellMar>
          <w:tblLook w:val="04A0"/>
        </w:tblPrEx>
        <w:trPr>
          <w:trHeight w:val="255"/>
        </w:trPr>
        <w:tc>
          <w:tcPr>
            <w:tcW w:w="2706" w:type="dxa"/>
            <w:tcBorders>
              <w:top w:val="single" w:sz="4" w:space="0" w:color="auto"/>
              <w:left w:val="single" w:sz="4" w:space="0" w:color="auto"/>
              <w:bottom w:val="single" w:sz="4" w:space="0" w:color="auto"/>
              <w:right w:val="single" w:sz="4" w:space="0" w:color="auto"/>
            </w:tcBorders>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Štátny dlh v menovitej hodnote</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28 570,6</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35 848,1</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38 072,4</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b/>
                <w:sz w:val="16"/>
                <w:szCs w:val="16"/>
              </w:rPr>
            </w:pPr>
            <w:r w:rsidRPr="00A92914">
              <w:rPr>
                <w:rFonts w:ascii="Times New Roman" w:hAnsi="Times New Roman"/>
                <w:b/>
                <w:sz w:val="16"/>
                <w:szCs w:val="16"/>
              </w:rPr>
              <w:t>39 217,3</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52,8</w:t>
            </w:r>
          </w:p>
        </w:tc>
        <w:tc>
          <w:tcPr>
            <w:tcW w:w="106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100,0</w:t>
            </w:r>
          </w:p>
        </w:tc>
      </w:tr>
      <w:tr>
        <w:tblPrEx>
          <w:tblW w:w="9096" w:type="dxa"/>
          <w:tblInd w:w="70" w:type="dxa"/>
          <w:tblCellMar>
            <w:left w:w="70" w:type="dxa"/>
            <w:right w:w="70" w:type="dxa"/>
          </w:tblCellMar>
          <w:tblLook w:val="04A0"/>
        </w:tblPrEx>
        <w:trPr>
          <w:trHeight w:val="270"/>
        </w:trPr>
        <w:tc>
          <w:tcPr>
            <w:tcW w:w="9096" w:type="dxa"/>
            <w:gridSpan w:val="7"/>
            <w:tcBorders>
              <w:top w:val="single" w:sz="4" w:space="0" w:color="auto"/>
              <w:left w:val="nil"/>
              <w:bottom w:val="nil"/>
              <w:right w:val="nil"/>
            </w:tcBorders>
            <w:noWrap/>
            <w:textDirection w:val="lrTb"/>
            <w:vAlign w:val="bottom"/>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MF SR</w:t>
            </w:r>
          </w:p>
        </w:tc>
      </w:tr>
    </w:tbl>
    <w:p w:rsidR="004B7C2E" w:rsidP="00A92914">
      <w:pPr>
        <w:autoSpaceDE w:val="0"/>
        <w:autoSpaceDN w:val="0"/>
        <w:bidi w:val="0"/>
        <w:adjustRightInd w:val="0"/>
        <w:spacing w:before="120" w:after="120"/>
        <w:ind w:firstLine="708"/>
        <w:jc w:val="both"/>
        <w:rPr>
          <w:rFonts w:ascii="Times New Roman" w:hAnsi="Times New Roman"/>
          <w:szCs w:val="22"/>
        </w:rPr>
      </w:pPr>
      <w:r w:rsidRPr="00A92914">
        <w:rPr>
          <w:rFonts w:ascii="Times New Roman" w:hAnsi="Times New Roman"/>
          <w:szCs w:val="22"/>
        </w:rPr>
        <w:t>Z menového hľadiska bol v roku 2014 štátny dlh denominovaný prevažne v eurách. Podiel ostatných mien oproti predchádzajúcemu obdobiu stúpol zo zanedbateľných 0,3 % z celkového dlhu na takmer 8 % z celkového dlhu ku koncu roka 2013. Zmena je spôsobená rozhodnutím prijatým na konci roka 2011 o rozšírení investorskej základne vstupom na cudzomenové kapitálové trhy (registrácia a kótovanie v zahraničných inštitúciách). Napriek nárastu podielu cudzomenových dlhopisov, nezabezpečený podiel cudzomenových záväzkov bol počas celého obdobia oveľa menší ako maximálnych 5 % z celkových záväzkov (0,6 %).</w:t>
      </w:r>
    </w:p>
    <w:p w:rsidR="00F50680" w:rsidRPr="00A92914" w:rsidP="00A92914">
      <w:pPr>
        <w:autoSpaceDE w:val="0"/>
        <w:autoSpaceDN w:val="0"/>
        <w:bidi w:val="0"/>
        <w:adjustRightInd w:val="0"/>
        <w:spacing w:before="120" w:after="120"/>
        <w:ind w:firstLine="708"/>
        <w:jc w:val="both"/>
        <w:rPr>
          <w:rFonts w:ascii="Times New Roman" w:hAnsi="Times New Roman"/>
          <w:szCs w:val="22"/>
        </w:rPr>
      </w:pPr>
    </w:p>
    <w:tbl>
      <w:tblPr>
        <w:tblStyle w:val="TableNormal"/>
        <w:tblW w:w="91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5"/>
        <w:gridCol w:w="1085"/>
        <w:gridCol w:w="1085"/>
        <w:gridCol w:w="1085"/>
        <w:gridCol w:w="1051"/>
        <w:gridCol w:w="1085"/>
        <w:gridCol w:w="1085"/>
      </w:tblGrid>
      <w:tr>
        <w:tblPrEx>
          <w:tblW w:w="91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9141" w:type="dxa"/>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Štátny dlh podľa meny (v mil. eur)</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 </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HDP</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celku</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 </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31.12.2011</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31.12.2012</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5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4B7C2E" w:rsidRPr="00A92914" w:rsidP="004B7C2E">
            <w:pPr>
              <w:bidi w:val="0"/>
              <w:jc w:val="right"/>
              <w:rPr>
                <w:rFonts w:ascii="Times New Roman" w:hAnsi="Times New Roman"/>
                <w:b/>
                <w:bCs/>
                <w:sz w:val="16"/>
                <w:szCs w:val="16"/>
              </w:rPr>
            </w:pPr>
            <w:r w:rsidRPr="00A92914">
              <w:rPr>
                <w:rFonts w:ascii="Times New Roman" w:hAnsi="Times New Roman"/>
                <w:b/>
                <w:bCs/>
                <w:sz w:val="16"/>
                <w:szCs w:val="16"/>
              </w:rPr>
              <w:t>k 30.9.2014</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EUR</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28 490,0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33 705,7</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35 246,6</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35 984,3</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48,9</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92,6</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USD</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1 160,1</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1 160,1</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1 160,1</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1,6</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3,0</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JPY</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75,5</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61,4</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272,8</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272,0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0,4</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0,7</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CZK</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500,0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500,0</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500,0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0,7</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1,3</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CHF</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5,0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420,9</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892,9</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892,9</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1,2</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2,3</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sz w:val="16"/>
                <w:szCs w:val="16"/>
              </w:rPr>
            </w:pPr>
            <w:r w:rsidRPr="00A92914">
              <w:rPr>
                <w:rFonts w:ascii="Times New Roman" w:hAnsi="Times New Roman"/>
                <w:sz w:val="16"/>
                <w:szCs w:val="16"/>
              </w:rPr>
              <w:t>NOK</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sz w:val="16"/>
                <w:szCs w:val="16"/>
              </w:rPr>
            </w:pPr>
            <w:r w:rsidRPr="00A92914">
              <w:rPr>
                <w:rFonts w:ascii="Times New Roman" w:hAnsi="Times New Roman"/>
                <w:sz w:val="16"/>
                <w:szCs w:val="16"/>
              </w:rPr>
              <w:t>408,0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r>
      <w:tr>
        <w:tblPrEx>
          <w:tblW w:w="9141" w:type="dxa"/>
          <w:tblInd w:w="70" w:type="dxa"/>
          <w:tblCellMar>
            <w:left w:w="70" w:type="dxa"/>
            <w:right w:w="70" w:type="dxa"/>
          </w:tblCellMar>
          <w:tblLook w:val="04A0"/>
        </w:tblPrEx>
        <w:trPr>
          <w:trHeight w:val="255"/>
        </w:trPr>
        <w:tc>
          <w:tcPr>
            <w:tcW w:w="2665" w:type="dxa"/>
            <w:tcBorders>
              <w:top w:val="single" w:sz="4" w:space="0" w:color="auto"/>
              <w:left w:val="single" w:sz="4" w:space="0" w:color="auto"/>
              <w:bottom w:val="single" w:sz="4" w:space="0" w:color="auto"/>
              <w:right w:val="single" w:sz="4" w:space="0" w:color="auto"/>
            </w:tcBorders>
            <w:noWrap/>
            <w:textDirection w:val="lrTb"/>
            <w:vAlign w:val="top"/>
          </w:tcPr>
          <w:p w:rsidR="004B7C2E" w:rsidRPr="00A92914" w:rsidP="00013FD3">
            <w:pPr>
              <w:bidi w:val="0"/>
              <w:rPr>
                <w:rFonts w:ascii="Times New Roman" w:hAnsi="Times New Roman"/>
                <w:b/>
                <w:sz w:val="16"/>
                <w:szCs w:val="16"/>
              </w:rPr>
            </w:pPr>
            <w:r w:rsidRPr="00A92914">
              <w:rPr>
                <w:rFonts w:ascii="Times New Roman" w:hAnsi="Times New Roman"/>
                <w:b/>
                <w:sz w:val="16"/>
                <w:szCs w:val="16"/>
              </w:rPr>
              <w:t>Štátny dlh v menovitej hodnote</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sz w:val="16"/>
                <w:szCs w:val="16"/>
              </w:rPr>
            </w:pPr>
            <w:r w:rsidRPr="00A92914">
              <w:rPr>
                <w:rFonts w:ascii="Times New Roman" w:hAnsi="Times New Roman"/>
                <w:b/>
                <w:sz w:val="16"/>
                <w:szCs w:val="16"/>
              </w:rPr>
              <w:t>28 570,6</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sz w:val="16"/>
                <w:szCs w:val="16"/>
              </w:rPr>
            </w:pPr>
            <w:r w:rsidRPr="00A92914">
              <w:rPr>
                <w:rFonts w:ascii="Times New Roman" w:hAnsi="Times New Roman"/>
                <w:b/>
                <w:sz w:val="16"/>
                <w:szCs w:val="16"/>
              </w:rPr>
              <w:t>35 848,1</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sz w:val="16"/>
                <w:szCs w:val="16"/>
              </w:rPr>
            </w:pPr>
            <w:r w:rsidRPr="00A92914">
              <w:rPr>
                <w:rFonts w:ascii="Times New Roman" w:hAnsi="Times New Roman"/>
                <w:b/>
                <w:sz w:val="16"/>
                <w:szCs w:val="16"/>
              </w:rPr>
              <w:t>38 072,4</w:t>
            </w:r>
          </w:p>
        </w:tc>
        <w:tc>
          <w:tcPr>
            <w:tcW w:w="1051"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pPr>
              <w:bidi w:val="0"/>
              <w:jc w:val="right"/>
              <w:rPr>
                <w:rFonts w:ascii="Times New Roman" w:hAnsi="Times New Roman"/>
                <w:b/>
                <w:sz w:val="16"/>
                <w:szCs w:val="16"/>
              </w:rPr>
            </w:pPr>
            <w:r w:rsidRPr="00A92914">
              <w:rPr>
                <w:rFonts w:ascii="Times New Roman" w:hAnsi="Times New Roman"/>
                <w:b/>
                <w:sz w:val="16"/>
                <w:szCs w:val="16"/>
              </w:rPr>
              <w:t>39 217,3</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sz w:val="16"/>
                <w:szCs w:val="16"/>
              </w:rPr>
            </w:pPr>
            <w:r w:rsidRPr="00A92914">
              <w:rPr>
                <w:rFonts w:ascii="Times New Roman" w:hAnsi="Times New Roman"/>
                <w:b/>
                <w:sz w:val="16"/>
                <w:szCs w:val="16"/>
              </w:rPr>
              <w:t>52,8</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4B7C2E" w:rsidRPr="00A92914" w:rsidP="00013FD3">
            <w:pPr>
              <w:bidi w:val="0"/>
              <w:jc w:val="right"/>
              <w:rPr>
                <w:rFonts w:ascii="Times New Roman" w:hAnsi="Times New Roman"/>
                <w:b/>
                <w:sz w:val="16"/>
                <w:szCs w:val="16"/>
              </w:rPr>
            </w:pPr>
            <w:r w:rsidRPr="00A92914">
              <w:rPr>
                <w:rFonts w:ascii="Times New Roman" w:hAnsi="Times New Roman"/>
                <w:b/>
                <w:sz w:val="16"/>
                <w:szCs w:val="16"/>
              </w:rPr>
              <w:t>100,0</w:t>
            </w:r>
          </w:p>
        </w:tc>
      </w:tr>
      <w:tr>
        <w:tblPrEx>
          <w:tblW w:w="9141" w:type="dxa"/>
          <w:tblInd w:w="70" w:type="dxa"/>
          <w:tblCellMar>
            <w:left w:w="70" w:type="dxa"/>
            <w:right w:w="70" w:type="dxa"/>
          </w:tblCellMar>
          <w:tblLook w:val="04A0"/>
        </w:tblPrEx>
        <w:trPr>
          <w:trHeight w:val="270"/>
        </w:trPr>
        <w:tc>
          <w:tcPr>
            <w:tcW w:w="9141" w:type="dxa"/>
            <w:gridSpan w:val="7"/>
            <w:tcBorders>
              <w:top w:val="single" w:sz="4" w:space="0" w:color="auto"/>
              <w:left w:val="nil"/>
              <w:bottom w:val="nil"/>
              <w:right w:val="nil"/>
            </w:tcBorders>
            <w:noWrap/>
            <w:textDirection w:val="lrTb"/>
            <w:vAlign w:val="bottom"/>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MF SR</w:t>
            </w:r>
          </w:p>
        </w:tc>
      </w:tr>
    </w:tbl>
    <w:p w:rsidR="004B7C2E" w:rsidP="00A92914">
      <w:pPr>
        <w:bidi w:val="0"/>
        <w:spacing w:before="120" w:after="120"/>
        <w:ind w:firstLine="708"/>
        <w:jc w:val="both"/>
        <w:rPr>
          <w:rFonts w:ascii="Times New Roman" w:hAnsi="Times New Roman"/>
          <w:szCs w:val="22"/>
        </w:rPr>
      </w:pPr>
      <w:r w:rsidRPr="00A92914">
        <w:rPr>
          <w:rFonts w:ascii="Times New Roman" w:hAnsi="Times New Roman"/>
          <w:szCs w:val="22"/>
        </w:rPr>
        <w:t>Z teritoriálneho hľadiska predstavoval k 30.</w:t>
      </w:r>
      <w:r w:rsidR="00331CB4">
        <w:rPr>
          <w:rFonts w:ascii="Times New Roman" w:hAnsi="Times New Roman"/>
          <w:szCs w:val="22"/>
        </w:rPr>
        <w:t xml:space="preserve"> septembru </w:t>
      </w:r>
      <w:r w:rsidRPr="00A92914">
        <w:rPr>
          <w:rFonts w:ascii="Times New Roman" w:hAnsi="Times New Roman"/>
          <w:szCs w:val="22"/>
        </w:rPr>
        <w:t>2014 domáci štátny dlh (veriteľom je rezident) 36,1 % a zahraničný dlh (veriteľom je nerezident) 63,9 % z celkového dlhu. Štátny dlh bol krytý prevažne zahraničnými subjektmi, čiastočne komerčnými bankami, poisťovňami, penzijnými a investičnými fondmi. Zmena pomeru vo vlastníctve oproti predošlým obdobiam je spôsobená najmä tým, že v domácej ekonomike, napriek jednému z najväčších rastov HDP v Európe, nerastie kapacita domáceho kapitálového trhu takým rýchlym tempom, akým rastie dlh. Veľká časť deficitu verejného rozpočtu sa preto musí „vyvážať“ do zahraničia.</w:t>
      </w:r>
    </w:p>
    <w:p w:rsidR="00A92914" w:rsidRPr="00A92914" w:rsidP="00A92914">
      <w:pPr>
        <w:bidi w:val="0"/>
        <w:spacing w:before="120" w:after="120"/>
        <w:ind w:firstLine="708"/>
        <w:jc w:val="both"/>
        <w:rPr>
          <w:rFonts w:ascii="Times New Roman" w:hAnsi="Times New Roman"/>
          <w:szCs w:val="22"/>
        </w:rPr>
      </w:pPr>
    </w:p>
    <w:tbl>
      <w:tblPr>
        <w:tblStyle w:val="TableNormal"/>
        <w:tblW w:w="902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82"/>
        <w:gridCol w:w="1075"/>
        <w:gridCol w:w="1099"/>
        <w:gridCol w:w="1054"/>
        <w:gridCol w:w="1014"/>
        <w:gridCol w:w="1085"/>
        <w:gridCol w:w="1019"/>
      </w:tblGrid>
      <w:tr>
        <w:tblPrEx>
          <w:tblW w:w="902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jc w:val="center"/>
        </w:trPr>
        <w:tc>
          <w:tcPr>
            <w:tcW w:w="9028" w:type="dxa"/>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Domáci a zahraničný štátny dlh (v mil. eur)</w:t>
            </w:r>
          </w:p>
        </w:tc>
      </w:tr>
      <w:tr>
        <w:tblPrEx>
          <w:tblW w:w="9028" w:type="dxa"/>
          <w:jc w:val="center"/>
          <w:tblInd w:w="70" w:type="dxa"/>
          <w:tblCellMar>
            <w:left w:w="70" w:type="dxa"/>
            <w:right w:w="70" w:type="dxa"/>
          </w:tblCellMar>
          <w:tblLook w:val="04A0"/>
        </w:tblPrEx>
        <w:trPr>
          <w:trHeight w:val="255"/>
          <w:jc w:val="center"/>
        </w:trPr>
        <w:tc>
          <w:tcPr>
            <w:tcW w:w="268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9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1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HDP</w:t>
            </w:r>
          </w:p>
        </w:tc>
        <w:tc>
          <w:tcPr>
            <w:tcW w:w="101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celku</w:t>
            </w:r>
          </w:p>
        </w:tc>
      </w:tr>
      <w:tr>
        <w:tblPrEx>
          <w:tblW w:w="9028" w:type="dxa"/>
          <w:jc w:val="center"/>
          <w:tblInd w:w="70" w:type="dxa"/>
          <w:tblCellMar>
            <w:left w:w="70" w:type="dxa"/>
            <w:right w:w="70" w:type="dxa"/>
          </w:tblCellMar>
          <w:tblLook w:val="04A0"/>
        </w:tblPrEx>
        <w:trPr>
          <w:trHeight w:val="255"/>
          <w:jc w:val="center"/>
        </w:trPr>
        <w:tc>
          <w:tcPr>
            <w:tcW w:w="268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31.12.2011</w:t>
            </w:r>
          </w:p>
        </w:tc>
        <w:tc>
          <w:tcPr>
            <w:tcW w:w="109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31.12.2012</w:t>
            </w:r>
          </w:p>
        </w:tc>
        <w:tc>
          <w:tcPr>
            <w:tcW w:w="105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1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3C0D35">
            <w:pPr>
              <w:bidi w:val="0"/>
              <w:jc w:val="right"/>
              <w:rPr>
                <w:rFonts w:ascii="Times New Roman" w:hAnsi="Times New Roman"/>
                <w:b/>
                <w:bCs/>
                <w:sz w:val="16"/>
                <w:szCs w:val="16"/>
              </w:rPr>
            </w:pPr>
            <w:r w:rsidRPr="00A92914">
              <w:rPr>
                <w:rFonts w:ascii="Times New Roman" w:hAnsi="Times New Roman"/>
                <w:b/>
                <w:bCs/>
                <w:sz w:val="16"/>
                <w:szCs w:val="16"/>
              </w:rPr>
              <w:t>k 30.</w:t>
            </w:r>
            <w:r w:rsidRPr="00A92914" w:rsidR="003C0D35">
              <w:rPr>
                <w:rFonts w:ascii="Times New Roman" w:hAnsi="Times New Roman"/>
                <w:b/>
                <w:bCs/>
                <w:sz w:val="16"/>
                <w:szCs w:val="16"/>
              </w:rPr>
              <w:t>9</w:t>
            </w:r>
            <w:r w:rsidRPr="00A92914">
              <w:rPr>
                <w:rFonts w:ascii="Times New Roman" w:hAnsi="Times New Roman"/>
                <w:b/>
                <w:bCs/>
                <w:sz w:val="16"/>
                <w:szCs w:val="16"/>
              </w:rPr>
              <w:t>.2014</w:t>
            </w:r>
          </w:p>
        </w:tc>
        <w:tc>
          <w:tcPr>
            <w:tcW w:w="10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19"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r>
      <w:tr>
        <w:tblPrEx>
          <w:tblW w:w="9028" w:type="dxa"/>
          <w:jc w:val="center"/>
          <w:tblInd w:w="70" w:type="dxa"/>
          <w:tblCellMar>
            <w:left w:w="70" w:type="dxa"/>
            <w:right w:w="70" w:type="dxa"/>
          </w:tblCellMar>
          <w:tblLook w:val="04A0"/>
        </w:tblPrEx>
        <w:trPr>
          <w:trHeight w:val="255"/>
          <w:jc w:val="center"/>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sz w:val="16"/>
                <w:szCs w:val="16"/>
              </w:rPr>
            </w:pPr>
            <w:r w:rsidRPr="00A92914">
              <w:rPr>
                <w:rFonts w:ascii="Times New Roman" w:hAnsi="Times New Roman"/>
                <w:sz w:val="16"/>
                <w:szCs w:val="16"/>
              </w:rPr>
              <w:t>domáci</w:t>
            </w:r>
          </w:p>
        </w:tc>
        <w:tc>
          <w:tcPr>
            <w:tcW w:w="107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16 662,1</w:t>
            </w:r>
          </w:p>
        </w:tc>
        <w:tc>
          <w:tcPr>
            <w:tcW w:w="109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18 296,4</w:t>
            </w:r>
          </w:p>
        </w:tc>
        <w:tc>
          <w:tcPr>
            <w:tcW w:w="105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13 682,9</w:t>
            </w:r>
          </w:p>
        </w:tc>
        <w:tc>
          <w:tcPr>
            <w:tcW w:w="101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sz w:val="16"/>
                <w:szCs w:val="16"/>
              </w:rPr>
            </w:pPr>
            <w:r w:rsidRPr="00A92914">
              <w:rPr>
                <w:rFonts w:ascii="Times New Roman" w:hAnsi="Times New Roman"/>
                <w:sz w:val="16"/>
                <w:szCs w:val="16"/>
              </w:rPr>
              <w:t>14 156,1</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19,0</w:t>
            </w:r>
          </w:p>
        </w:tc>
        <w:tc>
          <w:tcPr>
            <w:tcW w:w="101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35,9</w:t>
            </w:r>
          </w:p>
        </w:tc>
      </w:tr>
      <w:tr>
        <w:tblPrEx>
          <w:tblW w:w="9028" w:type="dxa"/>
          <w:jc w:val="center"/>
          <w:tblInd w:w="70" w:type="dxa"/>
          <w:tblCellMar>
            <w:left w:w="70" w:type="dxa"/>
            <w:right w:w="70" w:type="dxa"/>
          </w:tblCellMar>
          <w:tblLook w:val="04A0"/>
        </w:tblPrEx>
        <w:trPr>
          <w:trHeight w:val="255"/>
          <w:jc w:val="center"/>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sz w:val="16"/>
                <w:szCs w:val="16"/>
              </w:rPr>
            </w:pPr>
            <w:r w:rsidRPr="00A92914">
              <w:rPr>
                <w:rFonts w:ascii="Times New Roman" w:hAnsi="Times New Roman"/>
                <w:sz w:val="16"/>
                <w:szCs w:val="16"/>
              </w:rPr>
              <w:t>zahraničný</w:t>
            </w:r>
          </w:p>
        </w:tc>
        <w:tc>
          <w:tcPr>
            <w:tcW w:w="107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11 908,4</w:t>
            </w:r>
          </w:p>
        </w:tc>
        <w:tc>
          <w:tcPr>
            <w:tcW w:w="109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17 551,8</w:t>
            </w:r>
          </w:p>
        </w:tc>
        <w:tc>
          <w:tcPr>
            <w:tcW w:w="105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24 389,5</w:t>
            </w:r>
          </w:p>
        </w:tc>
        <w:tc>
          <w:tcPr>
            <w:tcW w:w="101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sz w:val="16"/>
                <w:szCs w:val="16"/>
              </w:rPr>
            </w:pPr>
            <w:r w:rsidRPr="00A92914">
              <w:rPr>
                <w:rFonts w:ascii="Times New Roman" w:hAnsi="Times New Roman"/>
                <w:sz w:val="16"/>
                <w:szCs w:val="16"/>
              </w:rPr>
              <w:t>25 061,2</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33,8</w:t>
            </w:r>
          </w:p>
        </w:tc>
        <w:tc>
          <w:tcPr>
            <w:tcW w:w="101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64,1</w:t>
            </w:r>
          </w:p>
        </w:tc>
      </w:tr>
      <w:tr>
        <w:tblPrEx>
          <w:tblW w:w="9028" w:type="dxa"/>
          <w:jc w:val="center"/>
          <w:tblInd w:w="70" w:type="dxa"/>
          <w:tblCellMar>
            <w:left w:w="70" w:type="dxa"/>
            <w:right w:w="70" w:type="dxa"/>
          </w:tblCellMar>
          <w:tblLook w:val="04A0"/>
        </w:tblPrEx>
        <w:trPr>
          <w:trHeight w:val="255"/>
          <w:jc w:val="center"/>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b/>
                <w:bCs/>
                <w:sz w:val="16"/>
                <w:szCs w:val="16"/>
              </w:rPr>
            </w:pPr>
            <w:r w:rsidRPr="00A92914">
              <w:rPr>
                <w:rFonts w:ascii="Times New Roman" w:hAnsi="Times New Roman"/>
                <w:b/>
                <w:bCs/>
                <w:sz w:val="16"/>
                <w:szCs w:val="16"/>
              </w:rPr>
              <w:t>Štátny dlh v menovitej hodnote</w:t>
            </w:r>
          </w:p>
        </w:tc>
        <w:tc>
          <w:tcPr>
            <w:tcW w:w="107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28 570,6</w:t>
            </w:r>
          </w:p>
        </w:tc>
        <w:tc>
          <w:tcPr>
            <w:tcW w:w="109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35 848,1</w:t>
            </w:r>
          </w:p>
        </w:tc>
        <w:tc>
          <w:tcPr>
            <w:tcW w:w="105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38 072,4</w:t>
            </w:r>
          </w:p>
        </w:tc>
        <w:tc>
          <w:tcPr>
            <w:tcW w:w="1014"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b/>
                <w:bCs/>
                <w:sz w:val="16"/>
                <w:szCs w:val="16"/>
              </w:rPr>
            </w:pPr>
            <w:r w:rsidRPr="00A92914">
              <w:rPr>
                <w:rFonts w:ascii="Times New Roman" w:hAnsi="Times New Roman"/>
                <w:b/>
                <w:bCs/>
                <w:sz w:val="16"/>
                <w:szCs w:val="16"/>
              </w:rPr>
              <w:t>39 217,3</w:t>
            </w:r>
          </w:p>
        </w:tc>
        <w:tc>
          <w:tcPr>
            <w:tcW w:w="1085"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52,8</w:t>
            </w:r>
          </w:p>
        </w:tc>
        <w:tc>
          <w:tcPr>
            <w:tcW w:w="1019"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100,0</w:t>
            </w:r>
          </w:p>
        </w:tc>
      </w:tr>
      <w:tr>
        <w:tblPrEx>
          <w:tblW w:w="9028" w:type="dxa"/>
          <w:jc w:val="center"/>
          <w:tblInd w:w="70" w:type="dxa"/>
          <w:tblCellMar>
            <w:left w:w="70" w:type="dxa"/>
            <w:right w:w="70" w:type="dxa"/>
          </w:tblCellMar>
          <w:tblLook w:val="04A0"/>
        </w:tblPrEx>
        <w:trPr>
          <w:trHeight w:val="270"/>
          <w:jc w:val="center"/>
        </w:trPr>
        <w:tc>
          <w:tcPr>
            <w:tcW w:w="2682"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75"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99"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54"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14"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85" w:type="dxa"/>
            <w:tcBorders>
              <w:top w:val="single" w:sz="4" w:space="0" w:color="auto"/>
              <w:left w:val="nil"/>
              <w:bottom w:val="nil"/>
              <w:right w:val="nil"/>
            </w:tcBorders>
            <w:noWrap/>
            <w:textDirection w:val="lrTb"/>
            <w:vAlign w:val="bottom"/>
          </w:tcPr>
          <w:p w:rsidR="004B7C2E" w:rsidRPr="00A92914" w:rsidP="00013FD3">
            <w:pPr>
              <w:bidi w:val="0"/>
              <w:rPr>
                <w:rFonts w:ascii="Times New Roman" w:hAnsi="Times New Roman"/>
                <w:sz w:val="16"/>
                <w:szCs w:val="16"/>
              </w:rPr>
            </w:pPr>
          </w:p>
        </w:tc>
        <w:tc>
          <w:tcPr>
            <w:tcW w:w="1019" w:type="dxa"/>
            <w:tcBorders>
              <w:top w:val="single" w:sz="4" w:space="0" w:color="auto"/>
              <w:left w:val="nil"/>
              <w:bottom w:val="nil"/>
              <w:right w:val="nil"/>
            </w:tcBorders>
            <w:noWrap/>
            <w:textDirection w:val="lrTb"/>
            <w:vAlign w:val="bottom"/>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MF SR</w:t>
            </w:r>
          </w:p>
        </w:tc>
      </w:tr>
    </w:tbl>
    <w:p w:rsidR="004B7C2E" w:rsidRPr="00A92914" w:rsidP="00A92914">
      <w:pPr>
        <w:bidi w:val="0"/>
        <w:spacing w:before="120" w:after="120"/>
        <w:ind w:firstLine="708"/>
        <w:jc w:val="both"/>
        <w:rPr>
          <w:rFonts w:ascii="Times New Roman" w:hAnsi="Times New Roman"/>
          <w:szCs w:val="22"/>
        </w:rPr>
      </w:pPr>
      <w:r w:rsidRPr="00A92914">
        <w:rPr>
          <w:rFonts w:ascii="Times New Roman" w:hAnsi="Times New Roman"/>
          <w:szCs w:val="22"/>
        </w:rPr>
        <w:t>Dlhodobý dlh (splatnosť nad jeden rok) k 30.</w:t>
      </w:r>
      <w:r w:rsidR="00331CB4">
        <w:rPr>
          <w:rFonts w:ascii="Times New Roman" w:hAnsi="Times New Roman"/>
          <w:szCs w:val="22"/>
        </w:rPr>
        <w:t xml:space="preserve"> septembru </w:t>
      </w:r>
      <w:r w:rsidRPr="00A92914">
        <w:rPr>
          <w:rFonts w:ascii="Times New Roman" w:hAnsi="Times New Roman"/>
          <w:szCs w:val="22"/>
        </w:rPr>
        <w:t>2014 tvorí 100 % celkového dlhu. Od roku 2011 nebolo potrebné použitie krátkodobých zdrojov na krytie štátneho dlhu, štátne pokladničné poukážky boli používané ako rezerva a nástroj na „doladenie“ cash flow štátu.</w:t>
      </w:r>
    </w:p>
    <w:p w:rsidR="00151324" w:rsidRPr="00A92914" w:rsidP="004B7C2E">
      <w:pPr>
        <w:bidi w:val="0"/>
        <w:spacing w:before="120" w:after="120"/>
        <w:jc w:val="both"/>
        <w:rPr>
          <w:rFonts w:ascii="Times New Roman" w:hAnsi="Times New Roman"/>
          <w:sz w:val="22"/>
          <w:szCs w:val="22"/>
        </w:rPr>
      </w:pPr>
    </w:p>
    <w:tbl>
      <w:tblPr>
        <w:tblStyle w:val="TableNormal"/>
        <w:tblW w:w="9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82"/>
        <w:gridCol w:w="1056"/>
        <w:gridCol w:w="1056"/>
        <w:gridCol w:w="1056"/>
        <w:gridCol w:w="1056"/>
        <w:gridCol w:w="1056"/>
        <w:gridCol w:w="1056"/>
      </w:tblGrid>
      <w:tr>
        <w:tblPrEx>
          <w:tblW w:w="9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9018" w:type="dxa"/>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Krátkodobý a dlhodobý štátny dlh (v mil. eur)</w:t>
            </w:r>
          </w:p>
        </w:tc>
      </w:tr>
      <w:tr>
        <w:tblPrEx>
          <w:tblW w:w="9018" w:type="dxa"/>
          <w:tblInd w:w="70" w:type="dxa"/>
          <w:tblCellMar>
            <w:left w:w="70" w:type="dxa"/>
            <w:right w:w="70" w:type="dxa"/>
          </w:tblCellMar>
          <w:tblLook w:val="04A0"/>
        </w:tblPrEx>
        <w:trPr>
          <w:trHeight w:val="255"/>
        </w:trPr>
        <w:tc>
          <w:tcPr>
            <w:tcW w:w="268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jc w:val="center"/>
              <w:rPr>
                <w:rFonts w:ascii="Times New Roman" w:hAnsi="Times New Roman"/>
                <w:b/>
                <w:bCs/>
                <w:sz w:val="16"/>
                <w:szCs w:val="16"/>
              </w:rPr>
            </w:pP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Stav</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HDP</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center"/>
              <w:rPr>
                <w:rFonts w:ascii="Times New Roman" w:hAnsi="Times New Roman"/>
                <w:b/>
                <w:bCs/>
                <w:sz w:val="16"/>
                <w:szCs w:val="16"/>
              </w:rPr>
            </w:pPr>
            <w:r w:rsidRPr="00A92914">
              <w:rPr>
                <w:rFonts w:ascii="Times New Roman" w:hAnsi="Times New Roman"/>
                <w:b/>
                <w:bCs/>
                <w:sz w:val="16"/>
                <w:szCs w:val="16"/>
              </w:rPr>
              <w:t>% z celku</w:t>
            </w:r>
          </w:p>
        </w:tc>
      </w:tr>
      <w:tr>
        <w:tblPrEx>
          <w:tblW w:w="9018" w:type="dxa"/>
          <w:tblInd w:w="70" w:type="dxa"/>
          <w:tblCellMar>
            <w:left w:w="70" w:type="dxa"/>
            <w:right w:w="70" w:type="dxa"/>
          </w:tblCellMar>
          <w:tblLook w:val="04A0"/>
        </w:tblPrEx>
        <w:trPr>
          <w:trHeight w:val="255"/>
        </w:trPr>
        <w:tc>
          <w:tcPr>
            <w:tcW w:w="2682"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4B7C2E" w:rsidRPr="00A92914" w:rsidP="00013FD3">
            <w:pPr>
              <w:bidi w:val="0"/>
              <w:rPr>
                <w:rFonts w:ascii="Times New Roman" w:hAnsi="Times New Roman"/>
                <w:b/>
                <w:bCs/>
                <w:sz w:val="16"/>
                <w:szCs w:val="16"/>
              </w:rPr>
            </w:pPr>
            <w:r w:rsidRPr="00A92914">
              <w:rPr>
                <w:rFonts w:ascii="Times New Roman" w:hAnsi="Times New Roman"/>
                <w:b/>
                <w:bCs/>
                <w:sz w:val="16"/>
                <w:szCs w:val="16"/>
              </w:rPr>
              <w:t> </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31.12.2011</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31.12.2012</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sidR="003C0D35">
              <w:rPr>
                <w:rFonts w:ascii="Times New Roman" w:hAnsi="Times New Roman"/>
                <w:b/>
                <w:bCs/>
                <w:sz w:val="16"/>
                <w:szCs w:val="16"/>
              </w:rPr>
              <w:t>k 30.9</w:t>
            </w:r>
            <w:r w:rsidRPr="00A92914">
              <w:rPr>
                <w:rFonts w:ascii="Times New Roman" w:hAnsi="Times New Roman"/>
                <w:b/>
                <w:bCs/>
                <w:sz w:val="16"/>
                <w:szCs w:val="16"/>
              </w:rPr>
              <w:t>.2014</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c>
          <w:tcPr>
            <w:tcW w:w="105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top"/>
          </w:tcPr>
          <w:p w:rsidR="004B7C2E" w:rsidRPr="00A92914" w:rsidP="00013FD3">
            <w:pPr>
              <w:bidi w:val="0"/>
              <w:jc w:val="right"/>
              <w:rPr>
                <w:rFonts w:ascii="Times New Roman" w:hAnsi="Times New Roman"/>
                <w:b/>
                <w:bCs/>
                <w:sz w:val="16"/>
                <w:szCs w:val="16"/>
              </w:rPr>
            </w:pPr>
            <w:r w:rsidRPr="00A92914">
              <w:rPr>
                <w:rFonts w:ascii="Times New Roman" w:hAnsi="Times New Roman"/>
                <w:b/>
                <w:bCs/>
                <w:sz w:val="16"/>
                <w:szCs w:val="16"/>
              </w:rPr>
              <w:t>k 31.12.2013</w:t>
            </w:r>
          </w:p>
        </w:tc>
      </w:tr>
      <w:tr>
        <w:tblPrEx>
          <w:tblW w:w="9018" w:type="dxa"/>
          <w:tblInd w:w="70" w:type="dxa"/>
          <w:tblCellMar>
            <w:left w:w="70" w:type="dxa"/>
            <w:right w:w="70" w:type="dxa"/>
          </w:tblCellMar>
          <w:tblLook w:val="04A0"/>
        </w:tblPrEx>
        <w:trPr>
          <w:trHeight w:val="255"/>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sz w:val="16"/>
                <w:szCs w:val="16"/>
              </w:rPr>
            </w:pPr>
            <w:r w:rsidRPr="00A92914">
              <w:rPr>
                <w:rFonts w:ascii="Times New Roman" w:hAnsi="Times New Roman"/>
                <w:sz w:val="16"/>
                <w:szCs w:val="16"/>
              </w:rPr>
              <w:t>krátkodobý</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1 136,9</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1 316,0</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11,5</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sz w:val="16"/>
                <w:szCs w:val="16"/>
              </w:rPr>
            </w:pPr>
            <w:r w:rsidRPr="00A92914">
              <w:rPr>
                <w:rFonts w:ascii="Times New Roman" w:hAnsi="Times New Roman"/>
                <w:sz w:val="16"/>
                <w:szCs w:val="16"/>
              </w:rPr>
              <w:t>0,0</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0,0</w:t>
            </w:r>
          </w:p>
        </w:tc>
      </w:tr>
      <w:tr>
        <w:tblPrEx>
          <w:tblW w:w="9018" w:type="dxa"/>
          <w:tblInd w:w="70" w:type="dxa"/>
          <w:tblCellMar>
            <w:left w:w="70" w:type="dxa"/>
            <w:right w:w="70" w:type="dxa"/>
          </w:tblCellMar>
          <w:tblLook w:val="04A0"/>
        </w:tblPrEx>
        <w:trPr>
          <w:trHeight w:val="255"/>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sz w:val="16"/>
                <w:szCs w:val="16"/>
              </w:rPr>
            </w:pPr>
            <w:r w:rsidRPr="00A92914">
              <w:rPr>
                <w:rFonts w:ascii="Times New Roman" w:hAnsi="Times New Roman"/>
                <w:sz w:val="16"/>
                <w:szCs w:val="16"/>
              </w:rPr>
              <w:t>dlhodobý</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27 433,7</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34 532,1</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38 060,9</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sz w:val="16"/>
                <w:szCs w:val="16"/>
              </w:rPr>
            </w:pPr>
            <w:r w:rsidRPr="00A92914">
              <w:rPr>
                <w:rFonts w:ascii="Times New Roman" w:hAnsi="Times New Roman"/>
                <w:sz w:val="16"/>
                <w:szCs w:val="16"/>
              </w:rPr>
              <w:t>39 217,3</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52,8</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sz w:val="16"/>
                <w:szCs w:val="16"/>
              </w:rPr>
            </w:pPr>
            <w:r w:rsidRPr="00A92914">
              <w:rPr>
                <w:rFonts w:ascii="Times New Roman" w:hAnsi="Times New Roman"/>
                <w:sz w:val="16"/>
                <w:szCs w:val="16"/>
              </w:rPr>
              <w:t>100,0</w:t>
            </w:r>
          </w:p>
        </w:tc>
      </w:tr>
      <w:tr>
        <w:tblPrEx>
          <w:tblW w:w="9018" w:type="dxa"/>
          <w:tblInd w:w="70" w:type="dxa"/>
          <w:tblCellMar>
            <w:left w:w="70" w:type="dxa"/>
            <w:right w:w="70" w:type="dxa"/>
          </w:tblCellMar>
          <w:tblLook w:val="04A0"/>
        </w:tblPrEx>
        <w:trPr>
          <w:trHeight w:val="255"/>
        </w:trPr>
        <w:tc>
          <w:tcPr>
            <w:tcW w:w="2682" w:type="dxa"/>
            <w:tcBorders>
              <w:top w:val="single" w:sz="4" w:space="0" w:color="auto"/>
              <w:left w:val="single" w:sz="4" w:space="0" w:color="auto"/>
              <w:bottom w:val="single" w:sz="4" w:space="0" w:color="auto"/>
              <w:right w:val="single" w:sz="4" w:space="0" w:color="auto"/>
            </w:tcBorders>
            <w:noWrap/>
            <w:textDirection w:val="lrTb"/>
            <w:vAlign w:val="bottom"/>
          </w:tcPr>
          <w:p w:rsidR="003C0D35" w:rsidRPr="00A92914" w:rsidP="00013FD3">
            <w:pPr>
              <w:bidi w:val="0"/>
              <w:rPr>
                <w:rFonts w:ascii="Times New Roman" w:hAnsi="Times New Roman"/>
                <w:b/>
                <w:bCs/>
                <w:sz w:val="16"/>
                <w:szCs w:val="16"/>
              </w:rPr>
            </w:pPr>
            <w:r w:rsidRPr="00A92914">
              <w:rPr>
                <w:rFonts w:ascii="Times New Roman" w:hAnsi="Times New Roman"/>
                <w:b/>
                <w:bCs/>
                <w:sz w:val="16"/>
                <w:szCs w:val="16"/>
              </w:rPr>
              <w:t>Štátny dlh v menovitej hodnote</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28 570,6</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35 848,1</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38 072,4</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pPr>
              <w:bidi w:val="0"/>
              <w:jc w:val="right"/>
              <w:rPr>
                <w:rFonts w:ascii="Times New Roman" w:hAnsi="Times New Roman"/>
                <w:b/>
                <w:bCs/>
                <w:sz w:val="16"/>
                <w:szCs w:val="16"/>
              </w:rPr>
            </w:pPr>
            <w:r w:rsidRPr="00A92914">
              <w:rPr>
                <w:rFonts w:ascii="Times New Roman" w:hAnsi="Times New Roman"/>
                <w:b/>
                <w:bCs/>
                <w:sz w:val="16"/>
                <w:szCs w:val="16"/>
              </w:rPr>
              <w:t>39 217,3</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52,8</w:t>
            </w:r>
          </w:p>
        </w:tc>
        <w:tc>
          <w:tcPr>
            <w:tcW w:w="1056" w:type="dxa"/>
            <w:tcBorders>
              <w:top w:val="single" w:sz="4" w:space="0" w:color="auto"/>
              <w:left w:val="single" w:sz="4" w:space="0" w:color="auto"/>
              <w:bottom w:val="single" w:sz="4" w:space="0" w:color="auto"/>
              <w:right w:val="single" w:sz="4" w:space="0" w:color="auto"/>
            </w:tcBorders>
            <w:noWrap/>
            <w:textDirection w:val="lrTb"/>
            <w:vAlign w:val="center"/>
          </w:tcPr>
          <w:p w:rsidR="003C0D35" w:rsidRPr="00A92914" w:rsidP="00013FD3">
            <w:pPr>
              <w:bidi w:val="0"/>
              <w:jc w:val="right"/>
              <w:rPr>
                <w:rFonts w:ascii="Times New Roman" w:hAnsi="Times New Roman"/>
                <w:b/>
                <w:bCs/>
                <w:sz w:val="16"/>
                <w:szCs w:val="16"/>
              </w:rPr>
            </w:pPr>
            <w:r w:rsidRPr="00A92914">
              <w:rPr>
                <w:rFonts w:ascii="Times New Roman" w:hAnsi="Times New Roman"/>
                <w:b/>
                <w:bCs/>
                <w:sz w:val="16"/>
                <w:szCs w:val="16"/>
              </w:rPr>
              <w:t>100,0</w:t>
            </w:r>
          </w:p>
        </w:tc>
      </w:tr>
      <w:tr>
        <w:tblPrEx>
          <w:tblW w:w="9018" w:type="dxa"/>
          <w:tblInd w:w="70" w:type="dxa"/>
          <w:tblCellMar>
            <w:left w:w="70" w:type="dxa"/>
            <w:right w:w="70" w:type="dxa"/>
          </w:tblCellMar>
          <w:tblLook w:val="04A0"/>
        </w:tblPrEx>
        <w:trPr>
          <w:trHeight w:val="270"/>
        </w:trPr>
        <w:tc>
          <w:tcPr>
            <w:tcW w:w="9018" w:type="dxa"/>
            <w:gridSpan w:val="7"/>
            <w:tcBorders>
              <w:top w:val="single" w:sz="4" w:space="0" w:color="auto"/>
              <w:left w:val="nil"/>
              <w:bottom w:val="nil"/>
              <w:right w:val="nil"/>
            </w:tcBorders>
            <w:noWrap/>
            <w:textDirection w:val="lrTb"/>
            <w:vAlign w:val="bottom"/>
          </w:tcPr>
          <w:p w:rsidR="004B7C2E" w:rsidRPr="00A92914" w:rsidP="00013FD3">
            <w:pPr>
              <w:bidi w:val="0"/>
              <w:jc w:val="right"/>
              <w:rPr>
                <w:rFonts w:ascii="Times New Roman" w:hAnsi="Times New Roman"/>
                <w:i/>
                <w:iCs/>
                <w:sz w:val="16"/>
                <w:szCs w:val="16"/>
              </w:rPr>
            </w:pPr>
            <w:r w:rsidRPr="00A92914">
              <w:rPr>
                <w:rFonts w:ascii="Times New Roman" w:hAnsi="Times New Roman"/>
                <w:i/>
                <w:iCs/>
                <w:sz w:val="16"/>
                <w:szCs w:val="16"/>
              </w:rPr>
              <w:t>zdroj: MF SR</w:t>
            </w:r>
          </w:p>
        </w:tc>
      </w:tr>
    </w:tbl>
    <w:p w:rsidR="00BA548B" w:rsidRPr="00A92914" w:rsidP="004B7C2E">
      <w:pPr>
        <w:pStyle w:val="Heading1"/>
        <w:numPr>
          <w:ilvl w:val="1"/>
          <w:numId w:val="26"/>
        </w:numPr>
        <w:bidi w:val="0"/>
        <w:spacing w:before="360" w:after="240"/>
        <w:rPr>
          <w:rFonts w:ascii="Times New Roman" w:hAnsi="Times New Roman" w:cs="Times New Roman"/>
          <w:sz w:val="24"/>
          <w:szCs w:val="24"/>
        </w:rPr>
      </w:pPr>
      <w:r w:rsidRPr="00A92914" w:rsidR="007E1358">
        <w:rPr>
          <w:rFonts w:ascii="Times New Roman" w:hAnsi="Times New Roman" w:cs="Times New Roman"/>
          <w:sz w:val="24"/>
          <w:szCs w:val="24"/>
        </w:rPr>
        <w:t>Stav</w:t>
      </w:r>
      <w:r w:rsidRPr="00A92914">
        <w:rPr>
          <w:rFonts w:ascii="Times New Roman" w:hAnsi="Times New Roman" w:cs="Times New Roman"/>
          <w:sz w:val="24"/>
          <w:szCs w:val="24"/>
        </w:rPr>
        <w:t xml:space="preserve"> dlhového portfólia</w:t>
      </w:r>
      <w:bookmarkEnd w:id="23"/>
      <w:bookmarkEnd w:id="24"/>
      <w:bookmarkEnd w:id="25"/>
    </w:p>
    <w:p w:rsidR="00C13994" w:rsidRPr="00A92914" w:rsidP="00A92914">
      <w:pPr>
        <w:bidi w:val="0"/>
        <w:spacing w:after="120"/>
        <w:ind w:firstLine="708"/>
        <w:jc w:val="both"/>
        <w:rPr>
          <w:rFonts w:ascii="Times New Roman" w:hAnsi="Times New Roman"/>
          <w:szCs w:val="22"/>
        </w:rPr>
      </w:pPr>
      <w:r w:rsidRPr="00A92914" w:rsidR="00470DEC">
        <w:rPr>
          <w:rFonts w:ascii="Times New Roman" w:hAnsi="Times New Roman"/>
          <w:szCs w:val="22"/>
        </w:rPr>
        <w:t>U</w:t>
      </w:r>
      <w:r w:rsidRPr="00A92914" w:rsidR="000740C5">
        <w:rPr>
          <w:rFonts w:ascii="Times New Roman" w:hAnsi="Times New Roman"/>
          <w:szCs w:val="22"/>
        </w:rPr>
        <w:t>dalosti na finančn</w:t>
      </w:r>
      <w:r w:rsidRPr="00A92914" w:rsidR="007E1358">
        <w:rPr>
          <w:rFonts w:ascii="Times New Roman" w:hAnsi="Times New Roman"/>
          <w:szCs w:val="22"/>
        </w:rPr>
        <w:t>om</w:t>
      </w:r>
      <w:r w:rsidRPr="00A92914" w:rsidR="000740C5">
        <w:rPr>
          <w:rFonts w:ascii="Times New Roman" w:hAnsi="Times New Roman"/>
          <w:szCs w:val="22"/>
        </w:rPr>
        <w:t xml:space="preserve"> trh</w:t>
      </w:r>
      <w:r w:rsidRPr="00A92914" w:rsidR="007E1358">
        <w:rPr>
          <w:rFonts w:ascii="Times New Roman" w:hAnsi="Times New Roman"/>
          <w:szCs w:val="22"/>
        </w:rPr>
        <w:t>u</w:t>
      </w:r>
      <w:r w:rsidRPr="00A92914" w:rsidR="000740C5">
        <w:rPr>
          <w:rFonts w:ascii="Times New Roman" w:hAnsi="Times New Roman"/>
          <w:szCs w:val="22"/>
        </w:rPr>
        <w:t xml:space="preserve"> </w:t>
      </w:r>
      <w:r w:rsidRPr="00A92914" w:rsidR="007E1358">
        <w:rPr>
          <w:rFonts w:ascii="Times New Roman" w:hAnsi="Times New Roman"/>
          <w:szCs w:val="22"/>
        </w:rPr>
        <w:t>v</w:t>
      </w:r>
      <w:r w:rsidRPr="00A92914" w:rsidR="00470DEC">
        <w:rPr>
          <w:rFonts w:ascii="Times New Roman" w:hAnsi="Times New Roman"/>
          <w:szCs w:val="22"/>
        </w:rPr>
        <w:t> posledných roko</w:t>
      </w:r>
      <w:r w:rsidRPr="00A92914" w:rsidR="007E1358">
        <w:rPr>
          <w:rFonts w:ascii="Times New Roman" w:hAnsi="Times New Roman"/>
          <w:szCs w:val="22"/>
        </w:rPr>
        <w:t>ch</w:t>
      </w:r>
      <w:r w:rsidRPr="00A92914" w:rsidR="00470DEC">
        <w:rPr>
          <w:rFonts w:ascii="Times New Roman" w:hAnsi="Times New Roman"/>
          <w:szCs w:val="22"/>
        </w:rPr>
        <w:t xml:space="preserve"> </w:t>
      </w:r>
      <w:r w:rsidRPr="00A92914" w:rsidR="007E1358">
        <w:rPr>
          <w:rFonts w:ascii="Times New Roman" w:hAnsi="Times New Roman"/>
          <w:szCs w:val="22"/>
        </w:rPr>
        <w:t xml:space="preserve">znamenali zmenšenie alebo až pozastavenie investovania niektorých investorov do dlhu niektorých krajín eurozóny </w:t>
      </w:r>
      <w:r w:rsidRPr="00A92914">
        <w:rPr>
          <w:rFonts w:ascii="Times New Roman" w:hAnsi="Times New Roman"/>
          <w:szCs w:val="22"/>
        </w:rPr>
        <w:t xml:space="preserve">(Grécko, Írsko a iné) </w:t>
      </w:r>
      <w:r w:rsidRPr="00A92914" w:rsidR="007E1358">
        <w:rPr>
          <w:rFonts w:ascii="Times New Roman" w:hAnsi="Times New Roman"/>
          <w:szCs w:val="22"/>
        </w:rPr>
        <w:t>a hľadanie iných investičných príležitostí. Slovensko, so stabilizovaným bankovým sektorom a dobrými parametrami ekonomiky</w:t>
      </w:r>
      <w:r w:rsidRPr="00A92914" w:rsidR="002275A8">
        <w:rPr>
          <w:rFonts w:ascii="Times New Roman" w:hAnsi="Times New Roman"/>
          <w:szCs w:val="22"/>
        </w:rPr>
        <w:t>,</w:t>
      </w:r>
      <w:r w:rsidRPr="00A92914" w:rsidR="007E1358">
        <w:rPr>
          <w:rFonts w:ascii="Times New Roman" w:hAnsi="Times New Roman"/>
          <w:szCs w:val="22"/>
        </w:rPr>
        <w:t xml:space="preserve"> bolo veľmi vhodným kandidátom</w:t>
      </w:r>
      <w:r w:rsidRPr="00A92914" w:rsidR="006D7382">
        <w:rPr>
          <w:rFonts w:ascii="Times New Roman" w:hAnsi="Times New Roman"/>
          <w:szCs w:val="22"/>
        </w:rPr>
        <w:t xml:space="preserve"> pre investície</w:t>
      </w:r>
      <w:r w:rsidRPr="00A92914" w:rsidR="007E1358">
        <w:rPr>
          <w:rFonts w:ascii="Times New Roman" w:hAnsi="Times New Roman"/>
          <w:szCs w:val="22"/>
        </w:rPr>
        <w:t xml:space="preserve">, keďže úrokové sadzby Slovenska boli väčšie ako </w:t>
      </w:r>
      <w:r w:rsidRPr="00A92914" w:rsidR="005468C1">
        <w:rPr>
          <w:rFonts w:ascii="Times New Roman" w:hAnsi="Times New Roman"/>
          <w:szCs w:val="22"/>
        </w:rPr>
        <w:t xml:space="preserve">pri </w:t>
      </w:r>
      <w:r w:rsidRPr="00A92914" w:rsidR="007E1358">
        <w:rPr>
          <w:rFonts w:ascii="Times New Roman" w:hAnsi="Times New Roman"/>
          <w:szCs w:val="22"/>
        </w:rPr>
        <w:t>všetkých „jadrových“ kraj</w:t>
      </w:r>
      <w:r w:rsidRPr="00A92914" w:rsidR="005468C1">
        <w:rPr>
          <w:rFonts w:ascii="Times New Roman" w:hAnsi="Times New Roman"/>
          <w:szCs w:val="22"/>
        </w:rPr>
        <w:t>inách</w:t>
      </w:r>
      <w:r w:rsidRPr="00A92914" w:rsidR="007E1358">
        <w:rPr>
          <w:rFonts w:ascii="Times New Roman" w:hAnsi="Times New Roman"/>
          <w:szCs w:val="22"/>
        </w:rPr>
        <w:t xml:space="preserve"> eurozóny.</w:t>
      </w:r>
      <w:r w:rsidRPr="00A92914">
        <w:rPr>
          <w:rFonts w:ascii="Times New Roman" w:hAnsi="Times New Roman"/>
          <w:szCs w:val="22"/>
        </w:rPr>
        <w:t xml:space="preserve"> V honbe za väčšími úrokovými sadzbami boli investori ochotní </w:t>
      </w:r>
      <w:r w:rsidRPr="00A92914" w:rsidR="00AA7596">
        <w:rPr>
          <w:rFonts w:ascii="Times New Roman" w:hAnsi="Times New Roman"/>
          <w:szCs w:val="22"/>
        </w:rPr>
        <w:t xml:space="preserve">investovať </w:t>
      </w:r>
      <w:r w:rsidRPr="00A92914">
        <w:rPr>
          <w:rFonts w:ascii="Times New Roman" w:hAnsi="Times New Roman"/>
          <w:szCs w:val="22"/>
        </w:rPr>
        <w:t xml:space="preserve">aj do splatností, ktoré dovtedy </w:t>
      </w:r>
      <w:r w:rsidRPr="00A92914" w:rsidR="00650E94">
        <w:rPr>
          <w:rFonts w:ascii="Times New Roman" w:hAnsi="Times New Roman"/>
          <w:szCs w:val="22"/>
        </w:rPr>
        <w:t xml:space="preserve">boli </w:t>
      </w:r>
      <w:r w:rsidRPr="00A92914">
        <w:rPr>
          <w:rFonts w:ascii="Times New Roman" w:hAnsi="Times New Roman"/>
          <w:szCs w:val="22"/>
        </w:rPr>
        <w:t xml:space="preserve">pre Slovensko </w:t>
      </w:r>
      <w:r w:rsidRPr="00A92914" w:rsidR="00650E94">
        <w:rPr>
          <w:rFonts w:ascii="Times New Roman" w:hAnsi="Times New Roman"/>
          <w:szCs w:val="22"/>
        </w:rPr>
        <w:t>nedostupné</w:t>
      </w:r>
      <w:r w:rsidRPr="00A92914">
        <w:rPr>
          <w:rFonts w:ascii="Times New Roman" w:hAnsi="Times New Roman"/>
          <w:szCs w:val="22"/>
        </w:rPr>
        <w:t xml:space="preserve">  z dôvodu príliš veľkých úrokových nákladov alebo nemožnosti umiestenia dostatočnej menovitej hodnoty</w:t>
      </w:r>
      <w:r w:rsidRPr="00A92914" w:rsidR="006D7382">
        <w:rPr>
          <w:rFonts w:ascii="Times New Roman" w:hAnsi="Times New Roman"/>
          <w:szCs w:val="22"/>
        </w:rPr>
        <w:t xml:space="preserve"> novej emisie</w:t>
      </w:r>
      <w:r w:rsidRPr="00A92914" w:rsidR="00650E94">
        <w:rPr>
          <w:rFonts w:ascii="Times New Roman" w:hAnsi="Times New Roman"/>
          <w:szCs w:val="22"/>
        </w:rPr>
        <w:t>.</w:t>
      </w:r>
      <w:r w:rsidRPr="00A92914" w:rsidR="002367DB">
        <w:rPr>
          <w:rFonts w:ascii="Times New Roman" w:hAnsi="Times New Roman"/>
          <w:szCs w:val="22"/>
        </w:rPr>
        <w:t xml:space="preserve"> Takáto situácia umožnila Slovensku vydávanie dlhopisov so splatnosťami väčšími ako 10 rokov pri pomerne dobrých úrokových sadzbách. Na dlhovom portfóliu sa to prejavilo v tom, že sledované parametre portfólia sa dostali ďaleko do oblasti menšieho rizika pri nezväčšených</w:t>
      </w:r>
      <w:r w:rsidRPr="00A92914" w:rsidR="00650E94">
        <w:rPr>
          <w:rFonts w:ascii="Times New Roman" w:hAnsi="Times New Roman"/>
          <w:szCs w:val="22"/>
        </w:rPr>
        <w:t>, stabilných</w:t>
      </w:r>
      <w:r w:rsidRPr="00A92914" w:rsidR="002367DB">
        <w:rPr>
          <w:rFonts w:ascii="Times New Roman" w:hAnsi="Times New Roman"/>
          <w:szCs w:val="22"/>
        </w:rPr>
        <w:t xml:space="preserve"> nákladoch. Takýto stav portfólia umožní </w:t>
      </w:r>
      <w:r w:rsidRPr="00A92914" w:rsidR="006D7382">
        <w:rPr>
          <w:rFonts w:ascii="Times New Roman" w:hAnsi="Times New Roman"/>
          <w:szCs w:val="22"/>
        </w:rPr>
        <w:t xml:space="preserve">v budúcnosti </w:t>
      </w:r>
      <w:r w:rsidRPr="00A92914" w:rsidR="00CE3636">
        <w:rPr>
          <w:rFonts w:ascii="Times New Roman" w:hAnsi="Times New Roman"/>
          <w:szCs w:val="22"/>
        </w:rPr>
        <w:t xml:space="preserve">dlhodobejšie </w:t>
      </w:r>
      <w:r w:rsidRPr="00A92914" w:rsidR="002367DB">
        <w:rPr>
          <w:rFonts w:ascii="Times New Roman" w:hAnsi="Times New Roman"/>
          <w:szCs w:val="22"/>
        </w:rPr>
        <w:t>udržať približne rovnaké</w:t>
      </w:r>
      <w:r w:rsidRPr="00A92914" w:rsidR="00650E94">
        <w:rPr>
          <w:rFonts w:ascii="Times New Roman" w:hAnsi="Times New Roman"/>
          <w:szCs w:val="22"/>
        </w:rPr>
        <w:t xml:space="preserve"> relatívne</w:t>
      </w:r>
      <w:r w:rsidRPr="00A92914" w:rsidR="002367DB">
        <w:rPr>
          <w:rFonts w:ascii="Times New Roman" w:hAnsi="Times New Roman"/>
          <w:szCs w:val="22"/>
        </w:rPr>
        <w:t xml:space="preserve"> náklady (pri abstrahovaní od zväčšovania dlhu) aj pri zväčšení úrokových sadzieb na finančnom trhu pri dodržaní rizikových parametrov portfólia.</w:t>
      </w:r>
    </w:p>
    <w:p w:rsidR="00C13994" w:rsidRPr="00A92914" w:rsidP="00A92914">
      <w:pPr>
        <w:bidi w:val="0"/>
        <w:spacing w:after="120"/>
        <w:ind w:firstLine="708"/>
        <w:jc w:val="both"/>
        <w:rPr>
          <w:rFonts w:ascii="Times New Roman" w:hAnsi="Times New Roman"/>
          <w:szCs w:val="22"/>
        </w:rPr>
      </w:pPr>
      <w:r w:rsidRPr="00A92914">
        <w:rPr>
          <w:rFonts w:ascii="Times New Roman" w:hAnsi="Times New Roman"/>
          <w:szCs w:val="22"/>
        </w:rPr>
        <w:t xml:space="preserve">Navyše Slovensko svojím diverzifikačným úsilím ukázalo, že si </w:t>
      </w:r>
      <w:r w:rsidRPr="00A92914" w:rsidR="002367DB">
        <w:rPr>
          <w:rFonts w:ascii="Times New Roman" w:hAnsi="Times New Roman"/>
          <w:szCs w:val="22"/>
        </w:rPr>
        <w:t>dokáže</w:t>
      </w:r>
      <w:r w:rsidRPr="00A92914">
        <w:rPr>
          <w:rFonts w:ascii="Times New Roman" w:hAnsi="Times New Roman"/>
          <w:szCs w:val="22"/>
        </w:rPr>
        <w:t xml:space="preserve"> sprístupniť aj iné kapitálové trhy, </w:t>
      </w:r>
      <w:r w:rsidRPr="00A92914" w:rsidR="002367DB">
        <w:rPr>
          <w:rFonts w:ascii="Times New Roman" w:hAnsi="Times New Roman"/>
          <w:szCs w:val="22"/>
        </w:rPr>
        <w:t xml:space="preserve">napr. </w:t>
      </w:r>
      <w:r w:rsidRPr="00A92914">
        <w:rPr>
          <w:rFonts w:ascii="Times New Roman" w:hAnsi="Times New Roman"/>
          <w:szCs w:val="22"/>
        </w:rPr>
        <w:t>v roku 2012 švajčiarsky, americký</w:t>
      </w:r>
      <w:r w:rsidRPr="00A92914" w:rsidR="00650E94">
        <w:rPr>
          <w:rFonts w:ascii="Times New Roman" w:hAnsi="Times New Roman"/>
          <w:szCs w:val="22"/>
        </w:rPr>
        <w:t xml:space="preserve">, </w:t>
      </w:r>
      <w:r w:rsidRPr="00A92914">
        <w:rPr>
          <w:rFonts w:ascii="Times New Roman" w:hAnsi="Times New Roman"/>
          <w:szCs w:val="22"/>
        </w:rPr>
        <w:t>a ako prvá krajina aj český trh. V roku 2013 to bol japonský trh a v roku 2014 nórsky trh.</w:t>
      </w:r>
    </w:p>
    <w:p w:rsidR="009F6ABE" w:rsidRPr="00A92914" w:rsidP="00A92914">
      <w:pPr>
        <w:bidi w:val="0"/>
        <w:spacing w:after="120"/>
        <w:ind w:firstLine="708"/>
        <w:jc w:val="both"/>
        <w:rPr>
          <w:rFonts w:ascii="Times New Roman" w:hAnsi="Times New Roman"/>
          <w:szCs w:val="22"/>
        </w:rPr>
      </w:pPr>
      <w:r w:rsidRPr="00A92914" w:rsidR="00192C08">
        <w:rPr>
          <w:rFonts w:ascii="Times New Roman" w:hAnsi="Times New Roman"/>
          <w:szCs w:val="22"/>
        </w:rPr>
        <w:t xml:space="preserve">Vydávanie </w:t>
      </w:r>
      <w:r w:rsidRPr="00A92914" w:rsidR="001E2103">
        <w:rPr>
          <w:rFonts w:ascii="Times New Roman" w:hAnsi="Times New Roman"/>
          <w:szCs w:val="22"/>
        </w:rPr>
        <w:t>dlhopisov na zahraničných kapit</w:t>
      </w:r>
      <w:r w:rsidRPr="00A92914" w:rsidR="00192C08">
        <w:rPr>
          <w:rFonts w:ascii="Times New Roman" w:hAnsi="Times New Roman"/>
          <w:szCs w:val="22"/>
        </w:rPr>
        <w:t xml:space="preserve">álových trhoch </w:t>
      </w:r>
      <w:r w:rsidRPr="00A92914" w:rsidR="00981413">
        <w:rPr>
          <w:rFonts w:ascii="Times New Roman" w:hAnsi="Times New Roman"/>
          <w:szCs w:val="22"/>
        </w:rPr>
        <w:t>prináša</w:t>
      </w:r>
      <w:r w:rsidRPr="00A92914" w:rsidR="00192C08">
        <w:rPr>
          <w:rFonts w:ascii="Times New Roman" w:hAnsi="Times New Roman"/>
          <w:szCs w:val="22"/>
        </w:rPr>
        <w:t xml:space="preserve"> potrebu </w:t>
      </w:r>
      <w:r w:rsidRPr="00A92914" w:rsidR="003B235C">
        <w:rPr>
          <w:rFonts w:ascii="Times New Roman" w:hAnsi="Times New Roman"/>
          <w:szCs w:val="22"/>
        </w:rPr>
        <w:t>zabezpečenia rizík vyplývajúcich z tak</w:t>
      </w:r>
      <w:r w:rsidRPr="00A92914" w:rsidR="000B76CB">
        <w:rPr>
          <w:rFonts w:ascii="Times New Roman" w:hAnsi="Times New Roman"/>
          <w:szCs w:val="22"/>
        </w:rPr>
        <w:t>ýchto</w:t>
      </w:r>
      <w:r w:rsidRPr="00A92914" w:rsidR="003B235C">
        <w:rPr>
          <w:rFonts w:ascii="Times New Roman" w:hAnsi="Times New Roman"/>
          <w:szCs w:val="22"/>
        </w:rPr>
        <w:t xml:space="preserve"> emi</w:t>
      </w:r>
      <w:r w:rsidRPr="00A92914" w:rsidR="000B76CB">
        <w:rPr>
          <w:rFonts w:ascii="Times New Roman" w:hAnsi="Times New Roman"/>
          <w:szCs w:val="22"/>
        </w:rPr>
        <w:t>sií</w:t>
      </w:r>
      <w:r w:rsidRPr="00A92914" w:rsidR="00471F55">
        <w:rPr>
          <w:rFonts w:ascii="Times New Roman" w:hAnsi="Times New Roman"/>
          <w:szCs w:val="22"/>
        </w:rPr>
        <w:t xml:space="preserve"> derivátovými </w:t>
      </w:r>
      <w:r w:rsidRPr="00A92914" w:rsidR="00A37834">
        <w:rPr>
          <w:rFonts w:ascii="Times New Roman" w:hAnsi="Times New Roman"/>
          <w:szCs w:val="22"/>
        </w:rPr>
        <w:t>obchod</w:t>
      </w:r>
      <w:r w:rsidRPr="00A92914" w:rsidR="00471F55">
        <w:rPr>
          <w:rFonts w:ascii="Times New Roman" w:hAnsi="Times New Roman"/>
          <w:szCs w:val="22"/>
        </w:rPr>
        <w:t>mi</w:t>
      </w:r>
      <w:r w:rsidRPr="00A92914" w:rsidR="00A37834">
        <w:rPr>
          <w:rFonts w:ascii="Times New Roman" w:hAnsi="Times New Roman"/>
          <w:szCs w:val="22"/>
        </w:rPr>
        <w:t xml:space="preserve"> (</w:t>
      </w:r>
      <w:r w:rsidRPr="00A92914" w:rsidR="005F3123">
        <w:rPr>
          <w:rFonts w:ascii="Times New Roman" w:hAnsi="Times New Roman"/>
          <w:szCs w:val="22"/>
        </w:rPr>
        <w:t xml:space="preserve">hlavne </w:t>
      </w:r>
      <w:r w:rsidRPr="00A92914" w:rsidR="00A37834">
        <w:rPr>
          <w:rFonts w:ascii="Times New Roman" w:hAnsi="Times New Roman"/>
          <w:szCs w:val="22"/>
        </w:rPr>
        <w:t>CCIRS)</w:t>
      </w:r>
      <w:r w:rsidRPr="00A92914" w:rsidR="00471F55">
        <w:rPr>
          <w:rFonts w:ascii="Times New Roman" w:hAnsi="Times New Roman"/>
          <w:szCs w:val="22"/>
        </w:rPr>
        <w:t xml:space="preserve">. </w:t>
      </w:r>
      <w:r w:rsidRPr="00A92914" w:rsidR="00785A92">
        <w:rPr>
          <w:rFonts w:ascii="Times New Roman" w:hAnsi="Times New Roman"/>
          <w:szCs w:val="22"/>
        </w:rPr>
        <w:t xml:space="preserve">Vzhľadom k relatívne dlhej splatnosti derivátových obchodov, ktorá korešponduje so splatnosťou vydaných dlhopisov, je potrebná robustná právna dokumentácia (ISDA zmluva), ktorá </w:t>
      </w:r>
      <w:r w:rsidRPr="00A92914" w:rsidR="00650E94">
        <w:rPr>
          <w:rFonts w:ascii="Times New Roman" w:hAnsi="Times New Roman"/>
          <w:szCs w:val="22"/>
        </w:rPr>
        <w:t>„</w:t>
      </w:r>
      <w:r w:rsidRPr="00A92914" w:rsidR="00785A92">
        <w:rPr>
          <w:rFonts w:ascii="Times New Roman" w:hAnsi="Times New Roman"/>
          <w:szCs w:val="22"/>
        </w:rPr>
        <w:t>ošetruje</w:t>
      </w:r>
      <w:r w:rsidRPr="00A92914" w:rsidR="00650E94">
        <w:rPr>
          <w:rFonts w:ascii="Times New Roman" w:hAnsi="Times New Roman"/>
          <w:szCs w:val="22"/>
        </w:rPr>
        <w:t>“</w:t>
      </w:r>
      <w:r w:rsidRPr="00A92914" w:rsidR="00785A92">
        <w:rPr>
          <w:rFonts w:ascii="Times New Roman" w:hAnsi="Times New Roman"/>
          <w:szCs w:val="22"/>
        </w:rPr>
        <w:t xml:space="preserve"> takéto obchody</w:t>
      </w:r>
      <w:r w:rsidRPr="00A92914">
        <w:rPr>
          <w:rFonts w:ascii="Times New Roman" w:hAnsi="Times New Roman"/>
          <w:szCs w:val="22"/>
        </w:rPr>
        <w:t xml:space="preserve"> pre prípad zlyhania niektorej z protistrán</w:t>
      </w:r>
      <w:r w:rsidRPr="00A92914" w:rsidR="00785A92">
        <w:rPr>
          <w:rFonts w:ascii="Times New Roman" w:hAnsi="Times New Roman"/>
          <w:szCs w:val="22"/>
        </w:rPr>
        <w:t xml:space="preserve">. </w:t>
      </w:r>
      <w:r w:rsidRPr="00A92914">
        <w:rPr>
          <w:rFonts w:ascii="Times New Roman" w:hAnsi="Times New Roman"/>
          <w:szCs w:val="22"/>
        </w:rPr>
        <w:t xml:space="preserve">Kreditné riziko protistrany vyplývajúce zo zmeny trhovej hodnoty derivátu </w:t>
      </w:r>
      <w:r w:rsidRPr="00A92914" w:rsidR="00981413">
        <w:rPr>
          <w:rFonts w:ascii="Times New Roman" w:hAnsi="Times New Roman"/>
          <w:szCs w:val="22"/>
        </w:rPr>
        <w:t xml:space="preserve">výrazne </w:t>
      </w:r>
      <w:r w:rsidRPr="00A92914">
        <w:rPr>
          <w:rFonts w:ascii="Times New Roman" w:hAnsi="Times New Roman"/>
          <w:szCs w:val="22"/>
        </w:rPr>
        <w:t xml:space="preserve">znižuje tzv. kolateralizácia, ktorej pravidlá určuje dodatok (CSA) k  ISDA zmluve. </w:t>
      </w:r>
      <w:r w:rsidRPr="00A92914" w:rsidR="00C14C3D">
        <w:rPr>
          <w:rFonts w:ascii="Times New Roman" w:hAnsi="Times New Roman"/>
          <w:szCs w:val="22"/>
        </w:rPr>
        <w:t>Takáto komplexná dokumentácia je v súčasnej dobe trhovým štandardom.</w:t>
      </w:r>
    </w:p>
    <w:p w:rsidR="009F6ABE" w:rsidP="00A92914">
      <w:pPr>
        <w:bidi w:val="0"/>
        <w:spacing w:after="120"/>
        <w:ind w:firstLine="708"/>
        <w:jc w:val="both"/>
        <w:rPr>
          <w:rFonts w:ascii="Times New Roman" w:hAnsi="Times New Roman"/>
          <w:szCs w:val="22"/>
        </w:rPr>
      </w:pPr>
      <w:r w:rsidRPr="00A92914" w:rsidR="00C14C3D">
        <w:rPr>
          <w:rFonts w:ascii="Times New Roman" w:hAnsi="Times New Roman"/>
          <w:szCs w:val="22"/>
        </w:rPr>
        <w:t xml:space="preserve">Správa derivátového portfólia a s ňou súvisiace riadenie kolaterálov </w:t>
      </w:r>
      <w:r w:rsidRPr="00A92914" w:rsidR="005F3123">
        <w:rPr>
          <w:rFonts w:ascii="Times New Roman" w:hAnsi="Times New Roman"/>
          <w:szCs w:val="22"/>
        </w:rPr>
        <w:t>spôsobuje</w:t>
      </w:r>
      <w:r w:rsidRPr="00A92914" w:rsidR="00981413">
        <w:rPr>
          <w:rFonts w:ascii="Times New Roman" w:hAnsi="Times New Roman"/>
          <w:szCs w:val="22"/>
        </w:rPr>
        <w:t xml:space="preserve"> </w:t>
      </w:r>
      <w:r w:rsidRPr="00A92914" w:rsidR="005655F7">
        <w:rPr>
          <w:rFonts w:ascii="Times New Roman" w:hAnsi="Times New Roman"/>
          <w:szCs w:val="22"/>
        </w:rPr>
        <w:t xml:space="preserve">väčšie </w:t>
      </w:r>
      <w:r w:rsidRPr="00A92914" w:rsidR="00981413">
        <w:rPr>
          <w:rFonts w:ascii="Times New Roman" w:hAnsi="Times New Roman"/>
          <w:szCs w:val="22"/>
        </w:rPr>
        <w:t xml:space="preserve">personálne, procesné a systémové nároky. Ako kolaterál sa používa hotovosť v mene </w:t>
      </w:r>
      <w:r w:rsidRPr="00A92914" w:rsidR="005747A7">
        <w:rPr>
          <w:rFonts w:ascii="Times New Roman" w:hAnsi="Times New Roman"/>
          <w:szCs w:val="22"/>
        </w:rPr>
        <w:t>eur</w:t>
      </w:r>
      <w:r w:rsidRPr="00A92914" w:rsidR="00981413">
        <w:rPr>
          <w:rFonts w:ascii="Times New Roman" w:hAnsi="Times New Roman"/>
          <w:szCs w:val="22"/>
        </w:rPr>
        <w:t xml:space="preserve"> - zostatok na účte vedenom u protistrany, v prospech ktorej je aktuálna trhová hodnota derivátu</w:t>
      </w:r>
      <w:r w:rsidRPr="00A92914" w:rsidR="005F3123">
        <w:rPr>
          <w:rFonts w:ascii="Times New Roman" w:hAnsi="Times New Roman"/>
          <w:szCs w:val="22"/>
        </w:rPr>
        <w:t>. Takto prijatý kolaterál je záväzkom voči protistrane a</w:t>
      </w:r>
      <w:r w:rsidRPr="00A92914" w:rsidR="00173F16">
        <w:rPr>
          <w:rFonts w:ascii="Times New Roman" w:hAnsi="Times New Roman"/>
          <w:szCs w:val="22"/>
        </w:rPr>
        <w:t> stáva sa súčasťou dlhu.</w:t>
      </w:r>
    </w:p>
    <w:p w:rsidR="00FA7FF2" w:rsidRPr="00A92914" w:rsidP="00FA7FF2">
      <w:pPr>
        <w:bidi w:val="0"/>
        <w:ind w:firstLine="709"/>
        <w:jc w:val="both"/>
        <w:rPr>
          <w:rFonts w:ascii="Times New Roman" w:hAnsi="Times New Roman"/>
          <w:szCs w:val="22"/>
        </w:rPr>
      </w:pPr>
    </w:p>
    <w:p w:rsidR="003B3F5B" w:rsidRPr="00A92914" w:rsidP="00FA7FF2">
      <w:pPr>
        <w:pStyle w:val="Heading1"/>
        <w:numPr>
          <w:numId w:val="26"/>
        </w:numPr>
        <w:bidi w:val="0"/>
        <w:spacing w:before="0" w:after="120"/>
        <w:ind w:left="357" w:hanging="357"/>
        <w:rPr>
          <w:rFonts w:ascii="Times New Roman" w:hAnsi="Times New Roman" w:cs="Times New Roman"/>
          <w:sz w:val="28"/>
        </w:rPr>
      </w:pPr>
      <w:bookmarkStart w:id="30" w:name="_Toc384124260"/>
      <w:bookmarkStart w:id="31" w:name="_Toc394471509"/>
      <w:bookmarkStart w:id="32" w:name="_Toc394471859"/>
      <w:r w:rsidRPr="00A92914" w:rsidR="00BA2F20">
        <w:rPr>
          <w:rFonts w:ascii="Times New Roman" w:hAnsi="Times New Roman" w:cs="Times New Roman"/>
          <w:sz w:val="28"/>
        </w:rPr>
        <w:t>Makroekonomické východiská a fiškálny výhľad</w:t>
      </w:r>
      <w:bookmarkEnd w:id="31"/>
      <w:bookmarkEnd w:id="32"/>
    </w:p>
    <w:p w:rsidR="00235994" w:rsidRPr="00FA7FF2" w:rsidP="00FA7FF2">
      <w:pPr>
        <w:bidi w:val="0"/>
        <w:spacing w:before="240" w:after="120"/>
        <w:ind w:firstLine="360"/>
        <w:jc w:val="both"/>
        <w:rPr>
          <w:rFonts w:ascii="Times New Roman" w:hAnsi="Times New Roman"/>
        </w:rPr>
      </w:pPr>
      <w:bookmarkStart w:id="33" w:name="_Toc275948230"/>
      <w:r w:rsidRPr="00FA7FF2">
        <w:rPr>
          <w:rFonts w:ascii="Times New Roman" w:hAnsi="Times New Roman"/>
        </w:rPr>
        <w:t xml:space="preserve">Svetová ekonomika prešla v uplynulých rokoch krehkým zotavovaním sa po najhoršej hospodárskej kríze od Veľkej hospodárskej krízy v 30-tych rokoch 20. storočia. Situácia na finančných trhoch sa výrazne stabilizovala predovšetkým od roku 2012 pod výrazným vplyvom konania centrálnych bánk. Ekonomiky viacerých krajín vrátane Slovenska zaznamenali </w:t>
      </w:r>
      <w:r w:rsidRPr="00FA7FF2" w:rsidR="007E7CDC">
        <w:rPr>
          <w:rFonts w:ascii="Times New Roman" w:hAnsi="Times New Roman"/>
        </w:rPr>
        <w:t xml:space="preserve">výrazný pokles úrokových sadzieb a zlepšenie podmienok na riadenie dlhu. </w:t>
      </w:r>
      <w:r w:rsidRPr="00FA7FF2">
        <w:rPr>
          <w:rFonts w:ascii="Times New Roman" w:hAnsi="Times New Roman"/>
        </w:rPr>
        <w:t xml:space="preserve">Takýto vývoj mal vplyv aj na makroekonomickú a fiškálnu situáciu na Slovensku a ovplyvňoval riadenie štátneho dlhu v horizonte </w:t>
      </w:r>
      <w:r w:rsidRPr="00FA7FF2">
        <w:rPr>
          <w:rFonts w:ascii="Times New Roman" w:hAnsi="Times New Roman"/>
          <w:i/>
        </w:rPr>
        <w:t>Stratégie riadenia štátneho dlhu na roky 20</w:t>
      </w:r>
      <w:r w:rsidRPr="00FA7FF2" w:rsidR="007E7CDC">
        <w:rPr>
          <w:rFonts w:ascii="Times New Roman" w:hAnsi="Times New Roman"/>
          <w:i/>
        </w:rPr>
        <w:t>11</w:t>
      </w:r>
      <w:r w:rsidRPr="00FA7FF2">
        <w:rPr>
          <w:rFonts w:ascii="Times New Roman" w:hAnsi="Times New Roman"/>
          <w:i/>
        </w:rPr>
        <w:t xml:space="preserve"> až 201</w:t>
      </w:r>
      <w:r w:rsidRPr="00FA7FF2" w:rsidR="007E7CDC">
        <w:rPr>
          <w:rFonts w:ascii="Times New Roman" w:hAnsi="Times New Roman"/>
          <w:i/>
        </w:rPr>
        <w:t>4</w:t>
      </w:r>
      <w:r w:rsidRPr="00FA7FF2">
        <w:rPr>
          <w:rFonts w:ascii="Times New Roman" w:hAnsi="Times New Roman"/>
        </w:rPr>
        <w:t xml:space="preserve">. </w:t>
      </w:r>
      <w:r w:rsidRPr="00FA7FF2" w:rsidR="007E7CDC">
        <w:rPr>
          <w:rFonts w:ascii="Times New Roman" w:hAnsi="Times New Roman"/>
        </w:rPr>
        <w:t>V</w:t>
      </w:r>
      <w:r w:rsidRPr="00FA7FF2">
        <w:rPr>
          <w:rFonts w:ascii="Times New Roman" w:hAnsi="Times New Roman"/>
        </w:rPr>
        <w:t> nasledujúcich rokoch</w:t>
      </w:r>
      <w:r w:rsidRPr="00FA7FF2" w:rsidR="007E7CDC">
        <w:rPr>
          <w:rFonts w:ascii="Times New Roman" w:hAnsi="Times New Roman"/>
        </w:rPr>
        <w:t xml:space="preserve"> sa p</w:t>
      </w:r>
      <w:r w:rsidRPr="00FA7FF2">
        <w:rPr>
          <w:rFonts w:ascii="Times New Roman" w:hAnsi="Times New Roman"/>
        </w:rPr>
        <w:t xml:space="preserve">redpokladá </w:t>
      </w:r>
      <w:r w:rsidRPr="00FA7FF2" w:rsidR="007E7CDC">
        <w:rPr>
          <w:rFonts w:ascii="Times New Roman" w:hAnsi="Times New Roman"/>
        </w:rPr>
        <w:t>pokračujúce oživenie ekonomík a postupný nárast sadzieb z ich historických miním, čo bude ovplyv</w:t>
      </w:r>
      <w:r w:rsidRPr="00FA7FF2">
        <w:rPr>
          <w:rFonts w:ascii="Times New Roman" w:hAnsi="Times New Roman"/>
        </w:rPr>
        <w:t>ňovať ekonomiku a riadenie dlhu aj v najbližších rokoch</w:t>
      </w:r>
      <w:r w:rsidRPr="00FA7FF2" w:rsidR="005F583B">
        <w:rPr>
          <w:rFonts w:ascii="Times New Roman" w:hAnsi="Times New Roman"/>
        </w:rPr>
        <w:t>,</w:t>
      </w:r>
      <w:r w:rsidRPr="00FA7FF2">
        <w:rPr>
          <w:rFonts w:ascii="Times New Roman" w:hAnsi="Times New Roman"/>
        </w:rPr>
        <w:t xml:space="preserve"> v horizonte stratégie na roky 201</w:t>
      </w:r>
      <w:r w:rsidRPr="00FA7FF2" w:rsidR="007E7CDC">
        <w:rPr>
          <w:rFonts w:ascii="Times New Roman" w:hAnsi="Times New Roman"/>
        </w:rPr>
        <w:t>5</w:t>
      </w:r>
      <w:r w:rsidRPr="00FA7FF2">
        <w:rPr>
          <w:rFonts w:ascii="Times New Roman" w:hAnsi="Times New Roman"/>
        </w:rPr>
        <w:t xml:space="preserve"> až 201</w:t>
      </w:r>
      <w:r w:rsidRPr="00FA7FF2" w:rsidR="007E7CDC">
        <w:rPr>
          <w:rFonts w:ascii="Times New Roman" w:hAnsi="Times New Roman"/>
        </w:rPr>
        <w:t>8</w:t>
      </w:r>
      <w:r w:rsidRPr="00FA7FF2">
        <w:rPr>
          <w:rFonts w:ascii="Times New Roman" w:hAnsi="Times New Roman"/>
        </w:rPr>
        <w:t>.</w:t>
      </w:r>
    </w:p>
    <w:p w:rsidR="00235994" w:rsidRPr="00FA7FF2" w:rsidP="004B7C2E">
      <w:pPr>
        <w:pStyle w:val="Heading1"/>
        <w:numPr>
          <w:ilvl w:val="1"/>
          <w:numId w:val="26"/>
        </w:numPr>
        <w:bidi w:val="0"/>
        <w:spacing w:before="360" w:after="240"/>
        <w:rPr>
          <w:rFonts w:ascii="Times New Roman" w:hAnsi="Times New Roman" w:cs="Times New Roman"/>
          <w:sz w:val="24"/>
          <w:szCs w:val="24"/>
        </w:rPr>
      </w:pPr>
      <w:bookmarkStart w:id="34" w:name="_Toc394471510"/>
      <w:bookmarkStart w:id="35" w:name="_Toc394471860"/>
      <w:r w:rsidRPr="00FA7FF2">
        <w:rPr>
          <w:rFonts w:ascii="Times New Roman" w:hAnsi="Times New Roman" w:cs="Times New Roman"/>
          <w:sz w:val="24"/>
          <w:szCs w:val="24"/>
        </w:rPr>
        <w:t>Vývoj na finančných trhoch a makroekonomické východiská</w:t>
      </w:r>
      <w:bookmarkEnd w:id="33"/>
      <w:bookmarkEnd w:id="34"/>
      <w:bookmarkEnd w:id="35"/>
    </w:p>
    <w:p w:rsidR="00F437F2" w:rsidRPr="00FA7FF2" w:rsidP="00FA7FF2">
      <w:pPr>
        <w:bidi w:val="0"/>
        <w:spacing w:before="240" w:after="120"/>
        <w:ind w:firstLine="708"/>
        <w:jc w:val="both"/>
        <w:rPr>
          <w:rFonts w:ascii="Times New Roman" w:hAnsi="Times New Roman"/>
        </w:rPr>
      </w:pPr>
      <w:bookmarkStart w:id="36" w:name="_Toc394471515"/>
      <w:bookmarkStart w:id="37" w:name="_Toc394471861"/>
      <w:r w:rsidRPr="00FA7FF2">
        <w:rPr>
          <w:rFonts w:ascii="Times New Roman" w:hAnsi="Times New Roman"/>
        </w:rPr>
        <w:t>Obdobie predošlej stratégie sa nieslo v duchu doznievania krízy a snahe centrálnych bánk o naštartovanie hospodárskeho rastu cez bezprecedentne uvoľnenú monetárnu politiku. Základné sadzby hlavných centrálnych bánk sa tak držali na rekordných minimách, rovnako ako sadzby na peňažnom trhu. Akcie sa z krízy zotavili relatívne rýchlo a väčšina svetových indexov prekonala svoje dlhoročné alebo historické maximá. Výrazne sa upokojila aj situácia na dlhopisovom trhu, kde klesali výnosy dlhopisov naprieč celým spektrom, od korporátnych po vládne, od krajín bezpečného jadra eurozóny až po periférne krajiny na juhu Európy.</w:t>
      </w:r>
    </w:p>
    <w:p w:rsidR="00F437F2" w:rsidRPr="00FA7FF2" w:rsidP="00FA7FF2">
      <w:pPr>
        <w:bidi w:val="0"/>
        <w:spacing w:before="120" w:after="120"/>
        <w:ind w:firstLine="708"/>
        <w:jc w:val="both"/>
        <w:rPr>
          <w:rFonts w:ascii="Times New Roman" w:hAnsi="Times New Roman"/>
        </w:rPr>
      </w:pPr>
      <w:r w:rsidRPr="00FA7FF2">
        <w:rPr>
          <w:rFonts w:ascii="Times New Roman" w:hAnsi="Times New Roman"/>
        </w:rPr>
        <w:t xml:space="preserve">Americký FED udržiaval v rokoch 2011 – 2014 uvoľnenú menovú politiku. Základná sadzba bola naďalej na historicky najnižšej úrovni 0,25 % p. a.. FED tiež pokračoval vo využívaní nekonvenčných nástrojov. V prvej polovici roka 2011 sa skončilo druhé kolo kvantitatívneho uvoľňovania, počas ktorého FED nakúpil štátne dlhopisy v hodnote </w:t>
      </w:r>
      <w:r w:rsidR="00331CB4">
        <w:rPr>
          <w:rFonts w:ascii="Times New Roman" w:hAnsi="Times New Roman"/>
        </w:rPr>
        <w:br/>
      </w:r>
      <w:r w:rsidRPr="00FA7FF2">
        <w:rPr>
          <w:rFonts w:ascii="Times New Roman" w:hAnsi="Times New Roman"/>
        </w:rPr>
        <w:t xml:space="preserve">600 mld. USD. Tretie kolo kvantitatívneho uvoľňovania bolo ohlásené v septembri roka 2012 bez vopred stanovenej doby ukončenia. Mesačné nákupy aktív (americké dlhopisy a hypotekárne cenné papiere) boli v decembri 2012 navýšené z pôvodných 40 mld. na </w:t>
      </w:r>
      <w:r w:rsidR="00331CB4">
        <w:rPr>
          <w:rFonts w:ascii="Times New Roman" w:hAnsi="Times New Roman"/>
        </w:rPr>
        <w:br/>
      </w:r>
      <w:r w:rsidRPr="00FA7FF2">
        <w:rPr>
          <w:rFonts w:ascii="Times New Roman" w:hAnsi="Times New Roman"/>
        </w:rPr>
        <w:t>85 mld. USD a postupne klesali až od začiatku roka 2014. FED plánuje ukončenie nákupov aktív v októbri 2014 a zvyšovanie sadzieb v roku 2015.</w:t>
      </w:r>
    </w:p>
    <w:p w:rsidR="00F437F2" w:rsidRPr="00FA7FF2" w:rsidP="00FA7FF2">
      <w:pPr>
        <w:bidi w:val="0"/>
        <w:spacing w:before="120" w:after="120"/>
        <w:ind w:firstLine="708"/>
        <w:jc w:val="both"/>
        <w:rPr>
          <w:rFonts w:ascii="Times New Roman" w:hAnsi="Times New Roman"/>
        </w:rPr>
      </w:pPr>
      <w:r w:rsidRPr="00FA7FF2">
        <w:rPr>
          <w:rFonts w:ascii="Times New Roman" w:hAnsi="Times New Roman"/>
        </w:rPr>
        <w:t>ECB po krátkodobom navýšení základnej sadzby v roku 2011 z 1 % p. a. na 1,5 % p. a. pokračovala po vzore FEDu v uvoľňovaní svojej menovej politiky. Všetky úrokové sadzby boli postupne (naposledy v septembri 2014) znížené na historické minimum. Základná úroková sadzba je v súčasnosti 0,05 % p. a. a depozitná sadzba je -0,2 % p. a. Bezprecedentné nastavenie depozitnej sadzby do záporných hodnôt má motivovať banky k poskytovaniu úverov. ECB tiež pokračovala v podpore ekonomiky eurozóny s využitím dlhodobých refinančných operácií (LTRO) a ústnymi intervenciami. Úvery s nízkym úrokom poskytla ECB na dobu 36 mesiacov v roku 2011 (489,2 mld. eur) a 2012 (529,5 mld. eur). V roku 2012 sľuboval prezident ECB, Mario Draghi, bezprostredné nákupy dlhopisov problémových krajín eurozóny. Jeho vyhlásenia pomohli k upokojeniu nálad na trhu a eliminovali riziko rozpadu eurozóny. Na začiatku septembra 2014 ohlásila ECB vzhľadom na pretrvávajúce nízke inflačné očakávania programy na nákup sekuritizovaných aktív (tzv. ABS) nefinančného privátneho sektora a krytých dlhopisov finančného sektora. V septembri tiež prebehlo prvé z ôsmich kôl cielených LTRO (tzv. TLTRO), v kto</w:t>
      </w:r>
      <w:r w:rsidR="00331CB4">
        <w:rPr>
          <w:rFonts w:ascii="Times New Roman" w:hAnsi="Times New Roman"/>
        </w:rPr>
        <w:t xml:space="preserve">rom sa bankám alokovalo celkom </w:t>
        <w:br/>
      </w:r>
      <w:r w:rsidRPr="00FA7FF2">
        <w:rPr>
          <w:rFonts w:ascii="Times New Roman" w:hAnsi="Times New Roman"/>
        </w:rPr>
        <w:t>82,6 mld</w:t>
      </w:r>
      <w:r w:rsidR="00331CB4">
        <w:rPr>
          <w:rFonts w:ascii="Times New Roman" w:hAnsi="Times New Roman"/>
        </w:rPr>
        <w:t>. eur</w:t>
      </w:r>
      <w:r w:rsidRPr="00FA7FF2">
        <w:rPr>
          <w:rFonts w:ascii="Times New Roman" w:hAnsi="Times New Roman"/>
        </w:rPr>
        <w:t>. Predstavené programy by mali podporou úverovania reálnej ekonomiky zlepšiť transmisný kanál menovej politiky a povzbudiť inflačné očakávania do budúcnosti. Očakáva sa dlhodobejšie udržanie nízkych sadzieb zo strany ECB.</w:t>
      </w:r>
    </w:p>
    <w:p w:rsidR="00F437F2" w:rsidRPr="00FA7FF2" w:rsidP="00FA7FF2">
      <w:pPr>
        <w:bidi w:val="0"/>
        <w:spacing w:before="120" w:after="120"/>
        <w:ind w:firstLine="708"/>
        <w:jc w:val="both"/>
        <w:rPr>
          <w:rFonts w:ascii="Times New Roman" w:hAnsi="Times New Roman"/>
        </w:rPr>
      </w:pPr>
      <w:r w:rsidRPr="00FA7FF2">
        <w:rPr>
          <w:rFonts w:ascii="Times New Roman" w:hAnsi="Times New Roman"/>
        </w:rPr>
        <w:t>Medzibankové sadzby kopírovali v prevažnej miere vývoj základných sadzieb ECB až do polovice roka 2012, kedy prudko klesli. Od konca roku 2012 sa medzibankové sadzby držia na nízkych úrovniach, ale so zvýšenou volatilitou od 4. kvartálu 2013. Posledné znižovanie sadzieb ECB posunulo jednodňové medzibankové sadzby k nule a prispelo k ďalšiemu zníženiu 3-mesačného Euriboru pod 0,1 % p. a.. Očakáva sa, že medzibankové sadzby sa budú držať naďalej veľmi nízko a začnú rásť až so zvyšovaním sadzieb centrálnych bánk.</w:t>
      </w:r>
    </w:p>
    <w:p w:rsidR="00F437F2" w:rsidRPr="00A92914" w:rsidP="00F437F2">
      <w:pPr>
        <w:bidi w:val="0"/>
        <w:spacing w:before="240" w:after="120"/>
        <w:jc w:val="both"/>
        <w:rPr>
          <w:rFonts w:ascii="Times New Roman" w:hAnsi="Times New Roman"/>
          <w:sz w:val="22"/>
          <w:szCs w:val="22"/>
        </w:rPr>
      </w:pPr>
      <w:r w:rsidRPr="00A92914">
        <w:rPr>
          <w:rFonts w:ascii="Times New Roman" w:hAnsi="Times New Roman"/>
          <w:sz w:val="22"/>
          <w:szCs w:val="22"/>
        </w:rPr>
        <w:br w:type="page"/>
      </w:r>
    </w:p>
    <w:tbl>
      <w:tblPr>
        <w:tblStyle w:val="TableNormal"/>
        <w:tblW w:w="9287" w:type="dxa"/>
        <w:jc w:val="center"/>
        <w:tblCellMar>
          <w:left w:w="70" w:type="dxa"/>
          <w:right w:w="70" w:type="dxa"/>
        </w:tblCellMar>
      </w:tblPr>
      <w:tblGrid>
        <w:gridCol w:w="4748"/>
        <w:gridCol w:w="222"/>
        <w:gridCol w:w="4544"/>
      </w:tblGrid>
      <w:tr>
        <w:tblPrEx>
          <w:tblW w:w="9287" w:type="dxa"/>
          <w:jc w:val="center"/>
          <w:tblCellMar>
            <w:left w:w="70" w:type="dxa"/>
            <w:right w:w="70" w:type="dxa"/>
          </w:tblCellMar>
        </w:tblPrEx>
        <w:trPr>
          <w:trHeight w:val="316"/>
          <w:jc w:val="center"/>
        </w:trPr>
        <w:tc>
          <w:tcPr>
            <w:tcW w:w="4748" w:type="dxa"/>
            <w:tcBorders>
              <w:top w:val="nil"/>
              <w:left w:val="nil"/>
              <w:bottom w:val="nil"/>
              <w:right w:val="nil"/>
            </w:tcBorders>
            <w:shd w:val="clear" w:color="auto" w:fill="A6A6A6"/>
            <w:noWrap/>
            <w:textDirection w:val="lrTb"/>
            <w:vAlign w:val="center"/>
          </w:tcPr>
          <w:p w:rsidR="00F437F2" w:rsidRPr="00A92914" w:rsidP="00EE6E34">
            <w:pPr>
              <w:bidi w:val="0"/>
              <w:rPr>
                <w:rFonts w:ascii="Times New Roman" w:hAnsi="Times New Roman"/>
                <w:b/>
                <w:bCs/>
                <w:sz w:val="20"/>
                <w:szCs w:val="20"/>
              </w:rPr>
            </w:pPr>
            <w:bookmarkStart w:id="38" w:name="_Toc252805703"/>
            <w:bookmarkStart w:id="39" w:name="_Toc275948231"/>
            <w:bookmarkStart w:id="40" w:name="_Toc394047562"/>
            <w:bookmarkStart w:id="41" w:name="_Toc394471511"/>
            <w:r w:rsidRPr="00A92914">
              <w:rPr>
                <w:rFonts w:ascii="Times New Roman" w:hAnsi="Times New Roman"/>
                <w:b/>
                <w:bCs/>
                <w:sz w:val="20"/>
                <w:szCs w:val="20"/>
              </w:rPr>
              <w:t>Vývoj základných sadzieb centrálnych bank (% p. a.)</w:t>
            </w:r>
            <w:bookmarkEnd w:id="38"/>
            <w:bookmarkEnd w:id="39"/>
            <w:bookmarkEnd w:id="40"/>
            <w:bookmarkEnd w:id="41"/>
          </w:p>
        </w:tc>
        <w:tc>
          <w:tcPr>
            <w:tcW w:w="222" w:type="dxa"/>
            <w:tcBorders>
              <w:top w:val="nil"/>
              <w:left w:val="nil"/>
              <w:bottom w:val="nil"/>
              <w:right w:val="nil"/>
            </w:tcBorders>
            <w:noWrap/>
            <w:textDirection w:val="lrTb"/>
            <w:vAlign w:val="center"/>
          </w:tcPr>
          <w:p w:rsidR="00F437F2" w:rsidRPr="00A92914" w:rsidP="00EE6E34">
            <w:pPr>
              <w:bidi w:val="0"/>
              <w:rPr>
                <w:rFonts w:ascii="Times New Roman" w:hAnsi="Times New Roman"/>
                <w:b/>
                <w:bCs/>
                <w:sz w:val="20"/>
                <w:szCs w:val="20"/>
              </w:rPr>
            </w:pPr>
          </w:p>
        </w:tc>
        <w:tc>
          <w:tcPr>
            <w:tcW w:w="4317" w:type="dxa"/>
            <w:tcBorders>
              <w:top w:val="nil"/>
              <w:left w:val="nil"/>
              <w:bottom w:val="nil"/>
              <w:right w:val="nil"/>
            </w:tcBorders>
            <w:shd w:val="clear" w:color="auto" w:fill="A6A6A6"/>
            <w:noWrap/>
            <w:textDirection w:val="lrTb"/>
            <w:vAlign w:val="center"/>
          </w:tcPr>
          <w:p w:rsidR="00F437F2" w:rsidRPr="00A92914" w:rsidP="00EE6E34">
            <w:pPr>
              <w:bidi w:val="0"/>
              <w:rPr>
                <w:rFonts w:ascii="Times New Roman" w:hAnsi="Times New Roman"/>
                <w:bCs/>
                <w:color w:val="FFFFFF"/>
                <w:sz w:val="20"/>
                <w:szCs w:val="20"/>
              </w:rPr>
            </w:pPr>
            <w:bookmarkStart w:id="42" w:name="_Toc252805704"/>
            <w:bookmarkStart w:id="43" w:name="_Toc275948232"/>
            <w:bookmarkStart w:id="44" w:name="_Toc394047563"/>
            <w:bookmarkStart w:id="45" w:name="_Toc394471512"/>
            <w:r w:rsidRPr="00A92914">
              <w:rPr>
                <w:rFonts w:ascii="Times New Roman" w:hAnsi="Times New Roman"/>
                <w:b/>
                <w:bCs/>
                <w:sz w:val="20"/>
                <w:szCs w:val="20"/>
              </w:rPr>
              <w:t>Vývoj medzibankových sadzieb (% p. a.)</w:t>
            </w:r>
            <w:bookmarkEnd w:id="42"/>
            <w:bookmarkEnd w:id="43"/>
            <w:bookmarkEnd w:id="44"/>
            <w:bookmarkEnd w:id="45"/>
          </w:p>
        </w:tc>
      </w:tr>
      <w:tr>
        <w:tblPrEx>
          <w:tblW w:w="9287" w:type="dxa"/>
          <w:jc w:val="center"/>
        </w:tblPrEx>
        <w:trPr>
          <w:trHeight w:val="2872"/>
          <w:jc w:val="center"/>
        </w:trPr>
        <w:tc>
          <w:tcPr>
            <w:tcW w:w="4748"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r>
              <w:rPr>
                <w:rFonts w:ascii="Times New Roman" w:hAnsi="Times New Roman"/>
                <w:rtl w:val="0"/>
                <w:lang w:val="en-US"/>
              </w:rPr>
              <w:pict>
                <v:shape id="Graf 1" o:spid="_x0000_i1029" type="#_x0000_t75" style="width:222.48pt;height:166.77pt" o:preferrelative="t" stroked="f">
                  <v:imagedata r:id="rId10" r:href="rId11" o:title=""/>
                </v:shape>
              </w:pict>
            </w:r>
          </w:p>
        </w:tc>
        <w:tc>
          <w:tcPr>
            <w:tcW w:w="222"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p>
        </w:tc>
        <w:tc>
          <w:tcPr>
            <w:tcW w:w="4317"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r>
              <w:rPr>
                <w:rFonts w:ascii="Times New Roman" w:hAnsi="Times New Roman"/>
                <w:sz w:val="20"/>
                <w:szCs w:val="20"/>
              </w:rPr>
              <w:pict>
                <v:shape id="_x0000_i1030" type="#_x0000_t75" style="width:216.25pt;height:172.8pt;mso-position-horizontal-relative:char;mso-position-vertical-relative:line">
                  <v:imagedata r:id="rId12" o:title=""/>
                  <o:diagram v:ext="edit"/>
                  <w10:wrap type="none"/>
                  <w10:anchorlock/>
                </v:shape>
              </w:pict>
            </w:r>
          </w:p>
        </w:tc>
      </w:tr>
      <w:tr>
        <w:tblPrEx>
          <w:tblW w:w="9287" w:type="dxa"/>
          <w:jc w:val="center"/>
          <w:tblCellMar>
            <w:left w:w="70" w:type="dxa"/>
            <w:right w:w="70" w:type="dxa"/>
          </w:tblCellMar>
        </w:tblPrEx>
        <w:trPr>
          <w:trHeight w:val="237"/>
          <w:jc w:val="center"/>
        </w:trPr>
        <w:tc>
          <w:tcPr>
            <w:tcW w:w="4748" w:type="dxa"/>
            <w:tcBorders>
              <w:top w:val="single" w:sz="4" w:space="0" w:color="auto"/>
              <w:left w:val="nil"/>
              <w:bottom w:val="nil"/>
              <w:right w:val="nil"/>
            </w:tcBorders>
            <w:noWrap/>
            <w:textDirection w:val="lrTb"/>
            <w:vAlign w:val="center"/>
          </w:tcPr>
          <w:p w:rsidR="00F437F2" w:rsidRPr="00A92914" w:rsidP="00EE6E34">
            <w:pPr>
              <w:bidi w:val="0"/>
              <w:jc w:val="right"/>
              <w:rPr>
                <w:rFonts w:ascii="Times New Roman" w:hAnsi="Times New Roman"/>
                <w:i/>
                <w:iCs/>
                <w:sz w:val="16"/>
                <w:szCs w:val="16"/>
              </w:rPr>
            </w:pPr>
            <w:r w:rsidRPr="00A92914">
              <w:rPr>
                <w:rFonts w:ascii="Times New Roman" w:hAnsi="Times New Roman"/>
                <w:i/>
                <w:iCs/>
                <w:sz w:val="16"/>
                <w:szCs w:val="16"/>
              </w:rPr>
              <w:t>Zdroj: Bloomberg</w:t>
            </w:r>
          </w:p>
        </w:tc>
        <w:tc>
          <w:tcPr>
            <w:tcW w:w="222" w:type="dxa"/>
            <w:tcBorders>
              <w:top w:val="nil"/>
              <w:left w:val="nil"/>
              <w:bottom w:val="nil"/>
              <w:right w:val="nil"/>
            </w:tcBorders>
            <w:noWrap/>
            <w:textDirection w:val="lrTb"/>
            <w:vAlign w:val="center"/>
          </w:tcPr>
          <w:p w:rsidR="00F437F2" w:rsidRPr="00A92914" w:rsidP="00EE6E34">
            <w:pPr>
              <w:bidi w:val="0"/>
              <w:jc w:val="right"/>
              <w:rPr>
                <w:rFonts w:ascii="Times New Roman" w:hAnsi="Times New Roman"/>
                <w:sz w:val="20"/>
                <w:szCs w:val="20"/>
              </w:rPr>
            </w:pPr>
          </w:p>
        </w:tc>
        <w:tc>
          <w:tcPr>
            <w:tcW w:w="4317" w:type="dxa"/>
            <w:tcBorders>
              <w:top w:val="single" w:sz="4" w:space="0" w:color="auto"/>
              <w:left w:val="nil"/>
              <w:bottom w:val="nil"/>
              <w:right w:val="nil"/>
            </w:tcBorders>
            <w:noWrap/>
            <w:textDirection w:val="lrTb"/>
            <w:vAlign w:val="center"/>
          </w:tcPr>
          <w:p w:rsidR="00F437F2" w:rsidRPr="00A92914" w:rsidP="00EE6E34">
            <w:pPr>
              <w:bidi w:val="0"/>
              <w:jc w:val="right"/>
              <w:rPr>
                <w:rFonts w:ascii="Times New Roman" w:hAnsi="Times New Roman"/>
                <w:i/>
                <w:iCs/>
                <w:sz w:val="16"/>
                <w:szCs w:val="16"/>
              </w:rPr>
            </w:pPr>
            <w:r w:rsidRPr="00A92914">
              <w:rPr>
                <w:rFonts w:ascii="Times New Roman" w:hAnsi="Times New Roman"/>
                <w:i/>
                <w:iCs/>
                <w:sz w:val="16"/>
                <w:szCs w:val="16"/>
              </w:rPr>
              <w:t>Zdroj:Bloomberg</w:t>
            </w:r>
          </w:p>
        </w:tc>
      </w:tr>
    </w:tbl>
    <w:p w:rsidR="00F437F2" w:rsidRPr="00FA7FF2" w:rsidP="00FA7FF2">
      <w:pPr>
        <w:bidi w:val="0"/>
        <w:spacing w:before="240" w:after="120"/>
        <w:ind w:firstLine="708"/>
        <w:jc w:val="both"/>
        <w:rPr>
          <w:rFonts w:ascii="Times New Roman" w:hAnsi="Times New Roman"/>
        </w:rPr>
      </w:pPr>
      <w:r w:rsidRPr="00FA7FF2">
        <w:rPr>
          <w:rFonts w:ascii="Times New Roman" w:hAnsi="Times New Roman"/>
        </w:rPr>
        <w:t>Stabilizácia na trhoch Európy, nízke sadzby a injekcie likvidity od centrálnych bánk pomohli k zníženiu výnosov aj slovenských dlhopisov na historicky najnižšie úrovne. Výnos 3-ročných dlhopisov sa v súčasnosti pohybuje pod 0,2 % p. a. a výnos 10-ročných dlhopisov je pod 1,6 % p. a.. Spready voči referenčným nemeckým dlhopisom klesali takmer po celej dĺžke horizontu predchádzajúcej stratégie a výrazne sa priblížili k spreadom Českej republiky. V nasledujúcich rokoch je možné očakávať postupné vyrovnávanie výnosovej krivky prostredníctvom prudšieho nárastu výnosov pri krátkych splatnostiach a  miernejšieho nárastu výnosov dlhých splatností.</w:t>
      </w:r>
    </w:p>
    <w:tbl>
      <w:tblPr>
        <w:tblStyle w:val="TableNormal"/>
        <w:tblW w:w="9212" w:type="dxa"/>
        <w:jc w:val="center"/>
        <w:tblCellMar>
          <w:left w:w="70" w:type="dxa"/>
          <w:right w:w="70" w:type="dxa"/>
        </w:tblCellMar>
      </w:tblPr>
      <w:tblGrid>
        <w:gridCol w:w="4546"/>
        <w:gridCol w:w="222"/>
        <w:gridCol w:w="4444"/>
      </w:tblGrid>
      <w:tr>
        <w:tblPrEx>
          <w:tblW w:w="9212" w:type="dxa"/>
          <w:jc w:val="center"/>
          <w:tblCellMar>
            <w:left w:w="70" w:type="dxa"/>
            <w:right w:w="70" w:type="dxa"/>
          </w:tblCellMar>
        </w:tblPrEx>
        <w:trPr>
          <w:trHeight w:val="316"/>
          <w:jc w:val="center"/>
        </w:trPr>
        <w:tc>
          <w:tcPr>
            <w:tcW w:w="4467" w:type="dxa"/>
            <w:tcBorders>
              <w:top w:val="nil"/>
              <w:left w:val="nil"/>
              <w:bottom w:val="nil"/>
              <w:right w:val="nil"/>
            </w:tcBorders>
            <w:shd w:val="clear" w:color="auto" w:fill="A6A6A6"/>
            <w:noWrap/>
            <w:textDirection w:val="lrTb"/>
            <w:vAlign w:val="center"/>
          </w:tcPr>
          <w:p w:rsidR="00F437F2" w:rsidRPr="00A92914" w:rsidP="00EE6E34">
            <w:pPr>
              <w:bidi w:val="0"/>
              <w:rPr>
                <w:rFonts w:ascii="Times New Roman" w:hAnsi="Times New Roman"/>
                <w:b/>
                <w:bCs/>
                <w:sz w:val="20"/>
                <w:szCs w:val="20"/>
              </w:rPr>
            </w:pPr>
            <w:bookmarkStart w:id="46" w:name="_Toc252805705"/>
            <w:bookmarkStart w:id="47" w:name="_Toc275948233"/>
            <w:bookmarkStart w:id="48" w:name="_Toc394047564"/>
            <w:bookmarkStart w:id="49" w:name="_Toc394471513"/>
            <w:r w:rsidRPr="00A92914">
              <w:rPr>
                <w:rFonts w:ascii="Times New Roman" w:hAnsi="Times New Roman"/>
                <w:b/>
                <w:bCs/>
                <w:sz w:val="20"/>
                <w:szCs w:val="20"/>
              </w:rPr>
              <w:t>Vývoj výnosov slovenských dlhopisov podľa doby splatnosti (% p. a.)</w:t>
            </w:r>
            <w:bookmarkEnd w:id="46"/>
            <w:bookmarkEnd w:id="47"/>
            <w:bookmarkEnd w:id="48"/>
            <w:bookmarkEnd w:id="49"/>
          </w:p>
        </w:tc>
        <w:tc>
          <w:tcPr>
            <w:tcW w:w="222" w:type="dxa"/>
            <w:tcBorders>
              <w:top w:val="nil"/>
              <w:left w:val="nil"/>
              <w:bottom w:val="nil"/>
              <w:right w:val="nil"/>
            </w:tcBorders>
            <w:noWrap/>
            <w:textDirection w:val="lrTb"/>
            <w:vAlign w:val="center"/>
          </w:tcPr>
          <w:p w:rsidR="00F437F2" w:rsidRPr="00A92914" w:rsidP="00EE6E34">
            <w:pPr>
              <w:bidi w:val="0"/>
              <w:rPr>
                <w:rFonts w:ascii="Times New Roman" w:hAnsi="Times New Roman"/>
                <w:b/>
                <w:bCs/>
                <w:sz w:val="20"/>
                <w:szCs w:val="20"/>
              </w:rPr>
            </w:pPr>
          </w:p>
        </w:tc>
        <w:tc>
          <w:tcPr>
            <w:tcW w:w="4523" w:type="dxa"/>
            <w:tcBorders>
              <w:top w:val="nil"/>
              <w:left w:val="nil"/>
              <w:bottom w:val="nil"/>
              <w:right w:val="nil"/>
            </w:tcBorders>
            <w:shd w:val="clear" w:color="auto" w:fill="A6A6A6"/>
            <w:noWrap/>
            <w:textDirection w:val="lrTb"/>
            <w:vAlign w:val="center"/>
          </w:tcPr>
          <w:p w:rsidR="00F437F2" w:rsidRPr="00A92914" w:rsidP="00EE6E34">
            <w:pPr>
              <w:bidi w:val="0"/>
              <w:rPr>
                <w:rFonts w:ascii="Times New Roman" w:hAnsi="Times New Roman"/>
                <w:bCs/>
                <w:color w:val="FFFFFF"/>
                <w:sz w:val="20"/>
                <w:szCs w:val="20"/>
              </w:rPr>
            </w:pPr>
            <w:bookmarkStart w:id="50" w:name="_Toc252805706"/>
            <w:bookmarkStart w:id="51" w:name="_Toc275948234"/>
            <w:bookmarkStart w:id="52" w:name="_Toc394047565"/>
            <w:bookmarkStart w:id="53" w:name="_Toc394471514"/>
            <w:r w:rsidRPr="00A92914">
              <w:rPr>
                <w:rFonts w:ascii="Times New Roman" w:hAnsi="Times New Roman"/>
                <w:b/>
                <w:bCs/>
                <w:sz w:val="20"/>
                <w:szCs w:val="20"/>
              </w:rPr>
              <w:t>Vývoj spreadov 10-ročných štátnych dlhopisov krajín V4 voči nemeckým bundom (% p. a.)</w:t>
            </w:r>
            <w:bookmarkEnd w:id="50"/>
            <w:bookmarkEnd w:id="51"/>
            <w:bookmarkEnd w:id="52"/>
            <w:bookmarkEnd w:id="53"/>
          </w:p>
        </w:tc>
      </w:tr>
      <w:tr>
        <w:tblPrEx>
          <w:tblW w:w="9212" w:type="dxa"/>
          <w:jc w:val="center"/>
        </w:tblPrEx>
        <w:trPr>
          <w:trHeight w:val="2872"/>
          <w:jc w:val="center"/>
        </w:trPr>
        <w:tc>
          <w:tcPr>
            <w:tcW w:w="4467"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r>
              <w:rPr>
                <w:rFonts w:ascii="Times New Roman" w:hAnsi="Times New Roman"/>
                <w:sz w:val="20"/>
                <w:szCs w:val="20"/>
              </w:rPr>
              <w:pict>
                <v:shape id="_x0000_i1031" type="#_x0000_t75" style="width:220.55pt;height:179.35pt;mso-position-horizontal-relative:char;mso-position-vertical-relative:line">
                  <v:imagedata r:id="rId13" o:title=""/>
                  <o:diagram v:ext="edit"/>
                  <w10:wrap type="none"/>
                  <w10:anchorlock/>
                </v:shape>
              </w:pict>
            </w:r>
          </w:p>
        </w:tc>
        <w:tc>
          <w:tcPr>
            <w:tcW w:w="222"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p>
        </w:tc>
        <w:tc>
          <w:tcPr>
            <w:tcW w:w="4523" w:type="dxa"/>
            <w:tcBorders>
              <w:top w:val="nil"/>
              <w:left w:val="nil"/>
              <w:bottom w:val="nil"/>
              <w:right w:val="nil"/>
            </w:tcBorders>
            <w:noWrap/>
            <w:textDirection w:val="lrTb"/>
            <w:vAlign w:val="center"/>
          </w:tcPr>
          <w:p w:rsidR="00F437F2" w:rsidRPr="00A92914" w:rsidP="00EE6E34">
            <w:pPr>
              <w:bidi w:val="0"/>
              <w:jc w:val="center"/>
              <w:rPr>
                <w:rFonts w:ascii="Times New Roman" w:hAnsi="Times New Roman"/>
                <w:sz w:val="20"/>
                <w:szCs w:val="20"/>
              </w:rPr>
            </w:pPr>
            <w:r>
              <w:rPr>
                <w:rFonts w:ascii="Times New Roman" w:hAnsi="Times New Roman"/>
                <w:sz w:val="20"/>
                <w:szCs w:val="20"/>
              </w:rPr>
              <w:pict>
                <v:shape id="_x0000_i1032" type="#_x0000_t75" style="width:213.4pt;height:178.1pt;mso-position-horizontal-relative:char;mso-position-vertical-relative:line">
                  <v:imagedata r:id="rId14" o:title=""/>
                  <o:diagram v:ext="edit"/>
                  <w10:wrap type="none"/>
                  <w10:anchorlock/>
                </v:shape>
              </w:pict>
            </w:r>
          </w:p>
        </w:tc>
      </w:tr>
      <w:tr>
        <w:tblPrEx>
          <w:tblW w:w="9212" w:type="dxa"/>
          <w:jc w:val="center"/>
          <w:tblCellMar>
            <w:left w:w="70" w:type="dxa"/>
            <w:right w:w="70" w:type="dxa"/>
          </w:tblCellMar>
        </w:tblPrEx>
        <w:trPr>
          <w:trHeight w:val="237"/>
          <w:jc w:val="center"/>
        </w:trPr>
        <w:tc>
          <w:tcPr>
            <w:tcW w:w="4467" w:type="dxa"/>
            <w:tcBorders>
              <w:top w:val="single" w:sz="4" w:space="0" w:color="auto"/>
              <w:left w:val="nil"/>
              <w:bottom w:val="nil"/>
              <w:right w:val="nil"/>
            </w:tcBorders>
            <w:noWrap/>
            <w:textDirection w:val="lrTb"/>
            <w:vAlign w:val="center"/>
          </w:tcPr>
          <w:p w:rsidR="00F437F2" w:rsidRPr="00A92914" w:rsidP="00EE6E34">
            <w:pPr>
              <w:bidi w:val="0"/>
              <w:jc w:val="right"/>
              <w:rPr>
                <w:rFonts w:ascii="Times New Roman" w:hAnsi="Times New Roman"/>
                <w:i/>
                <w:iCs/>
                <w:sz w:val="16"/>
                <w:szCs w:val="16"/>
              </w:rPr>
            </w:pPr>
            <w:r w:rsidRPr="00A92914">
              <w:rPr>
                <w:rFonts w:ascii="Times New Roman" w:hAnsi="Times New Roman"/>
                <w:i/>
                <w:iCs/>
                <w:sz w:val="16"/>
                <w:szCs w:val="16"/>
              </w:rPr>
              <w:t>Zdroj: Bloomberg</w:t>
            </w:r>
          </w:p>
        </w:tc>
        <w:tc>
          <w:tcPr>
            <w:tcW w:w="222" w:type="dxa"/>
            <w:tcBorders>
              <w:top w:val="nil"/>
              <w:left w:val="nil"/>
              <w:bottom w:val="nil"/>
              <w:right w:val="nil"/>
            </w:tcBorders>
            <w:noWrap/>
            <w:textDirection w:val="lrTb"/>
            <w:vAlign w:val="center"/>
          </w:tcPr>
          <w:p w:rsidR="00F437F2" w:rsidRPr="00A92914" w:rsidP="00EE6E34">
            <w:pPr>
              <w:bidi w:val="0"/>
              <w:jc w:val="right"/>
              <w:rPr>
                <w:rFonts w:ascii="Times New Roman" w:hAnsi="Times New Roman"/>
                <w:sz w:val="20"/>
                <w:szCs w:val="20"/>
              </w:rPr>
            </w:pPr>
          </w:p>
        </w:tc>
        <w:tc>
          <w:tcPr>
            <w:tcW w:w="4523" w:type="dxa"/>
            <w:tcBorders>
              <w:top w:val="single" w:sz="4" w:space="0" w:color="auto"/>
              <w:left w:val="nil"/>
              <w:bottom w:val="nil"/>
              <w:right w:val="nil"/>
            </w:tcBorders>
            <w:noWrap/>
            <w:textDirection w:val="lrTb"/>
            <w:vAlign w:val="center"/>
          </w:tcPr>
          <w:p w:rsidR="00F437F2" w:rsidRPr="00A92914" w:rsidP="00EE6E34">
            <w:pPr>
              <w:bidi w:val="0"/>
              <w:jc w:val="right"/>
              <w:rPr>
                <w:rFonts w:ascii="Times New Roman" w:hAnsi="Times New Roman"/>
                <w:i/>
                <w:iCs/>
                <w:sz w:val="16"/>
                <w:szCs w:val="16"/>
              </w:rPr>
            </w:pPr>
            <w:r w:rsidRPr="00A92914">
              <w:rPr>
                <w:rFonts w:ascii="Times New Roman" w:hAnsi="Times New Roman"/>
                <w:i/>
                <w:iCs/>
                <w:sz w:val="16"/>
                <w:szCs w:val="16"/>
              </w:rPr>
              <w:t>Zdroj:Bloomberg</w:t>
            </w:r>
          </w:p>
        </w:tc>
      </w:tr>
    </w:tbl>
    <w:p w:rsidR="007B3964" w:rsidRPr="00FA7FF2" w:rsidP="00FA7FF2">
      <w:pPr>
        <w:bidi w:val="0"/>
        <w:spacing w:before="120" w:after="120"/>
        <w:ind w:firstLine="708"/>
        <w:jc w:val="both"/>
        <w:rPr>
          <w:rFonts w:ascii="Times New Roman" w:hAnsi="Times New Roman"/>
          <w:szCs w:val="22"/>
        </w:rPr>
      </w:pPr>
      <w:r w:rsidRPr="00FA7FF2">
        <w:rPr>
          <w:rFonts w:ascii="Times New Roman" w:hAnsi="Times New Roman"/>
          <w:szCs w:val="22"/>
        </w:rPr>
        <w:t>Rast HDP Slovenska v roku 2014 opäť zrýchľuje aj napriek stagnácii v Eurozóne a prináša aj tvorbu nových pracovných miest a rast miezd. Inflácia však začala výrazne spomaľovať a v prvej polovici roka 2014 ceny dokonca klesali.</w:t>
      </w:r>
    </w:p>
    <w:p w:rsidR="00295E02" w:rsidP="00FA7FF2">
      <w:pPr>
        <w:bidi w:val="0"/>
        <w:spacing w:before="120" w:after="120"/>
        <w:ind w:firstLine="708"/>
        <w:jc w:val="both"/>
        <w:rPr>
          <w:rFonts w:ascii="Times New Roman" w:hAnsi="Times New Roman"/>
          <w:szCs w:val="22"/>
        </w:rPr>
      </w:pPr>
      <w:r w:rsidRPr="00FA7FF2">
        <w:rPr>
          <w:rFonts w:ascii="Times New Roman" w:hAnsi="Times New Roman"/>
          <w:szCs w:val="22"/>
        </w:rPr>
        <w:t>Ekonomika Slovenska by mala v roku 2014 zrýchliť na 2,4 %, ťahaná predovšetkým domácim dopytom.</w:t>
      </w:r>
      <w:r w:rsidRPr="00FA7FF2">
        <w:rPr>
          <w:rFonts w:ascii="Times New Roman" w:hAnsi="Times New Roman"/>
          <w:sz w:val="22"/>
          <w:szCs w:val="20"/>
        </w:rPr>
        <w:t xml:space="preserve"> </w:t>
      </w:r>
      <w:r w:rsidRPr="00FA7FF2">
        <w:rPr>
          <w:rFonts w:ascii="Times New Roman" w:hAnsi="Times New Roman"/>
          <w:szCs w:val="22"/>
        </w:rPr>
        <w:t>V ďalších rokoch sa očakáva postupné zrýchľovanie ekonomiky s vyváženejšou štruktúrou rastu. V spotrebe domácností sa odrazí oživenie na trhu práce, ako aj podpora kúpyschopnosti pomalším rastom cien. Rok 2015 bude ovplyvnený fiškálnou konsolidáciou potrebnou pre naplnenie rozpočtových cieľov a spomalením rastu zahraničného dopytu. Hospodársky rast stlačí v tomto roku mieru nezamestnanosti pod 14 %. V ďalších rokoch rast zamestnanosti ešte zrýchli. Reálne mzdy budú v roku 2014 najmä vďaka poklesu inflácie rásť najrýchlejšie od roku 2008. V ďalších rokoch dynamika reálnej mzdy mierne oslabí a jej vývoj bude kopírovať rast produktivity práce. Oživenie ekonomickej aktivity povedie aj k tlaku na rast cien, inflácia však dosiahne úrovne, ktoré štandardne zodpovedajú očakávanému rastu HDP až na konci prognózovaného obdobia.</w:t>
      </w:r>
    </w:p>
    <w:p w:rsidR="00331CB4" w:rsidRPr="00FA7FF2" w:rsidP="00FA7FF2">
      <w:pPr>
        <w:bidi w:val="0"/>
        <w:spacing w:before="120" w:after="120"/>
        <w:ind w:firstLine="708"/>
        <w:jc w:val="both"/>
        <w:rPr>
          <w:rFonts w:ascii="Times New Roman" w:hAnsi="Times New Roman"/>
          <w:szCs w:val="22"/>
        </w:rPr>
      </w:pPr>
    </w:p>
    <w:tbl>
      <w:tblPr>
        <w:tblStyle w:val="TableNormal"/>
        <w:tblW w:w="667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51"/>
        <w:gridCol w:w="560"/>
        <w:gridCol w:w="560"/>
        <w:gridCol w:w="560"/>
        <w:gridCol w:w="560"/>
        <w:gridCol w:w="560"/>
        <w:gridCol w:w="527"/>
      </w:tblGrid>
      <w:tr>
        <w:tblPrEx>
          <w:tblW w:w="667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jc w:val="center"/>
        </w:trPr>
        <w:tc>
          <w:tcPr>
            <w:tcW w:w="6678" w:type="dxa"/>
            <w:gridSpan w:val="7"/>
            <w:tcBorders>
              <w:top w:val="single" w:sz="4" w:space="0" w:color="auto"/>
              <w:left w:val="single" w:sz="4" w:space="0" w:color="auto"/>
              <w:bottom w:val="single" w:sz="4" w:space="0" w:color="auto"/>
              <w:right w:val="single" w:sz="4" w:space="0" w:color="auto"/>
            </w:tcBorders>
            <w:shd w:val="clear" w:color="auto" w:fill="A6A6A6"/>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b/>
                <w:bCs/>
                <w:sz w:val="16"/>
                <w:szCs w:val="16"/>
                <w:lang w:eastAsia="en-US"/>
              </w:rPr>
            </w:pPr>
            <w:r w:rsidRPr="00FA7FF2">
              <w:rPr>
                <w:rFonts w:ascii="Times New Roman" w:hAnsi="Times New Roman"/>
                <w:b/>
                <w:bCs/>
                <w:sz w:val="16"/>
                <w:szCs w:val="16"/>
                <w:lang w:eastAsia="en-US"/>
              </w:rPr>
              <w:t>Prognóza MF SR - hlavné indikátory ekonomiky (september 2014)</w:t>
            </w:r>
          </w:p>
        </w:tc>
      </w:tr>
      <w:tr>
        <w:tblPrEx>
          <w:tblW w:w="6678" w:type="dxa"/>
          <w:jc w:val="center"/>
          <w:tblInd w:w="55" w:type="dxa"/>
          <w:tblCellMar>
            <w:left w:w="0" w:type="dxa"/>
            <w:right w:w="0" w:type="dxa"/>
          </w:tblCellMar>
          <w:tblLook w:val="04A0"/>
        </w:tblPrEx>
        <w:trPr>
          <w:trHeight w:val="270"/>
          <w:jc w:val="center"/>
        </w:trPr>
        <w:tc>
          <w:tcPr>
            <w:tcW w:w="335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Ukazovateľ (v %)</w:t>
            </w:r>
          </w:p>
        </w:tc>
        <w:tc>
          <w:tcPr>
            <w:tcW w:w="560"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2012</w:t>
            </w:r>
          </w:p>
        </w:tc>
        <w:tc>
          <w:tcPr>
            <w:tcW w:w="560"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2013</w:t>
            </w:r>
          </w:p>
        </w:tc>
        <w:tc>
          <w:tcPr>
            <w:tcW w:w="560"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2014</w:t>
            </w:r>
          </w:p>
        </w:tc>
        <w:tc>
          <w:tcPr>
            <w:tcW w:w="560"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2015</w:t>
            </w:r>
          </w:p>
        </w:tc>
        <w:tc>
          <w:tcPr>
            <w:tcW w:w="560"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2016</w:t>
            </w:r>
          </w:p>
        </w:tc>
        <w:tc>
          <w:tcPr>
            <w:tcW w:w="527"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b/>
                <w:bCs/>
                <w:color w:val="000000"/>
                <w:sz w:val="16"/>
                <w:szCs w:val="16"/>
                <w:lang w:val="en-US" w:eastAsia="en-US"/>
              </w:rPr>
            </w:pPr>
            <w:r w:rsidRPr="00FA7FF2">
              <w:rPr>
                <w:rFonts w:ascii="Times New Roman" w:hAnsi="Times New Roman"/>
                <w:b/>
                <w:bCs/>
                <w:color w:val="000000"/>
                <w:sz w:val="16"/>
                <w:szCs w:val="16"/>
                <w:lang w:val="en-US" w:eastAsia="en-US"/>
              </w:rPr>
              <w:t>2017</w:t>
            </w:r>
          </w:p>
        </w:tc>
      </w:tr>
      <w:tr>
        <w:tblPrEx>
          <w:tblW w:w="6678" w:type="dxa"/>
          <w:jc w:val="center"/>
          <w:tblInd w:w="55" w:type="dxa"/>
          <w:tblCellMar>
            <w:left w:w="0" w:type="dxa"/>
            <w:right w:w="0" w:type="dxa"/>
          </w:tblCellMar>
          <w:tblLook w:val="04A0"/>
        </w:tblPrEx>
        <w:trPr>
          <w:trHeight w:val="255"/>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vertAlign w:val="superscript"/>
                <w:lang w:val="en-US" w:eastAsia="en-US"/>
              </w:rPr>
            </w:pPr>
            <w:r w:rsidRPr="00FA7FF2">
              <w:rPr>
                <w:rFonts w:ascii="Times New Roman" w:hAnsi="Times New Roman"/>
                <w:color w:val="000000"/>
                <w:sz w:val="16"/>
                <w:szCs w:val="16"/>
                <w:lang w:val="en-US" w:eastAsia="en-US"/>
              </w:rPr>
              <w:t>HDP, reálny rast</w:t>
            </w:r>
            <w:r w:rsidRPr="00FA7FF2">
              <w:rPr>
                <w:rFonts w:ascii="Times New Roman" w:hAnsi="Times New Roman"/>
                <w:color w:val="000000"/>
                <w:sz w:val="16"/>
                <w:szCs w:val="16"/>
                <w:vertAlign w:val="superscript"/>
                <w:lang w:val="en-US" w:eastAsia="en-US"/>
              </w:rPr>
              <w:t>1)</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1,6</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1,4</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2,4</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eastAsia="Calibri" w:hAnsi="Times New Roman"/>
                <w:sz w:val="16"/>
                <w:szCs w:val="16"/>
                <w:lang w:val="en-US" w:eastAsia="en-US"/>
              </w:rPr>
              <w:t>2,6</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3,5</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3,5</w:t>
            </w:r>
          </w:p>
        </w:tc>
      </w:tr>
      <w:tr>
        <w:tblPrEx>
          <w:tblW w:w="6678" w:type="dxa"/>
          <w:jc w:val="center"/>
          <w:tblInd w:w="55" w:type="dxa"/>
          <w:tblCellMar>
            <w:left w:w="0" w:type="dxa"/>
            <w:right w:w="0" w:type="dxa"/>
          </w:tblCellMar>
          <w:tblLook w:val="04A0"/>
        </w:tblPrEx>
        <w:trPr>
          <w:trHeight w:val="255"/>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lang w:val="en-US" w:eastAsia="en-US"/>
              </w:rPr>
            </w:pPr>
            <w:r w:rsidRPr="00FA7FF2">
              <w:rPr>
                <w:rFonts w:ascii="Times New Roman" w:hAnsi="Times New Roman"/>
                <w:color w:val="000000"/>
                <w:sz w:val="16"/>
                <w:szCs w:val="16"/>
                <w:lang w:val="en-US" w:eastAsia="en-US"/>
              </w:rPr>
              <w:t>Zamestnanosť (VZPS), rast</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0,6</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0,0</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0,8</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0,5</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0,9</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1,0</w:t>
            </w:r>
          </w:p>
        </w:tc>
      </w:tr>
      <w:tr>
        <w:tblPrEx>
          <w:tblW w:w="6678" w:type="dxa"/>
          <w:jc w:val="center"/>
          <w:tblInd w:w="55" w:type="dxa"/>
          <w:tblCellMar>
            <w:left w:w="0" w:type="dxa"/>
            <w:right w:w="0" w:type="dxa"/>
          </w:tblCellMar>
          <w:tblLook w:val="04A0"/>
        </w:tblPrEx>
        <w:trPr>
          <w:trHeight w:val="255"/>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lang w:val="en-US" w:eastAsia="en-US"/>
              </w:rPr>
            </w:pPr>
            <w:r w:rsidRPr="00FA7FF2">
              <w:rPr>
                <w:rFonts w:ascii="Times New Roman" w:hAnsi="Times New Roman"/>
                <w:color w:val="000000"/>
                <w:sz w:val="16"/>
                <w:szCs w:val="16"/>
                <w:lang w:val="en-US" w:eastAsia="en-US"/>
              </w:rPr>
              <w:t>Miera nezamestnanosti (VZPS)</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14,0</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14,2</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13,5</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13,0</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12,2</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11,3</w:t>
            </w:r>
          </w:p>
        </w:tc>
      </w:tr>
      <w:tr>
        <w:tblPrEx>
          <w:tblW w:w="6678" w:type="dxa"/>
          <w:jc w:val="center"/>
          <w:tblInd w:w="55" w:type="dxa"/>
          <w:tblCellMar>
            <w:left w:w="0" w:type="dxa"/>
            <w:right w:w="0" w:type="dxa"/>
          </w:tblCellMar>
          <w:tblLook w:val="04A0"/>
        </w:tblPrEx>
        <w:trPr>
          <w:trHeight w:val="255"/>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lang w:val="en-US" w:eastAsia="en-US"/>
              </w:rPr>
            </w:pPr>
            <w:r w:rsidRPr="00FA7FF2">
              <w:rPr>
                <w:rFonts w:ascii="Times New Roman" w:hAnsi="Times New Roman"/>
                <w:color w:val="000000"/>
                <w:sz w:val="16"/>
                <w:szCs w:val="16"/>
                <w:lang w:val="en-US" w:eastAsia="en-US"/>
              </w:rPr>
              <w:t>Reálna mzda, rast</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-1,2</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0,9</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4,1</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2,1</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2,2</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2,3</w:t>
            </w:r>
          </w:p>
        </w:tc>
      </w:tr>
      <w:tr>
        <w:tblPrEx>
          <w:tblW w:w="6678" w:type="dxa"/>
          <w:jc w:val="center"/>
          <w:tblInd w:w="55" w:type="dxa"/>
          <w:tblCellMar>
            <w:left w:w="0" w:type="dxa"/>
            <w:right w:w="0" w:type="dxa"/>
          </w:tblCellMar>
          <w:tblLook w:val="04A0"/>
        </w:tblPrEx>
        <w:trPr>
          <w:trHeight w:val="255"/>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lang w:val="en-US" w:eastAsia="en-US"/>
              </w:rPr>
            </w:pPr>
            <w:r w:rsidRPr="00FA7FF2">
              <w:rPr>
                <w:rFonts w:ascii="Times New Roman" w:hAnsi="Times New Roman"/>
                <w:color w:val="000000"/>
                <w:sz w:val="16"/>
                <w:szCs w:val="16"/>
                <w:lang w:val="en-US" w:eastAsia="en-US"/>
              </w:rPr>
              <w:t>Inflácia, priemerná  ročná; HICP</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3,7</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1,5</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0,1</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1,0</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2,3</w:t>
            </w:r>
          </w:p>
        </w:tc>
      </w:tr>
      <w:tr>
        <w:tblPrEx>
          <w:tblW w:w="6678" w:type="dxa"/>
          <w:jc w:val="center"/>
          <w:tblInd w:w="55" w:type="dxa"/>
          <w:tblCellMar>
            <w:left w:w="0" w:type="dxa"/>
            <w:right w:w="0" w:type="dxa"/>
          </w:tblCellMar>
          <w:tblLook w:val="04A0"/>
        </w:tblPrEx>
        <w:trPr>
          <w:trHeight w:val="270"/>
          <w:jc w:val="center"/>
        </w:trPr>
        <w:tc>
          <w:tcPr>
            <w:tcW w:w="3351"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rPr>
                <w:rFonts w:ascii="Times New Roman" w:eastAsia="Calibri" w:hAnsi="Times New Roman"/>
                <w:color w:val="000000"/>
                <w:sz w:val="16"/>
                <w:szCs w:val="16"/>
                <w:lang w:eastAsia="en-US"/>
              </w:rPr>
            </w:pPr>
            <w:r w:rsidRPr="00FA7FF2">
              <w:rPr>
                <w:rFonts w:ascii="Times New Roman" w:hAnsi="Times New Roman"/>
                <w:color w:val="000000"/>
                <w:sz w:val="16"/>
                <w:szCs w:val="16"/>
                <w:lang w:eastAsia="en-US"/>
              </w:rPr>
              <w:t>Bežný účet, podiel na HDP</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2,2</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2,1</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0,8</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1,2</w:t>
            </w:r>
          </w:p>
        </w:tc>
        <w:tc>
          <w:tcPr>
            <w:tcW w:w="5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2,2</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extDirection w:val="lrTb"/>
            <w:vAlign w:val="bottom"/>
            <w:hideMark/>
          </w:tcPr>
          <w:p w:rsidR="00295E02" w:rsidRPr="00FA7FF2" w:rsidP="00EE6E34">
            <w:pPr>
              <w:bidi w:val="0"/>
              <w:jc w:val="right"/>
              <w:rPr>
                <w:rFonts w:ascii="Times New Roman" w:eastAsia="Calibri" w:hAnsi="Times New Roman"/>
                <w:sz w:val="16"/>
                <w:szCs w:val="16"/>
                <w:lang w:val="en-US" w:eastAsia="en-US"/>
              </w:rPr>
            </w:pPr>
            <w:r w:rsidRPr="00FA7FF2">
              <w:rPr>
                <w:rFonts w:ascii="Times New Roman" w:hAnsi="Times New Roman"/>
                <w:sz w:val="16"/>
                <w:szCs w:val="16"/>
                <w:lang w:val="en-US" w:eastAsia="en-US"/>
              </w:rPr>
              <w:t>3,1</w:t>
            </w:r>
          </w:p>
        </w:tc>
      </w:tr>
      <w:tr>
        <w:tblPrEx>
          <w:tblW w:w="6678" w:type="dxa"/>
          <w:jc w:val="center"/>
          <w:tblInd w:w="55" w:type="dxa"/>
          <w:tblCellMar>
            <w:left w:w="0" w:type="dxa"/>
            <w:right w:w="0" w:type="dxa"/>
          </w:tblCellMar>
          <w:tblLook w:val="04A0"/>
        </w:tblPrEx>
        <w:trPr>
          <w:trHeight w:val="270"/>
          <w:jc w:val="center"/>
        </w:trPr>
        <w:tc>
          <w:tcPr>
            <w:tcW w:w="6678" w:type="dxa"/>
            <w:gridSpan w:val="7"/>
            <w:tcBorders>
              <w:top w:val="single" w:sz="4" w:space="0" w:color="auto"/>
              <w:left w:val="nil"/>
              <w:bottom w:val="nil"/>
              <w:right w:val="nil"/>
            </w:tcBorders>
            <w:noWrap/>
            <w:tcMar>
              <w:top w:w="0" w:type="dxa"/>
              <w:left w:w="70" w:type="dxa"/>
              <w:bottom w:w="0" w:type="dxa"/>
              <w:right w:w="70" w:type="dxa"/>
            </w:tcMar>
            <w:textDirection w:val="lrTb"/>
            <w:vAlign w:val="bottom"/>
          </w:tcPr>
          <w:p w:rsidR="00295E02" w:rsidRPr="00FA7FF2" w:rsidP="00FD2431">
            <w:pPr>
              <w:bidi w:val="0"/>
              <w:jc w:val="right"/>
              <w:rPr>
                <w:rFonts w:ascii="Times New Roman" w:eastAsia="Calibri" w:hAnsi="Times New Roman"/>
                <w:i/>
                <w:iCs/>
                <w:color w:val="000000"/>
                <w:sz w:val="16"/>
                <w:szCs w:val="16"/>
                <w:lang w:val="en-US" w:eastAsia="en-US"/>
              </w:rPr>
            </w:pPr>
            <w:r w:rsidRPr="00FA7FF2">
              <w:rPr>
                <w:rFonts w:ascii="Times New Roman" w:hAnsi="Times New Roman"/>
                <w:i/>
                <w:iCs/>
                <w:color w:val="000000"/>
                <w:sz w:val="16"/>
                <w:szCs w:val="16"/>
                <w:lang w:val="en-US" w:eastAsia="en-US"/>
              </w:rPr>
              <w:t>1) Predbežné údaje ŠÚSR v ESA</w:t>
            </w:r>
            <w:r w:rsidR="00FA7FF2">
              <w:rPr>
                <w:rFonts w:ascii="Times New Roman" w:hAnsi="Times New Roman"/>
                <w:i/>
                <w:iCs/>
                <w:color w:val="000000"/>
                <w:sz w:val="16"/>
                <w:szCs w:val="16"/>
                <w:lang w:val="en-US" w:eastAsia="en-US"/>
              </w:rPr>
              <w:t xml:space="preserve"> </w:t>
            </w:r>
            <w:r w:rsidRPr="00FA7FF2">
              <w:rPr>
                <w:rFonts w:ascii="Times New Roman" w:hAnsi="Times New Roman"/>
                <w:i/>
                <w:iCs/>
                <w:color w:val="000000"/>
                <w:sz w:val="16"/>
                <w:szCs w:val="16"/>
                <w:lang w:val="en-US" w:eastAsia="en-US"/>
              </w:rPr>
              <w:t xml:space="preserve">2010. </w:t>
            </w:r>
            <w:r w:rsidRPr="00FA7FF2" w:rsidR="00FD2431">
              <w:rPr>
                <w:rFonts w:ascii="Times New Roman" w:hAnsi="Times New Roman"/>
                <w:i/>
                <w:iCs/>
                <w:color w:val="000000"/>
                <w:sz w:val="16"/>
                <w:szCs w:val="16"/>
                <w:lang w:val="en-US" w:eastAsia="en-US"/>
              </w:rPr>
              <w:t>Z</w:t>
            </w:r>
            <w:r w:rsidRPr="00FA7FF2">
              <w:rPr>
                <w:rFonts w:ascii="Times New Roman" w:hAnsi="Times New Roman"/>
                <w:i/>
                <w:iCs/>
                <w:color w:val="000000"/>
                <w:sz w:val="16"/>
                <w:szCs w:val="16"/>
                <w:lang w:val="en-US" w:eastAsia="en-US"/>
              </w:rPr>
              <w:t>droj: MF SR</w:t>
            </w:r>
          </w:p>
        </w:tc>
      </w:tr>
    </w:tbl>
    <w:p w:rsidR="00BA2F20" w:rsidRPr="00A92914" w:rsidP="004B7C2E">
      <w:pPr>
        <w:pStyle w:val="Heading1"/>
        <w:numPr>
          <w:ilvl w:val="1"/>
          <w:numId w:val="26"/>
        </w:numPr>
        <w:bidi w:val="0"/>
        <w:spacing w:before="360" w:after="240"/>
        <w:ind w:left="788" w:hanging="431"/>
        <w:rPr>
          <w:rFonts w:ascii="Times New Roman" w:hAnsi="Times New Roman" w:cs="Times New Roman"/>
          <w:sz w:val="24"/>
          <w:szCs w:val="24"/>
        </w:rPr>
      </w:pPr>
      <w:r w:rsidRPr="00A92914">
        <w:rPr>
          <w:rFonts w:ascii="Times New Roman" w:hAnsi="Times New Roman" w:cs="Times New Roman"/>
          <w:sz w:val="24"/>
          <w:szCs w:val="24"/>
        </w:rPr>
        <w:t>Fiškálny výhľad</w:t>
      </w:r>
      <w:bookmarkEnd w:id="36"/>
      <w:bookmarkEnd w:id="37"/>
    </w:p>
    <w:p w:rsidR="00495003" w:rsidRPr="00FA7FF2" w:rsidP="00FA7FF2">
      <w:pPr>
        <w:bidi w:val="0"/>
        <w:spacing w:after="240"/>
        <w:ind w:firstLine="708"/>
        <w:jc w:val="both"/>
        <w:rPr>
          <w:rFonts w:ascii="Times New Roman" w:hAnsi="Times New Roman"/>
          <w:szCs w:val="22"/>
        </w:rPr>
      </w:pPr>
      <w:r w:rsidRPr="00FA7FF2">
        <w:rPr>
          <w:rFonts w:ascii="Times New Roman" w:hAnsi="Times New Roman"/>
          <w:szCs w:val="22"/>
        </w:rPr>
        <w:t>Konsolidácia verejných financií prebieha v súlade s plánom vlády, čo umožnilo ukončiť procedúru nadmerného deficitu pre Slovensko v júni 2014. Deficit verejnej správy klesol z úrovne 4,</w:t>
      </w:r>
      <w:r w:rsidRPr="00FA7FF2" w:rsidR="000156DC">
        <w:rPr>
          <w:rFonts w:ascii="Times New Roman" w:hAnsi="Times New Roman"/>
          <w:szCs w:val="22"/>
        </w:rPr>
        <w:t>4</w:t>
      </w:r>
      <w:r w:rsidRPr="00FA7FF2">
        <w:rPr>
          <w:rFonts w:ascii="Times New Roman" w:hAnsi="Times New Roman"/>
          <w:szCs w:val="22"/>
        </w:rPr>
        <w:t xml:space="preserve"> % HDP v roku 2012 na 2,</w:t>
      </w:r>
      <w:r w:rsidRPr="00FA7FF2" w:rsidR="000156DC">
        <w:rPr>
          <w:rFonts w:ascii="Times New Roman" w:hAnsi="Times New Roman"/>
          <w:szCs w:val="22"/>
        </w:rPr>
        <w:t>6</w:t>
      </w:r>
      <w:r w:rsidRPr="00FA7FF2">
        <w:rPr>
          <w:rFonts w:ascii="Times New Roman" w:hAnsi="Times New Roman"/>
          <w:szCs w:val="22"/>
        </w:rPr>
        <w:t> % HDP v roku 2013. Na rok 2014 bol stanovený cieľ deficitu vo výške 2,6 % HDP. V strednodobom horizonte je hlavným cieľom vytvorenie podmienok pre dosiahnutie dlhodobej udržateľnosti verejných financií. To si vyžaduje pokračovanie v konsolidácii verejných financií aj po roku 2013 tak, aby Slovensko smerovalo k svojmu strednodobému rozpočtovému cieľu</w:t>
      </w:r>
      <w:r>
        <w:rPr>
          <w:rStyle w:val="FootnoteReference"/>
          <w:rFonts w:ascii="Times New Roman" w:hAnsi="Times New Roman"/>
          <w:szCs w:val="22"/>
          <w:rtl w:val="0"/>
        </w:rPr>
        <w:footnoteReference w:id="4"/>
      </w:r>
      <w:r w:rsidRPr="00FA7FF2">
        <w:rPr>
          <w:rFonts w:ascii="Times New Roman" w:hAnsi="Times New Roman"/>
          <w:szCs w:val="22"/>
        </w:rPr>
        <w:t xml:space="preserve">. </w:t>
      </w:r>
    </w:p>
    <w:p w:rsidR="005962BE" w:rsidRPr="00FA7FF2" w:rsidP="00FA7FF2">
      <w:pPr>
        <w:autoSpaceDE w:val="0"/>
        <w:autoSpaceDN w:val="0"/>
        <w:bidi w:val="0"/>
        <w:adjustRightInd w:val="0"/>
        <w:spacing w:after="240"/>
        <w:ind w:firstLine="708"/>
        <w:jc w:val="both"/>
        <w:rPr>
          <w:rFonts w:ascii="Times New Roman" w:hAnsi="Times New Roman"/>
          <w:szCs w:val="22"/>
        </w:rPr>
      </w:pPr>
      <w:r w:rsidRPr="00FA7FF2">
        <w:rPr>
          <w:rFonts w:ascii="Times New Roman" w:hAnsi="Times New Roman"/>
          <w:szCs w:val="22"/>
        </w:rPr>
        <w:t xml:space="preserve">Od septembra 2014 vstúpil do platnosti nový systém európskych národných účtov ESA 2010. Vzhľadom na túto výraznejšiu zmenu došlo k poklesu dlhu z dôvodu nárastu úrovne nominálneho HDP. Naopak, preradenie viacerých subjektov do verejnej správy spôsobilo nárast dlhu. Proces úpravy národných účtov nebude ku dňu zverejnenia vládneho návrhu rozpočtu verejnej správy na roky 2015 až 2017 uzavretý. Prezentovaná prognóza je zostavená na základe dostupných informácií. </w:t>
      </w:r>
    </w:p>
    <w:p w:rsidR="00495003" w:rsidP="00FA7FF2">
      <w:pPr>
        <w:autoSpaceDE w:val="0"/>
        <w:autoSpaceDN w:val="0"/>
        <w:bidi w:val="0"/>
        <w:adjustRightInd w:val="0"/>
        <w:spacing w:after="240"/>
        <w:ind w:firstLine="708"/>
        <w:jc w:val="both"/>
        <w:rPr>
          <w:rFonts w:ascii="Times New Roman" w:hAnsi="Times New Roman"/>
          <w:szCs w:val="22"/>
        </w:rPr>
      </w:pPr>
      <w:r w:rsidRPr="00FA7FF2">
        <w:rPr>
          <w:rFonts w:ascii="Times New Roman" w:hAnsi="Times New Roman"/>
          <w:szCs w:val="22"/>
        </w:rPr>
        <w:t xml:space="preserve">Z pohľadu riadenia štátneho dlhu je kľúčové, že uvedený vývoj </w:t>
      </w:r>
      <w:r w:rsidRPr="00FA7FF2" w:rsidR="005114F0">
        <w:rPr>
          <w:rFonts w:ascii="Times New Roman" w:hAnsi="Times New Roman"/>
          <w:szCs w:val="22"/>
        </w:rPr>
        <w:t>hrubého dlhu</w:t>
      </w:r>
      <w:r w:rsidRPr="00FA7FF2">
        <w:rPr>
          <w:rFonts w:ascii="Times New Roman" w:hAnsi="Times New Roman"/>
          <w:szCs w:val="22"/>
        </w:rPr>
        <w:t xml:space="preserve"> verejnej správy</w:t>
      </w:r>
      <w:r>
        <w:rPr>
          <w:rStyle w:val="FootnoteReference"/>
          <w:rFonts w:ascii="Times New Roman" w:hAnsi="Times New Roman"/>
          <w:szCs w:val="22"/>
          <w:rtl w:val="0"/>
        </w:rPr>
        <w:footnoteReference w:id="5"/>
      </w:r>
      <w:r w:rsidRPr="00FA7FF2">
        <w:rPr>
          <w:rFonts w:ascii="Times New Roman" w:hAnsi="Times New Roman"/>
          <w:szCs w:val="22"/>
        </w:rPr>
        <w:t xml:space="preserve"> na HDP </w:t>
      </w:r>
      <w:r w:rsidRPr="00FA7FF2" w:rsidR="005114F0">
        <w:rPr>
          <w:rFonts w:ascii="Times New Roman" w:hAnsi="Times New Roman"/>
          <w:szCs w:val="22"/>
        </w:rPr>
        <w:t xml:space="preserve">nepresiahne hranicu 55 % HDP </w:t>
      </w:r>
      <w:r w:rsidRPr="009D063C" w:rsidR="005114F0">
        <w:rPr>
          <w:rFonts w:ascii="Times New Roman" w:hAnsi="Times New Roman"/>
          <w:szCs w:val="22"/>
        </w:rPr>
        <w:t xml:space="preserve">a do konca prognózovaného obdobia bude </w:t>
      </w:r>
      <w:r w:rsidRPr="009D063C" w:rsidR="000156DC">
        <w:rPr>
          <w:rFonts w:ascii="Times New Roman" w:hAnsi="Times New Roman"/>
          <w:szCs w:val="22"/>
        </w:rPr>
        <w:t>postupn</w:t>
      </w:r>
      <w:r w:rsidRPr="009D063C" w:rsidR="005114F0">
        <w:rPr>
          <w:rFonts w:ascii="Times New Roman" w:hAnsi="Times New Roman"/>
          <w:szCs w:val="22"/>
        </w:rPr>
        <w:t>e</w:t>
      </w:r>
      <w:r w:rsidRPr="009D063C" w:rsidR="000156DC">
        <w:rPr>
          <w:rFonts w:ascii="Times New Roman" w:hAnsi="Times New Roman"/>
          <w:szCs w:val="22"/>
        </w:rPr>
        <w:t xml:space="preserve"> </w:t>
      </w:r>
      <w:r w:rsidRPr="009D063C" w:rsidR="005114F0">
        <w:rPr>
          <w:rFonts w:ascii="Times New Roman" w:hAnsi="Times New Roman"/>
          <w:szCs w:val="22"/>
        </w:rPr>
        <w:t>klesať až na hranicu 51 % HDP</w:t>
      </w:r>
      <w:r w:rsidRPr="009D063C">
        <w:rPr>
          <w:rFonts w:ascii="Times New Roman" w:hAnsi="Times New Roman"/>
          <w:szCs w:val="22"/>
        </w:rPr>
        <w:t xml:space="preserve">. Za predpokladu naplnenia rozpočtových cieľov </w:t>
      </w:r>
      <w:r w:rsidRPr="009D063C" w:rsidR="005114F0">
        <w:rPr>
          <w:rFonts w:ascii="Times New Roman" w:hAnsi="Times New Roman"/>
          <w:szCs w:val="22"/>
        </w:rPr>
        <w:t>klesne</w:t>
      </w:r>
      <w:r w:rsidRPr="009D063C">
        <w:rPr>
          <w:rFonts w:ascii="Times New Roman" w:hAnsi="Times New Roman"/>
          <w:szCs w:val="22"/>
        </w:rPr>
        <w:t xml:space="preserve"> podiel dlhu na HDP </w:t>
      </w:r>
      <w:r w:rsidRPr="009D063C" w:rsidR="005114F0">
        <w:rPr>
          <w:rFonts w:ascii="Times New Roman" w:hAnsi="Times New Roman"/>
          <w:szCs w:val="22"/>
        </w:rPr>
        <w:t xml:space="preserve">z roku 2013 na rok </w:t>
      </w:r>
      <w:r w:rsidRPr="009D063C">
        <w:rPr>
          <w:rFonts w:ascii="Times New Roman" w:hAnsi="Times New Roman"/>
          <w:szCs w:val="22"/>
        </w:rPr>
        <w:t>2014</w:t>
      </w:r>
      <w:r w:rsidRPr="009D063C" w:rsidR="005114F0">
        <w:rPr>
          <w:rFonts w:ascii="Times New Roman" w:hAnsi="Times New Roman"/>
          <w:szCs w:val="22"/>
        </w:rPr>
        <w:t xml:space="preserve"> na úroveň 54,1 % HDP najmä z dôvodu aktívneho využitia hotovostnej rezervy a splatenia úveru Agentúry pre núdzové</w:t>
      </w:r>
      <w:r w:rsidRPr="00FA7FF2" w:rsidR="005114F0">
        <w:rPr>
          <w:rFonts w:ascii="Times New Roman" w:hAnsi="Times New Roman"/>
          <w:szCs w:val="22"/>
        </w:rPr>
        <w:t xml:space="preserve"> zásoby ropy a ropných produktov (EOSA)</w:t>
      </w:r>
      <w:r w:rsidRPr="00FA7FF2">
        <w:rPr>
          <w:rFonts w:ascii="Times New Roman" w:hAnsi="Times New Roman"/>
          <w:szCs w:val="22"/>
        </w:rPr>
        <w:t xml:space="preserve">. </w:t>
      </w:r>
    </w:p>
    <w:tbl>
      <w:tblPr>
        <w:tblStyle w:val="TableNormal"/>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657"/>
        <w:gridCol w:w="825"/>
        <w:gridCol w:w="825"/>
        <w:gridCol w:w="826"/>
        <w:gridCol w:w="825"/>
        <w:gridCol w:w="826"/>
        <w:gridCol w:w="825"/>
        <w:gridCol w:w="826"/>
      </w:tblGrid>
      <w:tr>
        <w:tblPrEx>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3"/>
        </w:trPr>
        <w:tc>
          <w:tcPr>
            <w:tcW w:w="9195" w:type="dxa"/>
            <w:gridSpan w:val="9"/>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5747A7" w:rsidRPr="00FA7FF2" w:rsidP="000156DC">
            <w:pPr>
              <w:bidi w:val="0"/>
              <w:rPr>
                <w:rFonts w:ascii="Times New Roman" w:hAnsi="Times New Roman"/>
                <w:b/>
                <w:bCs/>
                <w:sz w:val="16"/>
                <w:szCs w:val="16"/>
                <w:lang w:eastAsia="en-US"/>
              </w:rPr>
            </w:pPr>
            <w:r w:rsidRPr="00FA7FF2">
              <w:rPr>
                <w:rFonts w:ascii="Times New Roman" w:hAnsi="Times New Roman"/>
                <w:b/>
                <w:bCs/>
                <w:sz w:val="16"/>
                <w:szCs w:val="16"/>
                <w:lang w:eastAsia="en-US"/>
              </w:rPr>
              <w:t xml:space="preserve">Vývoj salda a dlhu verejnej správy </w:t>
            </w:r>
            <w:r w:rsidRPr="00FA7FF2">
              <w:rPr>
                <w:rFonts w:ascii="Times New Roman" w:hAnsi="Times New Roman"/>
                <w:bCs/>
                <w:sz w:val="16"/>
                <w:szCs w:val="16"/>
                <w:lang w:eastAsia="en-US"/>
              </w:rPr>
              <w:t xml:space="preserve">(ESA </w:t>
            </w:r>
            <w:r w:rsidRPr="00FA7FF2" w:rsidR="000156DC">
              <w:rPr>
                <w:rFonts w:ascii="Times New Roman" w:hAnsi="Times New Roman"/>
                <w:bCs/>
                <w:sz w:val="16"/>
                <w:szCs w:val="16"/>
                <w:lang w:eastAsia="en-US"/>
              </w:rPr>
              <w:t>2010</w:t>
            </w:r>
            <w:r w:rsidRPr="00FA7FF2">
              <w:rPr>
                <w:rFonts w:ascii="Times New Roman" w:hAnsi="Times New Roman"/>
                <w:bCs/>
                <w:sz w:val="16"/>
                <w:szCs w:val="16"/>
                <w:lang w:eastAsia="en-US"/>
              </w:rPr>
              <w:t>, % HDP)</w:t>
            </w:r>
          </w:p>
        </w:tc>
      </w:tr>
      <w:tr>
        <w:tblPrEx>
          <w:tblW w:w="9195" w:type="dxa"/>
          <w:tblInd w:w="93" w:type="dxa"/>
          <w:tblLayout w:type="fixed"/>
          <w:tblLook w:val="04A0"/>
        </w:tblPrEx>
        <w:trPr>
          <w:trHeight w:val="227"/>
        </w:trPr>
        <w:tc>
          <w:tcPr>
            <w:tcW w:w="3417" w:type="dxa"/>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 </w:t>
            </w:r>
          </w:p>
        </w:tc>
        <w:tc>
          <w:tcPr>
            <w:tcW w:w="8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2012 S</w:t>
            </w:r>
          </w:p>
        </w:tc>
        <w:tc>
          <w:tcPr>
            <w:tcW w:w="8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2013 S</w:t>
            </w:r>
          </w:p>
        </w:tc>
        <w:tc>
          <w:tcPr>
            <w:tcW w:w="82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2014 R</w:t>
            </w:r>
          </w:p>
        </w:tc>
        <w:tc>
          <w:tcPr>
            <w:tcW w:w="825" w:type="dxa"/>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2014OS</w:t>
            </w:r>
          </w:p>
        </w:tc>
        <w:tc>
          <w:tcPr>
            <w:tcW w:w="82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2015 N</w:t>
            </w:r>
          </w:p>
        </w:tc>
        <w:tc>
          <w:tcPr>
            <w:tcW w:w="82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2016 N</w:t>
            </w:r>
          </w:p>
        </w:tc>
        <w:tc>
          <w:tcPr>
            <w:tcW w:w="82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5747A7" w:rsidRPr="00FA7FF2" w:rsidP="00227F96">
            <w:pPr>
              <w:bidi w:val="0"/>
              <w:rPr>
                <w:rFonts w:ascii="Times New Roman" w:hAnsi="Times New Roman"/>
                <w:b/>
                <w:bCs/>
                <w:color w:val="000000"/>
                <w:sz w:val="16"/>
                <w:szCs w:val="16"/>
                <w:lang w:eastAsia="en-US"/>
              </w:rPr>
            </w:pPr>
            <w:r w:rsidRPr="00FA7FF2">
              <w:rPr>
                <w:rFonts w:ascii="Times New Roman" w:hAnsi="Times New Roman"/>
                <w:b/>
                <w:bCs/>
                <w:color w:val="000000"/>
                <w:sz w:val="16"/>
                <w:szCs w:val="16"/>
                <w:lang w:eastAsia="en-US"/>
              </w:rPr>
              <w:t>2017 N</w:t>
            </w:r>
          </w:p>
        </w:tc>
      </w:tr>
      <w:tr>
        <w:tblPrEx>
          <w:tblW w:w="9195" w:type="dxa"/>
          <w:tblInd w:w="93" w:type="dxa"/>
          <w:tblLayout w:type="fixed"/>
          <w:tblLook w:val="04A0"/>
        </w:tblPrEx>
        <w:trPr>
          <w:trHeight w:val="227"/>
        </w:trPr>
        <w:tc>
          <w:tcPr>
            <w:tcW w:w="3417"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227F96">
            <w:pPr>
              <w:bidi w:val="0"/>
              <w:rPr>
                <w:rFonts w:ascii="Times New Roman" w:hAnsi="Times New Roman"/>
                <w:color w:val="000000"/>
                <w:sz w:val="16"/>
                <w:szCs w:val="16"/>
                <w:lang w:eastAsia="en-US"/>
              </w:rPr>
            </w:pPr>
            <w:r w:rsidRPr="00FA7FF2">
              <w:rPr>
                <w:rFonts w:ascii="Times New Roman" w:hAnsi="Times New Roman"/>
                <w:color w:val="000000"/>
                <w:sz w:val="16"/>
                <w:szCs w:val="16"/>
                <w:lang w:eastAsia="en-US"/>
              </w:rPr>
              <w:t>Saldo VS</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sidR="000156DC">
              <w:rPr>
                <w:rFonts w:ascii="Times New Roman" w:hAnsi="Times New Roman"/>
                <w:color w:val="000000"/>
                <w:sz w:val="16"/>
                <w:szCs w:val="16"/>
                <w:lang w:eastAsia="en-US"/>
              </w:rPr>
              <w:t>-4,4</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sidR="000156DC">
              <w:rPr>
                <w:rFonts w:ascii="Times New Roman" w:hAnsi="Times New Roman"/>
                <w:color w:val="000000"/>
                <w:sz w:val="16"/>
                <w:szCs w:val="16"/>
                <w:lang w:eastAsia="en-US"/>
              </w:rPr>
              <w:t>-2,6</w:t>
            </w:r>
          </w:p>
        </w:tc>
        <w:tc>
          <w:tcPr>
            <w:tcW w:w="826"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Pr>
                <w:rFonts w:ascii="Times New Roman" w:hAnsi="Times New Roman"/>
                <w:color w:val="000000"/>
                <w:sz w:val="16"/>
                <w:szCs w:val="16"/>
                <w:lang w:eastAsia="en-US"/>
              </w:rPr>
              <w:t>-2,6</w:t>
            </w:r>
          </w:p>
        </w:tc>
        <w:tc>
          <w:tcPr>
            <w:tcW w:w="825" w:type="dxa"/>
            <w:tcBorders>
              <w:top w:val="single" w:sz="4" w:space="0" w:color="auto"/>
              <w:left w:val="single" w:sz="4" w:space="0" w:color="auto"/>
              <w:bottom w:val="single" w:sz="4" w:space="0" w:color="auto"/>
              <w:right w:val="single" w:sz="4" w:space="0" w:color="auto"/>
            </w:tcBorders>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sidR="000156DC">
              <w:rPr>
                <w:rFonts w:ascii="Times New Roman" w:hAnsi="Times New Roman"/>
                <w:color w:val="000000"/>
                <w:sz w:val="16"/>
                <w:szCs w:val="16"/>
                <w:lang w:eastAsia="en-US"/>
              </w:rPr>
              <w:t>-2,9</w:t>
            </w:r>
          </w:p>
        </w:tc>
        <w:tc>
          <w:tcPr>
            <w:tcW w:w="826"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Pr>
                <w:rFonts w:ascii="Times New Roman" w:hAnsi="Times New Roman"/>
                <w:color w:val="000000"/>
                <w:sz w:val="16"/>
                <w:szCs w:val="16"/>
                <w:lang w:eastAsia="en-US"/>
              </w:rPr>
              <w:t>-2,5</w:t>
            </w:r>
          </w:p>
        </w:tc>
        <w:tc>
          <w:tcPr>
            <w:tcW w:w="825"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Pr>
                <w:rFonts w:ascii="Times New Roman" w:hAnsi="Times New Roman"/>
                <w:color w:val="000000"/>
                <w:sz w:val="16"/>
                <w:szCs w:val="16"/>
                <w:lang w:eastAsia="en-US"/>
              </w:rPr>
              <w:t>-1,4</w:t>
            </w:r>
          </w:p>
        </w:tc>
        <w:tc>
          <w:tcPr>
            <w:tcW w:w="826" w:type="dxa"/>
            <w:tcBorders>
              <w:top w:val="single" w:sz="4" w:space="0" w:color="auto"/>
              <w:left w:val="single" w:sz="4" w:space="0" w:color="auto"/>
              <w:bottom w:val="single" w:sz="4" w:space="0" w:color="auto"/>
              <w:right w:val="single" w:sz="4" w:space="0" w:color="auto"/>
            </w:tcBorders>
            <w:noWrap/>
            <w:textDirection w:val="lrTb"/>
            <w:vAlign w:val="center"/>
          </w:tcPr>
          <w:p w:rsidR="005747A7" w:rsidRPr="00FA7FF2" w:rsidP="005114F0">
            <w:pPr>
              <w:bidi w:val="0"/>
              <w:jc w:val="center"/>
              <w:rPr>
                <w:rFonts w:ascii="Times New Roman" w:hAnsi="Times New Roman"/>
                <w:color w:val="000000"/>
                <w:sz w:val="16"/>
                <w:szCs w:val="16"/>
                <w:lang w:eastAsia="en-US"/>
              </w:rPr>
            </w:pPr>
            <w:r w:rsidRPr="00FA7FF2">
              <w:rPr>
                <w:rFonts w:ascii="Times New Roman" w:hAnsi="Times New Roman"/>
                <w:color w:val="000000"/>
                <w:sz w:val="16"/>
                <w:szCs w:val="16"/>
                <w:lang w:eastAsia="en-US"/>
              </w:rPr>
              <w:t>-0,4</w:t>
            </w:r>
          </w:p>
        </w:tc>
      </w:tr>
      <w:tr>
        <w:tblPrEx>
          <w:tblW w:w="9195" w:type="dxa"/>
          <w:tblInd w:w="93" w:type="dxa"/>
          <w:tblLayout w:type="fixed"/>
          <w:tblLook w:val="04A0"/>
        </w:tblPrEx>
        <w:trPr>
          <w:trHeight w:val="227"/>
        </w:trPr>
        <w:tc>
          <w:tcPr>
            <w:tcW w:w="3417"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5114F0" w:rsidRPr="00FA7FF2" w:rsidP="00227F96">
            <w:pPr>
              <w:bidi w:val="0"/>
              <w:rPr>
                <w:rFonts w:ascii="Times New Roman" w:hAnsi="Times New Roman"/>
                <w:color w:val="000000"/>
                <w:sz w:val="16"/>
                <w:szCs w:val="16"/>
                <w:lang w:eastAsia="en-US"/>
              </w:rPr>
            </w:pPr>
            <w:r w:rsidRPr="00FA7FF2">
              <w:rPr>
                <w:rFonts w:ascii="Times New Roman" w:hAnsi="Times New Roman"/>
                <w:color w:val="000000"/>
                <w:sz w:val="16"/>
                <w:szCs w:val="16"/>
                <w:lang w:eastAsia="en-US"/>
              </w:rPr>
              <w:t>Hrubý dlh VS</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bCs/>
                <w:sz w:val="16"/>
                <w:szCs w:val="16"/>
              </w:rPr>
            </w:pPr>
            <w:r w:rsidRPr="00FA7FF2">
              <w:rPr>
                <w:rFonts w:ascii="Times New Roman" w:hAnsi="Times New Roman"/>
                <w:bCs/>
                <w:sz w:val="16"/>
                <w:szCs w:val="16"/>
              </w:rPr>
              <w:t>52,1</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9D063C" w:rsidP="005114F0">
            <w:pPr>
              <w:bidi w:val="0"/>
              <w:jc w:val="center"/>
              <w:rPr>
                <w:rFonts w:ascii="Times New Roman" w:hAnsi="Times New Roman"/>
                <w:bCs/>
                <w:sz w:val="16"/>
                <w:szCs w:val="16"/>
              </w:rPr>
            </w:pPr>
            <w:r w:rsidRPr="009D063C">
              <w:rPr>
                <w:rFonts w:ascii="Times New Roman" w:hAnsi="Times New Roman"/>
                <w:bCs/>
                <w:sz w:val="16"/>
                <w:szCs w:val="16"/>
              </w:rPr>
              <w:t>54,6</w:t>
            </w:r>
          </w:p>
        </w:tc>
        <w:tc>
          <w:tcPr>
            <w:tcW w:w="826" w:type="dxa"/>
            <w:tcBorders>
              <w:top w:val="single" w:sz="4" w:space="0" w:color="auto"/>
              <w:left w:val="single" w:sz="4" w:space="0" w:color="auto"/>
              <w:bottom w:val="single" w:sz="4" w:space="0" w:color="auto"/>
              <w:right w:val="single" w:sz="4" w:space="0" w:color="auto"/>
            </w:tcBorders>
            <w:noWrap/>
            <w:textDirection w:val="lrTb"/>
            <w:vAlign w:val="center"/>
          </w:tcPr>
          <w:p w:rsidR="005114F0" w:rsidRPr="009D063C" w:rsidP="005114F0">
            <w:pPr>
              <w:bidi w:val="0"/>
              <w:jc w:val="center"/>
              <w:rPr>
                <w:rFonts w:ascii="Times New Roman" w:hAnsi="Times New Roman"/>
                <w:color w:val="000000"/>
                <w:sz w:val="16"/>
                <w:szCs w:val="16"/>
                <w:lang w:eastAsia="en-US"/>
              </w:rPr>
            </w:pPr>
            <w:r w:rsidRPr="009D063C">
              <w:rPr>
                <w:rFonts w:ascii="Times New Roman" w:hAnsi="Times New Roman"/>
                <w:color w:val="000000"/>
                <w:sz w:val="16"/>
                <w:szCs w:val="16"/>
                <w:lang w:eastAsia="en-US"/>
              </w:rPr>
              <w:t>56,5</w:t>
            </w:r>
          </w:p>
        </w:tc>
        <w:tc>
          <w:tcPr>
            <w:tcW w:w="825" w:type="dxa"/>
            <w:tcBorders>
              <w:top w:val="single" w:sz="4" w:space="0" w:color="auto"/>
              <w:left w:val="single" w:sz="4" w:space="0" w:color="auto"/>
              <w:bottom w:val="single" w:sz="4" w:space="0" w:color="auto"/>
              <w:right w:val="single" w:sz="4" w:space="0" w:color="auto"/>
            </w:tcBorders>
            <w:textDirection w:val="lrTb"/>
            <w:vAlign w:val="bottom"/>
          </w:tcPr>
          <w:p w:rsidR="005114F0" w:rsidRPr="009D063C" w:rsidP="005114F0">
            <w:pPr>
              <w:bidi w:val="0"/>
              <w:jc w:val="center"/>
              <w:rPr>
                <w:rFonts w:ascii="Times New Roman" w:hAnsi="Times New Roman"/>
                <w:bCs/>
                <w:sz w:val="16"/>
                <w:szCs w:val="16"/>
              </w:rPr>
            </w:pPr>
            <w:r w:rsidRPr="009D063C">
              <w:rPr>
                <w:rFonts w:ascii="Times New Roman" w:hAnsi="Times New Roman"/>
                <w:bCs/>
                <w:sz w:val="16"/>
                <w:szCs w:val="16"/>
              </w:rPr>
              <w:t>54,1</w:t>
            </w:r>
          </w:p>
        </w:tc>
        <w:tc>
          <w:tcPr>
            <w:tcW w:w="826"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9D063C" w:rsidP="005114F0">
            <w:pPr>
              <w:bidi w:val="0"/>
              <w:jc w:val="center"/>
              <w:rPr>
                <w:rFonts w:ascii="Times New Roman" w:hAnsi="Times New Roman"/>
                <w:bCs/>
                <w:sz w:val="16"/>
                <w:szCs w:val="16"/>
              </w:rPr>
            </w:pPr>
            <w:r w:rsidRPr="009D063C">
              <w:rPr>
                <w:rFonts w:ascii="Times New Roman" w:hAnsi="Times New Roman"/>
                <w:bCs/>
                <w:sz w:val="16"/>
                <w:szCs w:val="16"/>
              </w:rPr>
              <w:t>54,4</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9D063C" w:rsidP="005114F0">
            <w:pPr>
              <w:bidi w:val="0"/>
              <w:jc w:val="center"/>
              <w:rPr>
                <w:rFonts w:ascii="Times New Roman" w:hAnsi="Times New Roman"/>
                <w:bCs/>
                <w:sz w:val="16"/>
                <w:szCs w:val="16"/>
              </w:rPr>
            </w:pPr>
            <w:r w:rsidRPr="009D063C">
              <w:rPr>
                <w:rFonts w:ascii="Times New Roman" w:hAnsi="Times New Roman"/>
                <w:bCs/>
                <w:sz w:val="16"/>
                <w:szCs w:val="16"/>
              </w:rPr>
              <w:t>52,3</w:t>
            </w:r>
          </w:p>
        </w:tc>
        <w:tc>
          <w:tcPr>
            <w:tcW w:w="826"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9D063C" w:rsidP="005114F0">
            <w:pPr>
              <w:bidi w:val="0"/>
              <w:jc w:val="center"/>
              <w:rPr>
                <w:rFonts w:ascii="Times New Roman" w:hAnsi="Times New Roman"/>
                <w:bCs/>
                <w:sz w:val="16"/>
                <w:szCs w:val="16"/>
              </w:rPr>
            </w:pPr>
            <w:r w:rsidRPr="009D063C">
              <w:rPr>
                <w:rFonts w:ascii="Times New Roman" w:hAnsi="Times New Roman"/>
                <w:bCs/>
                <w:sz w:val="16"/>
                <w:szCs w:val="16"/>
              </w:rPr>
              <w:t>51,0</w:t>
            </w:r>
          </w:p>
        </w:tc>
      </w:tr>
      <w:tr>
        <w:tblPrEx>
          <w:tblW w:w="9195" w:type="dxa"/>
          <w:tblInd w:w="93" w:type="dxa"/>
          <w:tblLayout w:type="fixed"/>
          <w:tblLook w:val="04A0"/>
        </w:tblPrEx>
        <w:trPr>
          <w:trHeight w:val="227"/>
        </w:trPr>
        <w:tc>
          <w:tcPr>
            <w:tcW w:w="3417"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5114F0" w:rsidRPr="00FA7FF2" w:rsidP="00227F96">
            <w:pPr>
              <w:bidi w:val="0"/>
              <w:rPr>
                <w:rFonts w:ascii="Times New Roman" w:hAnsi="Times New Roman"/>
                <w:color w:val="000000"/>
                <w:sz w:val="16"/>
                <w:szCs w:val="16"/>
                <w:lang w:eastAsia="en-US"/>
              </w:rPr>
            </w:pPr>
            <w:r w:rsidRPr="00FA7FF2">
              <w:rPr>
                <w:rFonts w:ascii="Times New Roman" w:hAnsi="Times New Roman"/>
                <w:color w:val="000000"/>
                <w:sz w:val="16"/>
                <w:szCs w:val="16"/>
                <w:lang w:eastAsia="en-US"/>
              </w:rPr>
              <w:t>Štátny dlh (bez vplyvu EFSF a ESM)</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49,7</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51,3</w:t>
            </w:r>
          </w:p>
        </w:tc>
        <w:tc>
          <w:tcPr>
            <w:tcW w:w="826" w:type="dxa"/>
            <w:tcBorders>
              <w:top w:val="single" w:sz="4" w:space="0" w:color="auto"/>
              <w:left w:val="single" w:sz="4" w:space="0" w:color="auto"/>
              <w:bottom w:val="single" w:sz="4" w:space="0" w:color="auto"/>
              <w:right w:val="single" w:sz="4" w:space="0" w:color="auto"/>
            </w:tcBorders>
            <w:noWrap/>
            <w:textDirection w:val="lrTb"/>
            <w:vAlign w:val="center"/>
          </w:tcPr>
          <w:p w:rsidR="005114F0" w:rsidRPr="00FA7FF2" w:rsidP="005114F0">
            <w:pPr>
              <w:bidi w:val="0"/>
              <w:jc w:val="center"/>
              <w:rPr>
                <w:rFonts w:ascii="Times New Roman" w:hAnsi="Times New Roman"/>
                <w:color w:val="000000"/>
                <w:sz w:val="16"/>
                <w:szCs w:val="16"/>
                <w:lang w:eastAsia="en-US"/>
              </w:rPr>
            </w:pPr>
            <w:r w:rsidRPr="00FA7FF2">
              <w:rPr>
                <w:rFonts w:ascii="Times New Roman" w:hAnsi="Times New Roman"/>
                <w:color w:val="000000"/>
                <w:sz w:val="16"/>
                <w:szCs w:val="16"/>
                <w:lang w:eastAsia="en-US"/>
              </w:rPr>
              <w:t>51,7</w:t>
            </w:r>
          </w:p>
        </w:tc>
        <w:tc>
          <w:tcPr>
            <w:tcW w:w="825" w:type="dxa"/>
            <w:tcBorders>
              <w:top w:val="single" w:sz="4" w:space="0" w:color="auto"/>
              <w:left w:val="single" w:sz="4" w:space="0" w:color="auto"/>
              <w:bottom w:val="single" w:sz="4" w:space="0" w:color="auto"/>
              <w:right w:val="single" w:sz="4" w:space="0" w:color="auto"/>
            </w:tcBorders>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50,5</w:t>
            </w:r>
          </w:p>
        </w:tc>
        <w:tc>
          <w:tcPr>
            <w:tcW w:w="826"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50,9</w:t>
            </w:r>
          </w:p>
        </w:tc>
        <w:tc>
          <w:tcPr>
            <w:tcW w:w="825"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49,0</w:t>
            </w:r>
          </w:p>
        </w:tc>
        <w:tc>
          <w:tcPr>
            <w:tcW w:w="826" w:type="dxa"/>
            <w:tcBorders>
              <w:top w:val="single" w:sz="4" w:space="0" w:color="auto"/>
              <w:left w:val="single" w:sz="4" w:space="0" w:color="auto"/>
              <w:bottom w:val="single" w:sz="4" w:space="0" w:color="auto"/>
              <w:right w:val="single" w:sz="4" w:space="0" w:color="auto"/>
            </w:tcBorders>
            <w:noWrap/>
            <w:textDirection w:val="lrTb"/>
            <w:vAlign w:val="bottom"/>
          </w:tcPr>
          <w:p w:rsidR="005114F0" w:rsidRPr="00FA7FF2" w:rsidP="005114F0">
            <w:pPr>
              <w:bidi w:val="0"/>
              <w:jc w:val="center"/>
              <w:rPr>
                <w:rFonts w:ascii="Times New Roman" w:hAnsi="Times New Roman"/>
                <w:color w:val="000000"/>
                <w:sz w:val="16"/>
                <w:szCs w:val="16"/>
              </w:rPr>
            </w:pPr>
            <w:r w:rsidRPr="00FA7FF2">
              <w:rPr>
                <w:rFonts w:ascii="Times New Roman" w:hAnsi="Times New Roman"/>
                <w:color w:val="000000"/>
                <w:sz w:val="16"/>
                <w:szCs w:val="16"/>
              </w:rPr>
              <w:t>47,9</w:t>
            </w:r>
          </w:p>
        </w:tc>
      </w:tr>
      <w:tr>
        <w:tblPrEx>
          <w:tblW w:w="9195" w:type="dxa"/>
          <w:tblInd w:w="93" w:type="dxa"/>
          <w:tblLayout w:type="fixed"/>
          <w:tblLook w:val="04A0"/>
        </w:tblPrEx>
        <w:trPr>
          <w:trHeight w:val="170"/>
        </w:trPr>
        <w:tc>
          <w:tcPr>
            <w:tcW w:w="760" w:type="dxa"/>
            <w:tcBorders>
              <w:top w:val="single" w:sz="4" w:space="0" w:color="auto"/>
              <w:left w:val="nil"/>
              <w:bottom w:val="nil"/>
              <w:right w:val="nil"/>
            </w:tcBorders>
            <w:textDirection w:val="lrTb"/>
            <w:vAlign w:val="center"/>
          </w:tcPr>
          <w:p w:rsidR="005747A7" w:rsidRPr="00FA7FF2" w:rsidP="00227F96">
            <w:pPr>
              <w:bidi w:val="0"/>
              <w:rPr>
                <w:rFonts w:ascii="Times New Roman" w:hAnsi="Times New Roman"/>
                <w:i/>
                <w:iCs/>
                <w:color w:val="000000"/>
                <w:sz w:val="16"/>
                <w:szCs w:val="16"/>
                <w:lang w:eastAsia="en-US"/>
              </w:rPr>
            </w:pPr>
          </w:p>
        </w:tc>
        <w:tc>
          <w:tcPr>
            <w:tcW w:w="8435" w:type="dxa"/>
            <w:gridSpan w:val="8"/>
            <w:tcBorders>
              <w:top w:val="single" w:sz="4" w:space="0" w:color="auto"/>
              <w:left w:val="nil"/>
              <w:bottom w:val="nil"/>
              <w:right w:val="nil"/>
            </w:tcBorders>
            <w:noWrap/>
            <w:textDirection w:val="lrTb"/>
            <w:vAlign w:val="center"/>
          </w:tcPr>
          <w:p w:rsidR="005747A7" w:rsidRPr="00FA7FF2" w:rsidP="00227F96">
            <w:pPr>
              <w:bidi w:val="0"/>
              <w:jc w:val="right"/>
              <w:rPr>
                <w:rFonts w:ascii="Times New Roman" w:hAnsi="Times New Roman"/>
                <w:i/>
                <w:iCs/>
                <w:color w:val="000000"/>
                <w:sz w:val="16"/>
                <w:szCs w:val="16"/>
                <w:lang w:eastAsia="en-US"/>
              </w:rPr>
            </w:pPr>
            <w:r w:rsidRPr="00FA7FF2">
              <w:rPr>
                <w:rFonts w:ascii="Times New Roman" w:hAnsi="Times New Roman"/>
                <w:i/>
                <w:iCs/>
                <w:color w:val="000000"/>
                <w:sz w:val="16"/>
                <w:szCs w:val="16"/>
                <w:lang w:eastAsia="en-US"/>
              </w:rPr>
              <w:t>Zdroj: MF SR</w:t>
            </w:r>
          </w:p>
        </w:tc>
      </w:tr>
    </w:tbl>
    <w:p w:rsidR="005747A7" w:rsidRPr="00A92914" w:rsidP="00495003">
      <w:pPr>
        <w:bidi w:val="0"/>
        <w:spacing w:after="120"/>
        <w:jc w:val="both"/>
        <w:rPr>
          <w:rFonts w:ascii="Times New Roman" w:hAnsi="Times New Roman"/>
          <w:sz w:val="22"/>
          <w:szCs w:val="22"/>
          <w:highlight w:val="red"/>
        </w:rPr>
      </w:pPr>
    </w:p>
    <w:p w:rsidR="00495003" w:rsidRPr="00FA7FF2" w:rsidP="00FA7FF2">
      <w:pPr>
        <w:bidi w:val="0"/>
        <w:spacing w:after="120"/>
        <w:ind w:firstLine="708"/>
        <w:jc w:val="both"/>
        <w:rPr>
          <w:rFonts w:ascii="Times New Roman" w:hAnsi="Times New Roman"/>
          <w:szCs w:val="22"/>
        </w:rPr>
      </w:pPr>
      <w:r w:rsidRPr="00FA7FF2">
        <w:rPr>
          <w:rFonts w:ascii="Times New Roman" w:hAnsi="Times New Roman"/>
          <w:szCs w:val="22"/>
        </w:rPr>
        <w:t xml:space="preserve">Analytický pohľad na príspevky jednotlivých faktorov k zmene dlhu ukazuje, že </w:t>
      </w:r>
      <w:r w:rsidRPr="00FA7FF2" w:rsidR="00BE782C">
        <w:rPr>
          <w:rFonts w:ascii="Times New Roman" w:hAnsi="Times New Roman"/>
          <w:szCs w:val="22"/>
        </w:rPr>
        <w:t>pokles</w:t>
      </w:r>
      <w:r w:rsidRPr="00FA7FF2">
        <w:rPr>
          <w:rFonts w:ascii="Times New Roman" w:hAnsi="Times New Roman"/>
          <w:szCs w:val="22"/>
        </w:rPr>
        <w:t xml:space="preserve"> dlhu </w:t>
      </w:r>
      <w:r w:rsidRPr="00FA7FF2" w:rsidR="00BE782C">
        <w:rPr>
          <w:rFonts w:ascii="Times New Roman" w:hAnsi="Times New Roman"/>
          <w:szCs w:val="22"/>
        </w:rPr>
        <w:t>je</w:t>
      </w:r>
      <w:r w:rsidRPr="00FA7FF2">
        <w:rPr>
          <w:rFonts w:ascii="Times New Roman" w:hAnsi="Times New Roman"/>
          <w:szCs w:val="22"/>
        </w:rPr>
        <w:t xml:space="preserve"> podmienený </w:t>
      </w:r>
      <w:r w:rsidRPr="00FA7FF2" w:rsidR="0062430E">
        <w:rPr>
          <w:rFonts w:ascii="Times New Roman" w:hAnsi="Times New Roman"/>
          <w:szCs w:val="22"/>
        </w:rPr>
        <w:t>zlepšením primárneho salda (tz. salda verejnej správy očist</w:t>
      </w:r>
      <w:r w:rsidRPr="00FA7FF2" w:rsidR="00AE6862">
        <w:rPr>
          <w:rFonts w:ascii="Times New Roman" w:hAnsi="Times New Roman"/>
          <w:szCs w:val="22"/>
        </w:rPr>
        <w:t>e</w:t>
      </w:r>
      <w:r w:rsidRPr="00FA7FF2" w:rsidR="0062430E">
        <w:rPr>
          <w:rFonts w:ascii="Times New Roman" w:hAnsi="Times New Roman"/>
          <w:szCs w:val="22"/>
        </w:rPr>
        <w:t>ného o úrokové náklady) a nominálnym rastom HDP</w:t>
      </w:r>
      <w:r w:rsidRPr="00FA7FF2">
        <w:rPr>
          <w:rFonts w:ascii="Times New Roman" w:hAnsi="Times New Roman"/>
          <w:szCs w:val="22"/>
        </w:rPr>
        <w:t>. Vzhľadom na pokračujúcu konsolidáciu sa od roku 2016 predpok</w:t>
      </w:r>
      <w:r w:rsidRPr="00FA7FF2" w:rsidR="0062430E">
        <w:rPr>
          <w:rFonts w:ascii="Times New Roman" w:hAnsi="Times New Roman"/>
          <w:szCs w:val="22"/>
        </w:rPr>
        <w:t>ladá prvýkrát primárny prebytok</w:t>
      </w:r>
      <w:r w:rsidRPr="00FA7FF2">
        <w:rPr>
          <w:rFonts w:ascii="Times New Roman" w:hAnsi="Times New Roman"/>
          <w:szCs w:val="22"/>
        </w:rPr>
        <w:t xml:space="preserve">. </w:t>
      </w:r>
    </w:p>
    <w:p w:rsidR="00235994" w:rsidRPr="00FA7FF2" w:rsidP="00FA7FF2">
      <w:pPr>
        <w:bidi w:val="0"/>
        <w:spacing w:before="240" w:after="120"/>
        <w:ind w:firstLine="708"/>
        <w:jc w:val="both"/>
        <w:rPr>
          <w:rFonts w:ascii="Times New Roman" w:hAnsi="Times New Roman"/>
          <w:szCs w:val="22"/>
        </w:rPr>
      </w:pPr>
      <w:r w:rsidRPr="00FA7FF2" w:rsidR="00495003">
        <w:rPr>
          <w:rFonts w:ascii="Times New Roman" w:hAnsi="Times New Roman"/>
          <w:szCs w:val="22"/>
        </w:rPr>
        <w:t xml:space="preserve">Príspevok zosúladenia dlhu a deficitu (ang. stock-flow adjustment) k zmene hrubého dlhu bude v prognózovanom období ovplyvnený vývojom zdrojov Štátnej pokladnice a rozdielom medzi hotovostným a akruálnym zaznamenaním salda verejnej správy. </w:t>
      </w:r>
      <w:r w:rsidRPr="00FA7FF2" w:rsidR="0062430E">
        <w:rPr>
          <w:rFonts w:ascii="Times New Roman" w:hAnsi="Times New Roman"/>
          <w:szCs w:val="22"/>
        </w:rPr>
        <w:t xml:space="preserve">V roku 2014 dôjde k splateniu úveru EOSA vo výške 0,7 % HDP, čo prispeje k dočasnému poklesu dlhu. </w:t>
      </w:r>
      <w:r w:rsidRPr="00FA7FF2" w:rsidR="00AE6862">
        <w:rPr>
          <w:rFonts w:ascii="Times New Roman" w:hAnsi="Times New Roman"/>
          <w:szCs w:val="22"/>
        </w:rPr>
        <w:t>H</w:t>
      </w:r>
      <w:r w:rsidRPr="00FA7FF2" w:rsidR="00495003">
        <w:rPr>
          <w:rFonts w:ascii="Times New Roman" w:hAnsi="Times New Roman"/>
          <w:szCs w:val="22"/>
        </w:rPr>
        <w:t xml:space="preserve">otovostný vplyv </w:t>
      </w:r>
      <w:r w:rsidRPr="00FA7FF2" w:rsidR="00AE6862">
        <w:rPr>
          <w:rFonts w:ascii="Times New Roman" w:hAnsi="Times New Roman"/>
          <w:szCs w:val="22"/>
        </w:rPr>
        <w:t xml:space="preserve">má taktiež </w:t>
      </w:r>
      <w:r w:rsidRPr="00FA7FF2" w:rsidR="00495003">
        <w:rPr>
          <w:rFonts w:ascii="Times New Roman" w:hAnsi="Times New Roman"/>
          <w:szCs w:val="22"/>
        </w:rPr>
        <w:t xml:space="preserve">plánovaná </w:t>
      </w:r>
      <w:r w:rsidR="00BA501C">
        <w:rPr>
          <w:rFonts w:ascii="Times New Roman" w:hAnsi="Times New Roman"/>
          <w:szCs w:val="22"/>
        </w:rPr>
        <w:t>realizácia predaja aktív štátu</w:t>
      </w:r>
      <w:r w:rsidRPr="00FA7FF2" w:rsidR="00AE6862">
        <w:rPr>
          <w:rFonts w:ascii="Times New Roman" w:hAnsi="Times New Roman"/>
          <w:szCs w:val="22"/>
        </w:rPr>
        <w:t xml:space="preserve"> </w:t>
      </w:r>
      <w:r w:rsidRPr="00FA7FF2" w:rsidR="00495003">
        <w:rPr>
          <w:rFonts w:ascii="Times New Roman" w:hAnsi="Times New Roman"/>
          <w:szCs w:val="22"/>
        </w:rPr>
        <w:t xml:space="preserve">vo výške 1,3 % HDP. Ďalšou položkou, ktorá ovplyvňuje veľkosť zosúladenia dlhu a deficitu, je podiel </w:t>
      </w:r>
      <w:r w:rsidRPr="00FA7FF2" w:rsidR="00A3219F">
        <w:rPr>
          <w:rFonts w:ascii="Times New Roman" w:hAnsi="Times New Roman"/>
          <w:szCs w:val="22"/>
        </w:rPr>
        <w:t>Slovenska</w:t>
      </w:r>
      <w:r w:rsidRPr="00FA7FF2" w:rsidR="00495003">
        <w:rPr>
          <w:rFonts w:ascii="Times New Roman" w:hAnsi="Times New Roman"/>
          <w:szCs w:val="22"/>
        </w:rPr>
        <w:t xml:space="preserve"> na dlhu EFSF</w:t>
      </w:r>
      <w:r w:rsidRPr="00FA7FF2" w:rsidR="00AE6862">
        <w:rPr>
          <w:rFonts w:ascii="Times New Roman" w:hAnsi="Times New Roman"/>
          <w:szCs w:val="22"/>
        </w:rPr>
        <w:t>.</w:t>
      </w:r>
      <w:r w:rsidRPr="00FA7FF2" w:rsidR="00495003">
        <w:rPr>
          <w:rFonts w:ascii="Times New Roman" w:hAnsi="Times New Roman"/>
          <w:szCs w:val="22"/>
        </w:rPr>
        <w:t xml:space="preserve"> </w:t>
      </w:r>
      <w:r w:rsidRPr="00FA7FF2" w:rsidR="00AE6862">
        <w:rPr>
          <w:rFonts w:ascii="Times New Roman" w:hAnsi="Times New Roman"/>
          <w:szCs w:val="22"/>
        </w:rPr>
        <w:t>V</w:t>
      </w:r>
      <w:r w:rsidRPr="00FA7FF2" w:rsidR="00495003">
        <w:rPr>
          <w:rFonts w:ascii="Times New Roman" w:hAnsi="Times New Roman"/>
          <w:szCs w:val="22"/>
        </w:rPr>
        <w:t xml:space="preserve"> roku 2013 bol zaznamenaný negatívny vplyv na dlh vo výške </w:t>
      </w:r>
      <w:r w:rsidR="00BA501C">
        <w:rPr>
          <w:rFonts w:ascii="Times New Roman" w:hAnsi="Times New Roman"/>
          <w:szCs w:val="22"/>
        </w:rPr>
        <w:br/>
      </w:r>
      <w:r w:rsidRPr="00FA7FF2" w:rsidR="00495003">
        <w:rPr>
          <w:rFonts w:ascii="Times New Roman" w:hAnsi="Times New Roman"/>
          <w:szCs w:val="22"/>
        </w:rPr>
        <w:t>0,6 % HDP a v roku 2014 sa očakáva dodatočných 0,2 % HDP. Hlavným faktorom prispievajúcim k poklesu dlhu ako podielu HDP je rast nominálneho HDP, ktorý od roku 201</w:t>
      </w:r>
      <w:r w:rsidRPr="00FA7FF2" w:rsidR="00AE6862">
        <w:rPr>
          <w:rFonts w:ascii="Times New Roman" w:hAnsi="Times New Roman"/>
          <w:szCs w:val="22"/>
        </w:rPr>
        <w:t>6</w:t>
      </w:r>
      <w:r w:rsidRPr="00FA7FF2" w:rsidR="00495003">
        <w:rPr>
          <w:rFonts w:ascii="Times New Roman" w:hAnsi="Times New Roman"/>
          <w:szCs w:val="22"/>
        </w:rPr>
        <w:t xml:space="preserve"> prevýši ostatné negatívne faktory a prispeje k znižovaniu dlhu.</w:t>
      </w:r>
    </w:p>
    <w:p w:rsidR="00235994" w:rsidRPr="00A92914" w:rsidP="00235994">
      <w:pPr>
        <w:bidi w:val="0"/>
        <w:spacing w:after="120"/>
        <w:jc w:val="both"/>
        <w:rPr>
          <w:rFonts w:ascii="Times New Roman" w:hAnsi="Times New Roman"/>
          <w:sz w:val="22"/>
          <w:szCs w:val="22"/>
          <w:highlight w:val="red"/>
        </w:rPr>
      </w:pPr>
    </w:p>
    <w:tbl>
      <w:tblPr>
        <w:tblStyle w:val="TableNormal"/>
        <w:tblW w:w="6172" w:type="dxa"/>
        <w:jc w:val="center"/>
        <w:tblInd w:w="-13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6172"/>
      </w:tblGrid>
      <w:tr>
        <w:tblPrEx>
          <w:tblW w:w="6172" w:type="dxa"/>
          <w:jc w:val="center"/>
          <w:tblInd w:w="-13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344"/>
          <w:jc w:val="center"/>
        </w:trPr>
        <w:tc>
          <w:tcPr>
            <w:tcW w:w="6172" w:type="dxa"/>
            <w:tcBorders>
              <w:top w:val="nil"/>
              <w:left w:val="nil"/>
              <w:bottom w:val="nil"/>
              <w:right w:val="nil"/>
            </w:tcBorders>
            <w:shd w:val="clear" w:color="auto" w:fill="A6A6A6"/>
            <w:textDirection w:val="lrTb"/>
            <w:vAlign w:val="center"/>
          </w:tcPr>
          <w:p w:rsidR="00235994" w:rsidRPr="00FA7FF2" w:rsidP="00EA5365">
            <w:pPr>
              <w:bidi w:val="0"/>
              <w:rPr>
                <w:rFonts w:ascii="Times New Roman" w:hAnsi="Times New Roman"/>
                <w:b/>
                <w:sz w:val="18"/>
                <w:szCs w:val="20"/>
              </w:rPr>
            </w:pPr>
            <w:r w:rsidRPr="00FA7FF2">
              <w:rPr>
                <w:rFonts w:ascii="Times New Roman" w:hAnsi="Times New Roman"/>
                <w:b/>
                <w:sz w:val="18"/>
                <w:szCs w:val="20"/>
              </w:rPr>
              <w:t xml:space="preserve">Príspevky faktorov k zmene hrubého dlhu verejnej správy </w:t>
            </w:r>
            <w:r w:rsidRPr="00FA7FF2">
              <w:rPr>
                <w:rFonts w:ascii="Times New Roman" w:hAnsi="Times New Roman"/>
                <w:sz w:val="18"/>
                <w:szCs w:val="20"/>
              </w:rPr>
              <w:t>(p. b.)</w:t>
            </w:r>
          </w:p>
        </w:tc>
      </w:tr>
      <w:tr>
        <w:tblPrEx>
          <w:tblW w:w="6172" w:type="dxa"/>
          <w:jc w:val="center"/>
          <w:tblInd w:w="-1359" w:type="dxa"/>
          <w:tblLayout w:type="fixed"/>
          <w:tblLook w:val="01E0"/>
        </w:tblPrEx>
        <w:trPr>
          <w:trHeight w:val="1719"/>
          <w:jc w:val="center"/>
        </w:trPr>
        <w:tc>
          <w:tcPr>
            <w:tcW w:w="6172" w:type="dxa"/>
            <w:tcBorders>
              <w:top w:val="nil"/>
              <w:left w:val="nil"/>
              <w:bottom w:val="single" w:sz="4" w:space="0" w:color="auto"/>
              <w:right w:val="nil"/>
            </w:tcBorders>
            <w:textDirection w:val="lrTb"/>
            <w:vAlign w:val="center"/>
          </w:tcPr>
          <w:p w:rsidR="00235994" w:rsidRPr="00A92914" w:rsidP="00EA5365">
            <w:pPr>
              <w:bidi w:val="0"/>
              <w:jc w:val="center"/>
              <w:rPr>
                <w:rFonts w:ascii="Times New Roman" w:hAnsi="Times New Roman"/>
                <w:b/>
                <w:highlight w:val="red"/>
              </w:rPr>
            </w:pPr>
            <w:r>
              <w:rPr>
                <w:rFonts w:ascii="Times New Roman" w:hAnsi="Times New Roman"/>
                <w:noProof/>
                <w:rtl w:val="0"/>
                <w:lang w:val="en-US" w:eastAsia="en-US"/>
              </w:rPr>
              <w:pict>
                <v:shape id="Graf 1" o:spid="_x0000_i1033" type="#_x0000_t75" style="width:298.36pt;height:223.29pt;visibility:visible" stroked="f">
                  <v:imagedata r:id="rId15" o:title="" cropbottom="-24f"/>
                  <o:lock v:ext="edit" aspectratio="f"/>
                </v:shape>
              </w:pict>
            </w:r>
          </w:p>
        </w:tc>
      </w:tr>
      <w:tr>
        <w:tblPrEx>
          <w:tblW w:w="6172" w:type="dxa"/>
          <w:jc w:val="center"/>
          <w:tblInd w:w="-1359" w:type="dxa"/>
          <w:tblLayout w:type="fixed"/>
          <w:tblCellMar>
            <w:left w:w="0" w:type="dxa"/>
            <w:right w:w="0" w:type="dxa"/>
          </w:tblCellMar>
          <w:tblLook w:val="01E0"/>
        </w:tblPrEx>
        <w:trPr>
          <w:trHeight w:val="58"/>
          <w:jc w:val="center"/>
        </w:trPr>
        <w:tc>
          <w:tcPr>
            <w:tcW w:w="6172" w:type="dxa"/>
            <w:tcBorders>
              <w:top w:val="single" w:sz="4" w:space="0" w:color="auto"/>
              <w:left w:val="nil"/>
              <w:bottom w:val="nil"/>
              <w:right w:val="nil"/>
            </w:tcBorders>
            <w:textDirection w:val="lrTb"/>
            <w:vAlign w:val="center"/>
          </w:tcPr>
          <w:p w:rsidR="00235994" w:rsidRPr="00A92914" w:rsidP="00A74DCA">
            <w:pPr>
              <w:bidi w:val="0"/>
              <w:jc w:val="right"/>
              <w:rPr>
                <w:rFonts w:ascii="Times New Roman" w:hAnsi="Times New Roman"/>
                <w:i/>
                <w:sz w:val="16"/>
                <w:szCs w:val="16"/>
              </w:rPr>
            </w:pPr>
            <w:r w:rsidRPr="00A92914">
              <w:rPr>
                <w:rFonts w:ascii="Times New Roman" w:hAnsi="Times New Roman"/>
                <w:i/>
                <w:sz w:val="14"/>
                <w:szCs w:val="16"/>
              </w:rPr>
              <w:t xml:space="preserve">Zdroj: </w:t>
            </w:r>
            <w:r w:rsidRPr="00A92914" w:rsidR="00A74DCA">
              <w:rPr>
                <w:rFonts w:ascii="Times New Roman" w:hAnsi="Times New Roman"/>
                <w:i/>
                <w:sz w:val="14"/>
                <w:szCs w:val="16"/>
              </w:rPr>
              <w:t>MF SR</w:t>
            </w:r>
          </w:p>
        </w:tc>
      </w:tr>
    </w:tbl>
    <w:p w:rsidR="00A649B2" w:rsidRPr="00FA7FF2" w:rsidP="004B7C2E">
      <w:pPr>
        <w:pStyle w:val="Heading1"/>
        <w:numPr>
          <w:numId w:val="26"/>
        </w:numPr>
        <w:bidi w:val="0"/>
        <w:spacing w:before="0" w:after="360"/>
        <w:ind w:left="357" w:hanging="357"/>
        <w:rPr>
          <w:rFonts w:ascii="Times New Roman" w:hAnsi="Times New Roman" w:cs="Times New Roman"/>
          <w:sz w:val="28"/>
        </w:rPr>
      </w:pPr>
      <w:r w:rsidRPr="00A92914" w:rsidR="00AB6488">
        <w:rPr>
          <w:rFonts w:ascii="Times New Roman" w:hAnsi="Times New Roman" w:cs="Times New Roman"/>
        </w:rPr>
        <w:br w:type="page"/>
      </w:r>
      <w:bookmarkStart w:id="54" w:name="_Toc394471516"/>
      <w:bookmarkStart w:id="55" w:name="_Toc394471862"/>
      <w:r w:rsidRPr="00FA7FF2" w:rsidR="00BD6A9D">
        <w:rPr>
          <w:rFonts w:ascii="Times New Roman" w:hAnsi="Times New Roman" w:cs="Times New Roman"/>
          <w:sz w:val="28"/>
        </w:rPr>
        <w:t>Strategické c</w:t>
      </w:r>
      <w:r w:rsidRPr="00FA7FF2">
        <w:rPr>
          <w:rFonts w:ascii="Times New Roman" w:hAnsi="Times New Roman" w:cs="Times New Roman"/>
          <w:sz w:val="28"/>
        </w:rPr>
        <w:t xml:space="preserve">iele </w:t>
      </w:r>
      <w:r w:rsidRPr="00FA7FF2" w:rsidR="00BD6A9D">
        <w:rPr>
          <w:rFonts w:ascii="Times New Roman" w:hAnsi="Times New Roman" w:cs="Times New Roman"/>
          <w:sz w:val="28"/>
        </w:rPr>
        <w:t>ria</w:t>
      </w:r>
      <w:r w:rsidRPr="00FA7FF2">
        <w:rPr>
          <w:rFonts w:ascii="Times New Roman" w:hAnsi="Times New Roman" w:cs="Times New Roman"/>
          <w:sz w:val="28"/>
        </w:rPr>
        <w:t>deni</w:t>
      </w:r>
      <w:r w:rsidRPr="00FA7FF2" w:rsidR="00BD6A9D">
        <w:rPr>
          <w:rFonts w:ascii="Times New Roman" w:hAnsi="Times New Roman" w:cs="Times New Roman"/>
          <w:sz w:val="28"/>
        </w:rPr>
        <w:t>a</w:t>
      </w:r>
      <w:r w:rsidRPr="00FA7FF2" w:rsidR="005840BF">
        <w:rPr>
          <w:rFonts w:ascii="Times New Roman" w:hAnsi="Times New Roman" w:cs="Times New Roman"/>
          <w:sz w:val="28"/>
        </w:rPr>
        <w:t xml:space="preserve"> </w:t>
      </w:r>
      <w:r w:rsidRPr="00FA7FF2" w:rsidR="00BD6A9D">
        <w:rPr>
          <w:rFonts w:ascii="Times New Roman" w:hAnsi="Times New Roman" w:cs="Times New Roman"/>
          <w:sz w:val="28"/>
        </w:rPr>
        <w:t xml:space="preserve">štátneho dlhu na roky </w:t>
      </w:r>
      <w:r w:rsidRPr="00FA7FF2" w:rsidR="00192994">
        <w:rPr>
          <w:rFonts w:ascii="Times New Roman" w:hAnsi="Times New Roman" w:cs="Times New Roman"/>
          <w:sz w:val="28"/>
        </w:rPr>
        <w:t>201</w:t>
      </w:r>
      <w:r w:rsidRPr="00FA7FF2" w:rsidR="00516ECE">
        <w:rPr>
          <w:rFonts w:ascii="Times New Roman" w:hAnsi="Times New Roman" w:cs="Times New Roman"/>
          <w:sz w:val="28"/>
        </w:rPr>
        <w:t>5</w:t>
      </w:r>
      <w:r w:rsidRPr="00FA7FF2" w:rsidR="00192994">
        <w:rPr>
          <w:rFonts w:ascii="Times New Roman" w:hAnsi="Times New Roman" w:cs="Times New Roman"/>
          <w:sz w:val="28"/>
        </w:rPr>
        <w:t xml:space="preserve"> </w:t>
      </w:r>
      <w:r w:rsidRPr="00FA7FF2" w:rsidR="00BD6A9D">
        <w:rPr>
          <w:rFonts w:ascii="Times New Roman" w:hAnsi="Times New Roman" w:cs="Times New Roman"/>
          <w:sz w:val="28"/>
        </w:rPr>
        <w:t>až 201</w:t>
      </w:r>
      <w:bookmarkEnd w:id="30"/>
      <w:r w:rsidRPr="00FA7FF2" w:rsidR="00516ECE">
        <w:rPr>
          <w:rFonts w:ascii="Times New Roman" w:hAnsi="Times New Roman" w:cs="Times New Roman"/>
          <w:sz w:val="28"/>
        </w:rPr>
        <w:t>8</w:t>
      </w:r>
      <w:bookmarkEnd w:id="54"/>
      <w:bookmarkEnd w:id="55"/>
    </w:p>
    <w:p w:rsidR="006A777D" w:rsidRPr="00FA7FF2" w:rsidP="00FA7FF2">
      <w:pPr>
        <w:bidi w:val="0"/>
        <w:spacing w:before="120" w:after="120"/>
        <w:ind w:firstLine="708"/>
        <w:jc w:val="both"/>
        <w:rPr>
          <w:rFonts w:ascii="Times New Roman" w:hAnsi="Times New Roman"/>
          <w:szCs w:val="22"/>
        </w:rPr>
      </w:pPr>
      <w:r w:rsidRPr="00FA7FF2" w:rsidR="00443271">
        <w:rPr>
          <w:rFonts w:ascii="Times New Roman" w:hAnsi="Times New Roman"/>
          <w:szCs w:val="22"/>
        </w:rPr>
        <w:t xml:space="preserve">Hlavným cieľom riadenia štátneho dlhu je zabezpečiť plnenie </w:t>
      </w:r>
      <w:r w:rsidRPr="00FA7FF2" w:rsidR="005F583B">
        <w:rPr>
          <w:rFonts w:ascii="Times New Roman" w:hAnsi="Times New Roman"/>
          <w:szCs w:val="22"/>
        </w:rPr>
        <w:t xml:space="preserve">finančných </w:t>
      </w:r>
      <w:r w:rsidRPr="00FA7FF2" w:rsidR="00443271">
        <w:rPr>
          <w:rFonts w:ascii="Times New Roman" w:hAnsi="Times New Roman"/>
          <w:szCs w:val="22"/>
        </w:rPr>
        <w:t xml:space="preserve">záväzkov štátu a zabezpečiť </w:t>
      </w:r>
      <w:r w:rsidRPr="00FA7FF2" w:rsidR="0079771C">
        <w:rPr>
          <w:rFonts w:ascii="Times New Roman" w:hAnsi="Times New Roman"/>
          <w:szCs w:val="22"/>
        </w:rPr>
        <w:t xml:space="preserve">spoľahlivé </w:t>
      </w:r>
      <w:r w:rsidRPr="00FA7FF2" w:rsidR="00443271">
        <w:rPr>
          <w:rFonts w:ascii="Times New Roman" w:hAnsi="Times New Roman"/>
          <w:szCs w:val="22"/>
        </w:rPr>
        <w:t>refinancovanie na kapitálovom trhu</w:t>
      </w:r>
      <w:r w:rsidRPr="00FA7FF2" w:rsidR="006A6465">
        <w:rPr>
          <w:rFonts w:ascii="Times New Roman" w:hAnsi="Times New Roman"/>
          <w:szCs w:val="22"/>
        </w:rPr>
        <w:t xml:space="preserve"> pri primeraných úrokových nákladoch</w:t>
      </w:r>
      <w:r w:rsidRPr="00FA7FF2" w:rsidR="0051400B">
        <w:rPr>
          <w:rFonts w:ascii="Times New Roman" w:hAnsi="Times New Roman"/>
          <w:szCs w:val="22"/>
        </w:rPr>
        <w:t xml:space="preserve"> a únosnej miere rizík</w:t>
      </w:r>
      <w:r w:rsidRPr="00FA7FF2" w:rsidR="00443271">
        <w:rPr>
          <w:rFonts w:ascii="Times New Roman" w:hAnsi="Times New Roman"/>
          <w:szCs w:val="22"/>
        </w:rPr>
        <w:t xml:space="preserve">. </w:t>
      </w:r>
      <w:r w:rsidRPr="00FA7FF2" w:rsidR="00CC6D54">
        <w:rPr>
          <w:rFonts w:ascii="Times New Roman" w:hAnsi="Times New Roman"/>
          <w:szCs w:val="22"/>
        </w:rPr>
        <w:t>Ciele formulované v stratégii na roky 201</w:t>
      </w:r>
      <w:r w:rsidRPr="00FA7FF2" w:rsidR="00516ECE">
        <w:rPr>
          <w:rFonts w:ascii="Times New Roman" w:hAnsi="Times New Roman"/>
          <w:szCs w:val="22"/>
        </w:rPr>
        <w:t>5</w:t>
      </w:r>
      <w:r w:rsidRPr="00FA7FF2" w:rsidR="00CC6D54">
        <w:rPr>
          <w:rFonts w:ascii="Times New Roman" w:hAnsi="Times New Roman"/>
          <w:szCs w:val="22"/>
        </w:rPr>
        <w:t xml:space="preserve"> až 201</w:t>
      </w:r>
      <w:r w:rsidRPr="00FA7FF2" w:rsidR="00516ECE">
        <w:rPr>
          <w:rFonts w:ascii="Times New Roman" w:hAnsi="Times New Roman"/>
          <w:szCs w:val="22"/>
        </w:rPr>
        <w:t xml:space="preserve">8 </w:t>
      </w:r>
      <w:r w:rsidRPr="00FA7FF2" w:rsidR="00CC6D54">
        <w:rPr>
          <w:rFonts w:ascii="Times New Roman" w:hAnsi="Times New Roman"/>
          <w:szCs w:val="22"/>
        </w:rPr>
        <w:t>sú v </w:t>
      </w:r>
      <w:r w:rsidRPr="00FA7FF2" w:rsidR="0079771C">
        <w:rPr>
          <w:rFonts w:ascii="Times New Roman" w:hAnsi="Times New Roman"/>
          <w:szCs w:val="22"/>
        </w:rPr>
        <w:t>súlade</w:t>
      </w:r>
      <w:r w:rsidRPr="00FA7FF2" w:rsidR="00CC6D54">
        <w:rPr>
          <w:rFonts w:ascii="Times New Roman" w:hAnsi="Times New Roman"/>
          <w:szCs w:val="22"/>
        </w:rPr>
        <w:t xml:space="preserve"> s cieľmi </w:t>
      </w:r>
      <w:r w:rsidRPr="00FA7FF2" w:rsidR="003B3F5B">
        <w:rPr>
          <w:rFonts w:ascii="Times New Roman" w:hAnsi="Times New Roman"/>
          <w:szCs w:val="22"/>
        </w:rPr>
        <w:t>predchádzajúcich</w:t>
      </w:r>
      <w:r w:rsidRPr="00FA7FF2" w:rsidR="00CC6D54">
        <w:rPr>
          <w:rFonts w:ascii="Times New Roman" w:hAnsi="Times New Roman"/>
          <w:szCs w:val="22"/>
        </w:rPr>
        <w:t xml:space="preserve"> stratégii. </w:t>
      </w:r>
      <w:r w:rsidRPr="00FA7FF2" w:rsidR="003B3F5B">
        <w:rPr>
          <w:rFonts w:ascii="Times New Roman" w:hAnsi="Times New Roman"/>
          <w:szCs w:val="22"/>
        </w:rPr>
        <w:t xml:space="preserve">Nastavenie </w:t>
      </w:r>
      <w:r w:rsidRPr="00FA7FF2" w:rsidR="00CC6D54">
        <w:rPr>
          <w:rFonts w:ascii="Times New Roman" w:hAnsi="Times New Roman"/>
          <w:szCs w:val="22"/>
        </w:rPr>
        <w:t>cie</w:t>
      </w:r>
      <w:r w:rsidRPr="00FA7FF2" w:rsidR="003B3F5B">
        <w:rPr>
          <w:rFonts w:ascii="Times New Roman" w:hAnsi="Times New Roman"/>
          <w:szCs w:val="22"/>
        </w:rPr>
        <w:t>ľov</w:t>
      </w:r>
      <w:r w:rsidRPr="00FA7FF2" w:rsidR="00CC6D54">
        <w:rPr>
          <w:rFonts w:ascii="Times New Roman" w:hAnsi="Times New Roman"/>
          <w:szCs w:val="22"/>
        </w:rPr>
        <w:t xml:space="preserve"> riadenia štátneho dlhu</w:t>
      </w:r>
      <w:r w:rsidRPr="00FA7FF2" w:rsidR="003B3F5B">
        <w:rPr>
          <w:rFonts w:ascii="Times New Roman" w:hAnsi="Times New Roman"/>
          <w:szCs w:val="22"/>
        </w:rPr>
        <w:t xml:space="preserve"> a likvidity </w:t>
      </w:r>
      <w:r w:rsidRPr="00FA7FF2" w:rsidR="00CC6D54">
        <w:rPr>
          <w:rFonts w:ascii="Times New Roman" w:hAnsi="Times New Roman"/>
          <w:szCs w:val="22"/>
        </w:rPr>
        <w:t>bol</w:t>
      </w:r>
      <w:r w:rsidRPr="00FA7FF2" w:rsidR="006A6465">
        <w:rPr>
          <w:rFonts w:ascii="Times New Roman" w:hAnsi="Times New Roman"/>
          <w:szCs w:val="22"/>
        </w:rPr>
        <w:t>o</w:t>
      </w:r>
      <w:r w:rsidRPr="00FA7FF2" w:rsidR="00CC6D54">
        <w:rPr>
          <w:rFonts w:ascii="Times New Roman" w:hAnsi="Times New Roman"/>
          <w:szCs w:val="22"/>
        </w:rPr>
        <w:t xml:space="preserve"> v</w:t>
      </w:r>
      <w:r w:rsidRPr="00FA7FF2" w:rsidR="0079771C">
        <w:rPr>
          <w:rFonts w:ascii="Times New Roman" w:hAnsi="Times New Roman"/>
          <w:szCs w:val="22"/>
        </w:rPr>
        <w:t>y</w:t>
      </w:r>
      <w:r w:rsidRPr="00FA7FF2" w:rsidR="00CC6D54">
        <w:rPr>
          <w:rFonts w:ascii="Times New Roman" w:hAnsi="Times New Roman"/>
          <w:szCs w:val="22"/>
        </w:rPr>
        <w:t>ho</w:t>
      </w:r>
      <w:r w:rsidRPr="00FA7FF2" w:rsidR="0079771C">
        <w:rPr>
          <w:rFonts w:ascii="Times New Roman" w:hAnsi="Times New Roman"/>
          <w:szCs w:val="22"/>
        </w:rPr>
        <w:t>vujúce</w:t>
      </w:r>
      <w:r w:rsidRPr="00FA7FF2" w:rsidR="00CC6D54">
        <w:rPr>
          <w:rFonts w:ascii="Times New Roman" w:hAnsi="Times New Roman"/>
          <w:szCs w:val="22"/>
        </w:rPr>
        <w:t xml:space="preserve"> pre podmienky ekonomiky a</w:t>
      </w:r>
      <w:r w:rsidRPr="00FA7FF2" w:rsidR="0079771C">
        <w:rPr>
          <w:rFonts w:ascii="Times New Roman" w:hAnsi="Times New Roman"/>
          <w:szCs w:val="22"/>
        </w:rPr>
        <w:t xml:space="preserve"> dostatočné pre </w:t>
      </w:r>
      <w:r w:rsidRPr="00FA7FF2" w:rsidR="00CC6D54">
        <w:rPr>
          <w:rFonts w:ascii="Times New Roman" w:hAnsi="Times New Roman"/>
          <w:szCs w:val="22"/>
        </w:rPr>
        <w:t>systém riadenia dlhu v SR</w:t>
      </w:r>
      <w:r w:rsidRPr="00FA7FF2" w:rsidR="003B3F5B">
        <w:rPr>
          <w:rFonts w:ascii="Times New Roman" w:hAnsi="Times New Roman"/>
          <w:szCs w:val="22"/>
        </w:rPr>
        <w:t xml:space="preserve"> v predchádzajúcom období</w:t>
      </w:r>
      <w:r w:rsidRPr="00FA7FF2" w:rsidR="00CC6D54">
        <w:rPr>
          <w:rFonts w:ascii="Times New Roman" w:hAnsi="Times New Roman"/>
          <w:szCs w:val="22"/>
        </w:rPr>
        <w:t xml:space="preserve">. Aktuálna </w:t>
      </w:r>
      <w:r w:rsidRPr="00FA7FF2" w:rsidR="001A104F">
        <w:rPr>
          <w:rFonts w:ascii="Times New Roman" w:hAnsi="Times New Roman"/>
          <w:szCs w:val="22"/>
        </w:rPr>
        <w:t xml:space="preserve">navrhovaná </w:t>
      </w:r>
      <w:r w:rsidRPr="00FA7FF2" w:rsidR="00CC6D54">
        <w:rPr>
          <w:rFonts w:ascii="Times New Roman" w:hAnsi="Times New Roman"/>
          <w:szCs w:val="22"/>
        </w:rPr>
        <w:t>stratégia mierne modifikuje kvantitatívne ciele riadenia rizika</w:t>
      </w:r>
      <w:r w:rsidRPr="00FA7FF2" w:rsidR="00DE351D">
        <w:rPr>
          <w:rFonts w:ascii="Times New Roman" w:hAnsi="Times New Roman"/>
          <w:szCs w:val="22"/>
        </w:rPr>
        <w:t xml:space="preserve"> a</w:t>
      </w:r>
      <w:r w:rsidRPr="00FA7FF2" w:rsidR="00CC6D54">
        <w:rPr>
          <w:rFonts w:ascii="Times New Roman" w:hAnsi="Times New Roman"/>
          <w:szCs w:val="22"/>
        </w:rPr>
        <w:t xml:space="preserve"> </w:t>
      </w:r>
      <w:r w:rsidRPr="00FA7FF2" w:rsidR="0079771C">
        <w:rPr>
          <w:rFonts w:ascii="Times New Roman" w:hAnsi="Times New Roman"/>
          <w:szCs w:val="22"/>
        </w:rPr>
        <w:t>upravuje</w:t>
      </w:r>
      <w:r w:rsidRPr="00FA7FF2" w:rsidR="00CC6D54">
        <w:rPr>
          <w:rFonts w:ascii="Times New Roman" w:hAnsi="Times New Roman"/>
          <w:szCs w:val="22"/>
        </w:rPr>
        <w:t xml:space="preserve"> ciele týkajúce sa diverzifikácie investorskej základne a skvalitnenia infraštruktúry štátneho dlhu.</w:t>
      </w:r>
      <w:r w:rsidRPr="00FA7FF2">
        <w:rPr>
          <w:rFonts w:ascii="Times New Roman" w:hAnsi="Times New Roman"/>
          <w:szCs w:val="22"/>
        </w:rPr>
        <w:t xml:space="preserve"> </w:t>
      </w:r>
    </w:p>
    <w:p w:rsidR="006A777D" w:rsidRPr="00FA7FF2" w:rsidP="00FA7FF2">
      <w:pPr>
        <w:bidi w:val="0"/>
        <w:spacing w:after="60"/>
        <w:ind w:firstLine="708"/>
        <w:jc w:val="both"/>
        <w:rPr>
          <w:rFonts w:ascii="Times New Roman" w:hAnsi="Times New Roman"/>
          <w:szCs w:val="22"/>
        </w:rPr>
      </w:pPr>
      <w:r w:rsidRPr="00FA7FF2">
        <w:rPr>
          <w:rFonts w:ascii="Times New Roman" w:hAnsi="Times New Roman"/>
          <w:szCs w:val="22"/>
        </w:rPr>
        <w:t>Napĺňanie sledovaných cieľov je podmienené dodržiavaním troch hlavných všeobecných princípov:</w:t>
      </w:r>
    </w:p>
    <w:p w:rsidR="006A777D" w:rsidRPr="00FA7FF2" w:rsidP="006A777D">
      <w:pPr>
        <w:bidi w:val="0"/>
        <w:spacing w:after="60"/>
        <w:jc w:val="both"/>
        <w:rPr>
          <w:rFonts w:ascii="Times New Roman" w:hAnsi="Times New Roman"/>
          <w:i/>
          <w:iCs/>
          <w:szCs w:val="22"/>
        </w:rPr>
      </w:pPr>
      <w:r w:rsidRPr="00FA7FF2">
        <w:rPr>
          <w:rFonts w:ascii="Times New Roman" w:hAnsi="Times New Roman"/>
          <w:b/>
          <w:bCs/>
          <w:i/>
          <w:iCs/>
          <w:szCs w:val="22"/>
        </w:rPr>
        <w:t>Princíp prvý:</w:t>
      </w:r>
      <w:r w:rsidRPr="00FA7FF2">
        <w:rPr>
          <w:rFonts w:ascii="Times New Roman" w:hAnsi="Times New Roman"/>
          <w:i/>
          <w:iCs/>
          <w:szCs w:val="22"/>
        </w:rPr>
        <w:t xml:space="preserve"> akékoľvek zvyšovanie dlhu musí byť transparentné a musí mať jasné pravidlá. Je potrebné vylúčiť nekontrolovaný a nekontrolovateľný rast dlhu.</w:t>
      </w:r>
    </w:p>
    <w:p w:rsidR="006A777D" w:rsidRPr="00FA7FF2" w:rsidP="006A777D">
      <w:pPr>
        <w:bidi w:val="0"/>
        <w:spacing w:after="60"/>
        <w:jc w:val="both"/>
        <w:rPr>
          <w:rFonts w:ascii="Times New Roman" w:hAnsi="Times New Roman"/>
          <w:i/>
          <w:iCs/>
          <w:szCs w:val="22"/>
        </w:rPr>
      </w:pPr>
      <w:r w:rsidRPr="00FA7FF2">
        <w:rPr>
          <w:rFonts w:ascii="Times New Roman" w:hAnsi="Times New Roman"/>
          <w:b/>
          <w:bCs/>
          <w:i/>
          <w:iCs/>
          <w:szCs w:val="22"/>
        </w:rPr>
        <w:t>Princíp druhý:</w:t>
      </w:r>
      <w:r w:rsidRPr="00FA7FF2">
        <w:rPr>
          <w:rFonts w:ascii="Times New Roman" w:hAnsi="Times New Roman"/>
          <w:i/>
          <w:iCs/>
          <w:szCs w:val="22"/>
        </w:rPr>
        <w:t xml:space="preserve"> pri aktívnom riadení dlhu majú byť preferované strednodobé a dlhodobé ciele pred krátkodobými úsporami. Krátkodobé “úspory” nesmú byť na úkor väčších nákladov alebo väčšieho rizika nákladov v budúcnosti.</w:t>
      </w:r>
    </w:p>
    <w:p w:rsidR="006A777D" w:rsidRPr="00FA7FF2" w:rsidP="006A777D">
      <w:pPr>
        <w:bidi w:val="0"/>
        <w:spacing w:after="60"/>
        <w:jc w:val="both"/>
        <w:rPr>
          <w:rFonts w:ascii="Times New Roman" w:hAnsi="Times New Roman"/>
          <w:bCs/>
          <w:i/>
          <w:iCs/>
          <w:szCs w:val="22"/>
        </w:rPr>
      </w:pPr>
      <w:r w:rsidRPr="00FA7FF2">
        <w:rPr>
          <w:rFonts w:ascii="Times New Roman" w:hAnsi="Times New Roman"/>
          <w:b/>
          <w:bCs/>
          <w:i/>
          <w:iCs/>
          <w:szCs w:val="22"/>
        </w:rPr>
        <w:t>Princíp tretí:</w:t>
      </w:r>
      <w:r w:rsidRPr="00FA7FF2">
        <w:rPr>
          <w:rFonts w:ascii="Times New Roman" w:hAnsi="Times New Roman"/>
          <w:bCs/>
          <w:i/>
          <w:iCs/>
          <w:szCs w:val="22"/>
        </w:rPr>
        <w:t xml:space="preserve"> riadenie dlhu má vychádzať z princípu optimálneho rizika. To znamená, že aktívne riadenie dlhu má vychádzať z kvantifikácie rozdielu medzi potenciálnym zväčšením nákladov, ktoré vyplýva z neriadeného rizika a s nákladmi spojenými na jeho elimináciu.</w:t>
      </w:r>
    </w:p>
    <w:p w:rsidR="00CC6D54" w:rsidRPr="00FA7FF2" w:rsidP="004012A1">
      <w:pPr>
        <w:numPr>
          <w:numId w:val="20"/>
        </w:numPr>
        <w:bidi w:val="0"/>
        <w:spacing w:before="240" w:after="120"/>
        <w:jc w:val="both"/>
        <w:rPr>
          <w:rFonts w:ascii="Times New Roman" w:hAnsi="Times New Roman"/>
          <w:szCs w:val="22"/>
          <w:u w:val="single"/>
        </w:rPr>
      </w:pPr>
      <w:r w:rsidRPr="00FA7FF2" w:rsidR="00706C55">
        <w:rPr>
          <w:rFonts w:ascii="Times New Roman" w:hAnsi="Times New Roman"/>
          <w:szCs w:val="22"/>
          <w:u w:val="single"/>
        </w:rPr>
        <w:t>Š</w:t>
      </w:r>
      <w:r w:rsidRPr="00FA7FF2">
        <w:rPr>
          <w:rFonts w:ascii="Times New Roman" w:hAnsi="Times New Roman"/>
          <w:szCs w:val="22"/>
          <w:u w:val="single"/>
        </w:rPr>
        <w:t xml:space="preserve">tandardizovanie </w:t>
      </w:r>
      <w:r w:rsidRPr="00FA7FF2" w:rsidR="00ED33DD">
        <w:rPr>
          <w:rFonts w:ascii="Times New Roman" w:hAnsi="Times New Roman"/>
          <w:szCs w:val="22"/>
          <w:u w:val="single"/>
        </w:rPr>
        <w:t>vlastností</w:t>
      </w:r>
      <w:r w:rsidRPr="00FA7FF2" w:rsidR="000A6712">
        <w:rPr>
          <w:rFonts w:ascii="Times New Roman" w:hAnsi="Times New Roman"/>
          <w:szCs w:val="22"/>
          <w:u w:val="single"/>
        </w:rPr>
        <w:t xml:space="preserve"> </w:t>
      </w:r>
      <w:r w:rsidRPr="00FA7FF2">
        <w:rPr>
          <w:rFonts w:ascii="Times New Roman" w:hAnsi="Times New Roman"/>
          <w:szCs w:val="22"/>
          <w:u w:val="single"/>
        </w:rPr>
        <w:t>nových emisií</w:t>
      </w:r>
      <w:r w:rsidRPr="00FA7FF2" w:rsidR="00ED33DD">
        <w:rPr>
          <w:rFonts w:ascii="Times New Roman" w:hAnsi="Times New Roman"/>
          <w:szCs w:val="22"/>
          <w:u w:val="single"/>
        </w:rPr>
        <w:t xml:space="preserve"> cenných papierov</w:t>
      </w:r>
    </w:p>
    <w:p w:rsidR="00CC6D54" w:rsidRPr="00FA7FF2" w:rsidP="00FA7FF2">
      <w:pPr>
        <w:bidi w:val="0"/>
        <w:spacing w:after="120"/>
        <w:ind w:firstLine="708"/>
        <w:jc w:val="both"/>
        <w:rPr>
          <w:rFonts w:ascii="Times New Roman" w:hAnsi="Times New Roman"/>
          <w:szCs w:val="22"/>
        </w:rPr>
      </w:pPr>
      <w:r w:rsidRPr="00FA7FF2" w:rsidR="0079771C">
        <w:rPr>
          <w:rFonts w:ascii="Times New Roman" w:hAnsi="Times New Roman"/>
          <w:szCs w:val="22"/>
        </w:rPr>
        <w:t xml:space="preserve">Slovenská republika už od prijatia eura </w:t>
      </w:r>
      <w:r w:rsidRPr="00FA7FF2" w:rsidR="006A777D">
        <w:rPr>
          <w:rFonts w:ascii="Times New Roman" w:hAnsi="Times New Roman"/>
          <w:szCs w:val="22"/>
        </w:rPr>
        <w:t xml:space="preserve">vydáva </w:t>
      </w:r>
      <w:r w:rsidRPr="00FA7FF2" w:rsidR="0079771C">
        <w:rPr>
          <w:rFonts w:ascii="Times New Roman" w:hAnsi="Times New Roman"/>
          <w:szCs w:val="22"/>
        </w:rPr>
        <w:t>dlhopisy</w:t>
      </w:r>
      <w:r w:rsidRPr="00FA7FF2">
        <w:rPr>
          <w:rFonts w:ascii="Times New Roman" w:hAnsi="Times New Roman"/>
          <w:szCs w:val="22"/>
        </w:rPr>
        <w:t xml:space="preserve"> </w:t>
      </w:r>
      <w:r w:rsidRPr="00FA7FF2" w:rsidR="00C64C2F">
        <w:rPr>
          <w:rFonts w:ascii="Times New Roman" w:hAnsi="Times New Roman"/>
          <w:szCs w:val="22"/>
        </w:rPr>
        <w:t xml:space="preserve">so </w:t>
      </w:r>
      <w:r w:rsidRPr="00FA7FF2">
        <w:rPr>
          <w:rFonts w:ascii="Times New Roman" w:hAnsi="Times New Roman"/>
          <w:szCs w:val="22"/>
        </w:rPr>
        <w:t>štandardn</w:t>
      </w:r>
      <w:r w:rsidRPr="00FA7FF2" w:rsidR="0079771C">
        <w:rPr>
          <w:rFonts w:ascii="Times New Roman" w:hAnsi="Times New Roman"/>
          <w:szCs w:val="22"/>
        </w:rPr>
        <w:t>ý</w:t>
      </w:r>
      <w:r w:rsidRPr="00FA7FF2" w:rsidR="00C64C2F">
        <w:rPr>
          <w:rFonts w:ascii="Times New Roman" w:hAnsi="Times New Roman"/>
          <w:szCs w:val="22"/>
        </w:rPr>
        <w:t>mi</w:t>
      </w:r>
      <w:r w:rsidRPr="00FA7FF2" w:rsidR="0079771C">
        <w:rPr>
          <w:rFonts w:ascii="Times New Roman" w:hAnsi="Times New Roman"/>
          <w:szCs w:val="22"/>
        </w:rPr>
        <w:t xml:space="preserve"> vlastnos</w:t>
      </w:r>
      <w:r w:rsidRPr="00FA7FF2" w:rsidR="00C64C2F">
        <w:rPr>
          <w:rFonts w:ascii="Times New Roman" w:hAnsi="Times New Roman"/>
          <w:szCs w:val="22"/>
        </w:rPr>
        <w:t>ťami</w:t>
      </w:r>
      <w:r w:rsidRPr="00FA7FF2" w:rsidR="0079771C">
        <w:rPr>
          <w:rFonts w:ascii="Times New Roman" w:hAnsi="Times New Roman"/>
          <w:szCs w:val="22"/>
        </w:rPr>
        <w:t xml:space="preserve">. </w:t>
      </w:r>
      <w:r w:rsidRPr="00FA7FF2" w:rsidR="00970DA2">
        <w:rPr>
          <w:rFonts w:ascii="Times New Roman" w:hAnsi="Times New Roman"/>
          <w:szCs w:val="22"/>
        </w:rPr>
        <w:t xml:space="preserve">Pre benchmarkovú emisiu dlhopisov je </w:t>
      </w:r>
      <w:r w:rsidRPr="00FA7FF2" w:rsidR="007B349B">
        <w:rPr>
          <w:rFonts w:ascii="Times New Roman" w:hAnsi="Times New Roman"/>
          <w:szCs w:val="22"/>
        </w:rPr>
        <w:t>štandardn</w:t>
      </w:r>
      <w:r w:rsidRPr="00FA7FF2" w:rsidR="00970DA2">
        <w:rPr>
          <w:rFonts w:ascii="Times New Roman" w:hAnsi="Times New Roman"/>
          <w:szCs w:val="22"/>
        </w:rPr>
        <w:t>á</w:t>
      </w:r>
      <w:r w:rsidRPr="00FA7FF2" w:rsidR="007B349B">
        <w:rPr>
          <w:rFonts w:ascii="Times New Roman" w:hAnsi="Times New Roman"/>
          <w:szCs w:val="22"/>
        </w:rPr>
        <w:t xml:space="preserve"> </w:t>
      </w:r>
      <w:r w:rsidRPr="00FA7FF2" w:rsidR="00970DA2">
        <w:rPr>
          <w:rFonts w:ascii="Times New Roman" w:hAnsi="Times New Roman"/>
          <w:szCs w:val="22"/>
        </w:rPr>
        <w:t xml:space="preserve">veľkosť </w:t>
      </w:r>
      <w:r w:rsidRPr="00FA7FF2" w:rsidR="0079771C">
        <w:rPr>
          <w:rFonts w:ascii="Times New Roman" w:hAnsi="Times New Roman"/>
          <w:szCs w:val="22"/>
        </w:rPr>
        <w:t>3</w:t>
      </w:r>
      <w:r w:rsidRPr="00FA7FF2" w:rsidR="00ED33DD">
        <w:rPr>
          <w:rFonts w:ascii="Times New Roman" w:hAnsi="Times New Roman"/>
          <w:szCs w:val="22"/>
        </w:rPr>
        <w:t xml:space="preserve"> mld. </w:t>
      </w:r>
      <w:r w:rsidRPr="00FA7FF2" w:rsidR="005747A7">
        <w:rPr>
          <w:rFonts w:ascii="Times New Roman" w:hAnsi="Times New Roman"/>
          <w:szCs w:val="22"/>
        </w:rPr>
        <w:t>eur</w:t>
      </w:r>
      <w:r w:rsidRPr="00FA7FF2" w:rsidR="00E31135">
        <w:rPr>
          <w:rFonts w:ascii="Times New Roman" w:hAnsi="Times New Roman"/>
          <w:szCs w:val="22"/>
        </w:rPr>
        <w:t xml:space="preserve"> (v menovitej hodnote)</w:t>
      </w:r>
      <w:r w:rsidRPr="00FA7FF2" w:rsidR="00ED33DD">
        <w:rPr>
          <w:rFonts w:ascii="Times New Roman" w:hAnsi="Times New Roman"/>
          <w:szCs w:val="22"/>
        </w:rPr>
        <w:t>.</w:t>
      </w:r>
      <w:r w:rsidRPr="00FA7FF2" w:rsidR="005840BF">
        <w:rPr>
          <w:rFonts w:ascii="Times New Roman" w:hAnsi="Times New Roman"/>
          <w:szCs w:val="22"/>
        </w:rPr>
        <w:t xml:space="preserve"> </w:t>
      </w:r>
      <w:r w:rsidRPr="00FA7FF2" w:rsidR="0079771C">
        <w:rPr>
          <w:rFonts w:ascii="Times New Roman" w:hAnsi="Times New Roman"/>
          <w:szCs w:val="22"/>
        </w:rPr>
        <w:t>Okrem veľkosti emisie dlhopisov</w:t>
      </w:r>
      <w:r w:rsidRPr="00FA7FF2" w:rsidR="00970DA2">
        <w:rPr>
          <w:rFonts w:ascii="Times New Roman" w:hAnsi="Times New Roman"/>
          <w:szCs w:val="22"/>
        </w:rPr>
        <w:t xml:space="preserve">, ktorá je viac závislá na veľkosti krajiny, jej dlhu a hotovostných tokov, </w:t>
      </w:r>
      <w:r w:rsidRPr="00FA7FF2" w:rsidR="0079771C">
        <w:rPr>
          <w:rFonts w:ascii="Times New Roman" w:hAnsi="Times New Roman"/>
          <w:szCs w:val="22"/>
        </w:rPr>
        <w:t xml:space="preserve">všetky ostatné charakteristiky </w:t>
      </w:r>
      <w:r w:rsidRPr="00FA7FF2" w:rsidR="00970DA2">
        <w:rPr>
          <w:rFonts w:ascii="Times New Roman" w:hAnsi="Times New Roman"/>
          <w:szCs w:val="22"/>
        </w:rPr>
        <w:t xml:space="preserve">dlhopisov </w:t>
      </w:r>
      <w:r w:rsidRPr="00FA7FF2" w:rsidR="0079771C">
        <w:rPr>
          <w:rFonts w:ascii="Times New Roman" w:hAnsi="Times New Roman"/>
          <w:szCs w:val="22"/>
        </w:rPr>
        <w:t xml:space="preserve">sú v súlade s kapitálovým trhom eurozóny (vrátane povinnej časti </w:t>
      </w:r>
      <w:r w:rsidRPr="00FA7FF2" w:rsidR="001A104F">
        <w:rPr>
          <w:rFonts w:ascii="Times New Roman" w:hAnsi="Times New Roman"/>
          <w:szCs w:val="22"/>
        </w:rPr>
        <w:t>„C</w:t>
      </w:r>
      <w:r w:rsidRPr="00FA7FF2" w:rsidR="00F45D9B">
        <w:rPr>
          <w:rFonts w:ascii="Times New Roman" w:hAnsi="Times New Roman"/>
          <w:szCs w:val="22"/>
        </w:rPr>
        <w:t xml:space="preserve">ollective </w:t>
      </w:r>
      <w:r w:rsidRPr="00FA7FF2" w:rsidR="001A104F">
        <w:rPr>
          <w:rFonts w:ascii="Times New Roman" w:hAnsi="Times New Roman"/>
          <w:szCs w:val="22"/>
        </w:rPr>
        <w:t>A</w:t>
      </w:r>
      <w:r w:rsidRPr="00FA7FF2" w:rsidR="00F45D9B">
        <w:rPr>
          <w:rFonts w:ascii="Times New Roman" w:hAnsi="Times New Roman"/>
          <w:szCs w:val="22"/>
        </w:rPr>
        <w:t xml:space="preserve">ction </w:t>
      </w:r>
      <w:r w:rsidRPr="00FA7FF2" w:rsidR="001A104F">
        <w:rPr>
          <w:rFonts w:ascii="Times New Roman" w:hAnsi="Times New Roman"/>
          <w:szCs w:val="22"/>
        </w:rPr>
        <w:t>C</w:t>
      </w:r>
      <w:r w:rsidRPr="00FA7FF2" w:rsidR="00F45D9B">
        <w:rPr>
          <w:rFonts w:ascii="Times New Roman" w:hAnsi="Times New Roman"/>
          <w:szCs w:val="22"/>
        </w:rPr>
        <w:t>lauses</w:t>
      </w:r>
      <w:r w:rsidRPr="00FA7FF2" w:rsidR="00D80DFC">
        <w:rPr>
          <w:rFonts w:ascii="Times New Roman" w:hAnsi="Times New Roman"/>
          <w:szCs w:val="22"/>
        </w:rPr>
        <w:t>“</w:t>
      </w:r>
      <w:r w:rsidRPr="00FA7FF2" w:rsidR="00F45D9B">
        <w:rPr>
          <w:rFonts w:ascii="Times New Roman" w:hAnsi="Times New Roman"/>
          <w:szCs w:val="22"/>
        </w:rPr>
        <w:t>)</w:t>
      </w:r>
      <w:r w:rsidRPr="00FA7FF2" w:rsidR="0079771C">
        <w:rPr>
          <w:rFonts w:ascii="Times New Roman" w:hAnsi="Times New Roman"/>
          <w:szCs w:val="22"/>
        </w:rPr>
        <w:t xml:space="preserve">. </w:t>
      </w:r>
      <w:r w:rsidRPr="00FA7FF2" w:rsidR="0051390D">
        <w:rPr>
          <w:rFonts w:ascii="Times New Roman" w:hAnsi="Times New Roman"/>
          <w:szCs w:val="22"/>
        </w:rPr>
        <w:t xml:space="preserve">Ak to situácia </w:t>
      </w:r>
      <w:r w:rsidRPr="00FA7FF2" w:rsidR="007B349B">
        <w:rPr>
          <w:rFonts w:ascii="Times New Roman" w:hAnsi="Times New Roman"/>
          <w:szCs w:val="22"/>
        </w:rPr>
        <w:t xml:space="preserve">na finančných trhoch </w:t>
      </w:r>
      <w:r w:rsidRPr="00FA7FF2" w:rsidR="0051390D">
        <w:rPr>
          <w:rFonts w:ascii="Times New Roman" w:hAnsi="Times New Roman"/>
          <w:szCs w:val="22"/>
        </w:rPr>
        <w:t>dovolí (aj vo forme priazniv</w:t>
      </w:r>
      <w:r w:rsidRPr="00FA7FF2" w:rsidR="00DF17C8">
        <w:rPr>
          <w:rFonts w:ascii="Times New Roman" w:hAnsi="Times New Roman"/>
          <w:szCs w:val="22"/>
        </w:rPr>
        <w:t>ého výnosu</w:t>
      </w:r>
      <w:r w:rsidRPr="00FA7FF2" w:rsidR="0051390D">
        <w:rPr>
          <w:rFonts w:ascii="Times New Roman" w:hAnsi="Times New Roman"/>
          <w:szCs w:val="22"/>
        </w:rPr>
        <w:t>), bude snah</w:t>
      </w:r>
      <w:r w:rsidRPr="00FA7FF2" w:rsidR="00970DA2">
        <w:rPr>
          <w:rFonts w:ascii="Times New Roman" w:hAnsi="Times New Roman"/>
          <w:szCs w:val="22"/>
        </w:rPr>
        <w:t>ou emitenta</w:t>
      </w:r>
      <w:r w:rsidRPr="00FA7FF2" w:rsidR="007B349B">
        <w:rPr>
          <w:rFonts w:ascii="Times New Roman" w:hAnsi="Times New Roman"/>
          <w:szCs w:val="22"/>
        </w:rPr>
        <w:t xml:space="preserve"> </w:t>
      </w:r>
      <w:r w:rsidRPr="00FA7FF2" w:rsidR="00F45D9B">
        <w:rPr>
          <w:rFonts w:ascii="Times New Roman" w:hAnsi="Times New Roman"/>
          <w:szCs w:val="22"/>
        </w:rPr>
        <w:t>vydať dlhopis</w:t>
      </w:r>
      <w:r w:rsidRPr="00FA7FF2" w:rsidR="003308AA">
        <w:rPr>
          <w:rFonts w:ascii="Times New Roman" w:hAnsi="Times New Roman"/>
          <w:szCs w:val="22"/>
        </w:rPr>
        <w:t xml:space="preserve"> </w:t>
      </w:r>
      <w:r w:rsidRPr="00FA7FF2" w:rsidR="00F45D9B">
        <w:rPr>
          <w:rFonts w:ascii="Times New Roman" w:hAnsi="Times New Roman"/>
          <w:szCs w:val="22"/>
        </w:rPr>
        <w:t xml:space="preserve">so </w:t>
      </w:r>
      <w:r w:rsidRPr="00FA7FF2" w:rsidR="0051390D">
        <w:rPr>
          <w:rFonts w:ascii="Times New Roman" w:hAnsi="Times New Roman"/>
          <w:szCs w:val="22"/>
        </w:rPr>
        <w:t>splatnosť</w:t>
      </w:r>
      <w:r w:rsidRPr="00FA7FF2" w:rsidR="00F45D9B">
        <w:rPr>
          <w:rFonts w:ascii="Times New Roman" w:hAnsi="Times New Roman"/>
          <w:szCs w:val="22"/>
        </w:rPr>
        <w:t>ou</w:t>
      </w:r>
      <w:r w:rsidRPr="00FA7FF2" w:rsidR="0051390D">
        <w:rPr>
          <w:rFonts w:ascii="Times New Roman" w:hAnsi="Times New Roman"/>
          <w:szCs w:val="22"/>
        </w:rPr>
        <w:t xml:space="preserve"> 30</w:t>
      </w:r>
      <w:r w:rsidRPr="00FA7FF2" w:rsidR="00E236CD">
        <w:rPr>
          <w:rFonts w:ascii="Times New Roman" w:hAnsi="Times New Roman"/>
          <w:szCs w:val="22"/>
        </w:rPr>
        <w:t> </w:t>
      </w:r>
      <w:r w:rsidRPr="00FA7FF2" w:rsidR="0051390D">
        <w:rPr>
          <w:rFonts w:ascii="Times New Roman" w:hAnsi="Times New Roman"/>
          <w:szCs w:val="22"/>
        </w:rPr>
        <w:t>rokov</w:t>
      </w:r>
      <w:r w:rsidRPr="00FA7FF2" w:rsidR="00DE351D">
        <w:rPr>
          <w:rFonts w:ascii="Times New Roman" w:hAnsi="Times New Roman"/>
          <w:szCs w:val="22"/>
        </w:rPr>
        <w:t xml:space="preserve"> (</w:t>
      </w:r>
      <w:r w:rsidRPr="00FA7FF2" w:rsidR="0051390D">
        <w:rPr>
          <w:rFonts w:ascii="Times New Roman" w:hAnsi="Times New Roman"/>
          <w:szCs w:val="22"/>
        </w:rPr>
        <w:t>pre ocenenie dlhodobých finančných aktív a</w:t>
      </w:r>
      <w:r w:rsidRPr="00FA7FF2" w:rsidR="00DE351D">
        <w:rPr>
          <w:rFonts w:ascii="Times New Roman" w:hAnsi="Times New Roman"/>
          <w:szCs w:val="22"/>
        </w:rPr>
        <w:t> </w:t>
      </w:r>
      <w:r w:rsidRPr="00FA7FF2" w:rsidR="0051390D">
        <w:rPr>
          <w:rFonts w:ascii="Times New Roman" w:hAnsi="Times New Roman"/>
          <w:szCs w:val="22"/>
        </w:rPr>
        <w:t>pasív</w:t>
      </w:r>
      <w:r w:rsidRPr="00FA7FF2" w:rsidR="00DE351D">
        <w:rPr>
          <w:rFonts w:ascii="Times New Roman" w:hAnsi="Times New Roman"/>
          <w:szCs w:val="22"/>
        </w:rPr>
        <w:t xml:space="preserve"> slovenských subjektov)</w:t>
      </w:r>
      <w:r w:rsidRPr="00FA7FF2" w:rsidR="0051390D">
        <w:rPr>
          <w:rFonts w:ascii="Times New Roman" w:hAnsi="Times New Roman"/>
          <w:szCs w:val="22"/>
        </w:rPr>
        <w:t xml:space="preserve">. </w:t>
      </w:r>
      <w:r w:rsidRPr="00FA7FF2">
        <w:rPr>
          <w:rFonts w:ascii="Times New Roman" w:hAnsi="Times New Roman"/>
          <w:szCs w:val="22"/>
        </w:rPr>
        <w:t xml:space="preserve">Okrem toho </w:t>
      </w:r>
      <w:r w:rsidRPr="00FA7FF2" w:rsidR="008A4F42">
        <w:rPr>
          <w:rFonts w:ascii="Times New Roman" w:hAnsi="Times New Roman"/>
          <w:szCs w:val="22"/>
        </w:rPr>
        <w:t>bude</w:t>
      </w:r>
      <w:r w:rsidRPr="00FA7FF2" w:rsidR="005840BF">
        <w:rPr>
          <w:rFonts w:ascii="Times New Roman" w:hAnsi="Times New Roman"/>
          <w:szCs w:val="22"/>
        </w:rPr>
        <w:t xml:space="preserve"> </w:t>
      </w:r>
      <w:r w:rsidRPr="00FA7FF2" w:rsidR="00DE351D">
        <w:rPr>
          <w:rFonts w:ascii="Times New Roman" w:hAnsi="Times New Roman"/>
          <w:szCs w:val="22"/>
        </w:rPr>
        <w:t>p</w:t>
      </w:r>
      <w:r w:rsidRPr="00FA7FF2">
        <w:rPr>
          <w:rFonts w:ascii="Times New Roman" w:hAnsi="Times New Roman"/>
          <w:szCs w:val="22"/>
        </w:rPr>
        <w:t>o</w:t>
      </w:r>
      <w:r w:rsidRPr="00FA7FF2" w:rsidR="00DE351D">
        <w:rPr>
          <w:rFonts w:ascii="Times New Roman" w:hAnsi="Times New Roman"/>
          <w:szCs w:val="22"/>
        </w:rPr>
        <w:t>kračovať</w:t>
      </w:r>
      <w:r w:rsidRPr="00FA7FF2">
        <w:rPr>
          <w:rFonts w:ascii="Times New Roman" w:hAnsi="Times New Roman"/>
          <w:szCs w:val="22"/>
        </w:rPr>
        <w:t xml:space="preserve"> realizáci</w:t>
      </w:r>
      <w:r w:rsidRPr="00FA7FF2" w:rsidR="00DE351D">
        <w:rPr>
          <w:rFonts w:ascii="Times New Roman" w:hAnsi="Times New Roman"/>
          <w:szCs w:val="22"/>
        </w:rPr>
        <w:t>a</w:t>
      </w:r>
      <w:r w:rsidRPr="00FA7FF2">
        <w:rPr>
          <w:rFonts w:ascii="Times New Roman" w:hAnsi="Times New Roman"/>
          <w:szCs w:val="22"/>
        </w:rPr>
        <w:t xml:space="preserve"> spätného odkupovania štátnych dlhopisov </w:t>
      </w:r>
      <w:r w:rsidRPr="00FA7FF2" w:rsidR="003957F8">
        <w:rPr>
          <w:rFonts w:ascii="Times New Roman" w:hAnsi="Times New Roman"/>
          <w:szCs w:val="22"/>
        </w:rPr>
        <w:t xml:space="preserve">a ŠPP </w:t>
      </w:r>
      <w:r w:rsidRPr="00FA7FF2">
        <w:rPr>
          <w:rFonts w:ascii="Times New Roman" w:hAnsi="Times New Roman"/>
          <w:szCs w:val="22"/>
        </w:rPr>
        <w:t xml:space="preserve">s cieľom </w:t>
      </w:r>
      <w:r w:rsidRPr="00FA7FF2" w:rsidR="00DE351D">
        <w:rPr>
          <w:rFonts w:ascii="Times New Roman" w:hAnsi="Times New Roman"/>
          <w:szCs w:val="22"/>
        </w:rPr>
        <w:t>udržiavania hotovostnej rezervy na dostatočne dlhý čas</w:t>
      </w:r>
      <w:r w:rsidRPr="00FA7FF2" w:rsidR="00833758">
        <w:rPr>
          <w:rFonts w:ascii="Times New Roman" w:hAnsi="Times New Roman"/>
          <w:szCs w:val="22"/>
        </w:rPr>
        <w:t>,</w:t>
      </w:r>
      <w:r w:rsidRPr="00FA7FF2" w:rsidR="00DE351D">
        <w:rPr>
          <w:rFonts w:ascii="Times New Roman" w:hAnsi="Times New Roman"/>
          <w:szCs w:val="22"/>
        </w:rPr>
        <w:t xml:space="preserve"> a</w:t>
      </w:r>
      <w:r w:rsidRPr="00FA7FF2" w:rsidR="00970DA2">
        <w:rPr>
          <w:rFonts w:ascii="Times New Roman" w:hAnsi="Times New Roman"/>
          <w:szCs w:val="22"/>
        </w:rPr>
        <w:t xml:space="preserve"> tiež </w:t>
      </w:r>
      <w:r w:rsidRPr="00FA7FF2" w:rsidR="00E31135">
        <w:rPr>
          <w:rFonts w:ascii="Times New Roman" w:hAnsi="Times New Roman"/>
          <w:szCs w:val="22"/>
        </w:rPr>
        <w:t xml:space="preserve">eliminovania </w:t>
      </w:r>
      <w:r w:rsidRPr="00FA7FF2">
        <w:rPr>
          <w:rFonts w:ascii="Times New Roman" w:hAnsi="Times New Roman"/>
          <w:szCs w:val="22"/>
        </w:rPr>
        <w:t>výkyv</w:t>
      </w:r>
      <w:r w:rsidRPr="00FA7FF2" w:rsidR="00E31135">
        <w:rPr>
          <w:rFonts w:ascii="Times New Roman" w:hAnsi="Times New Roman"/>
          <w:szCs w:val="22"/>
        </w:rPr>
        <w:t>ov</w:t>
      </w:r>
      <w:r w:rsidRPr="00FA7FF2">
        <w:rPr>
          <w:rFonts w:ascii="Times New Roman" w:hAnsi="Times New Roman"/>
          <w:szCs w:val="22"/>
        </w:rPr>
        <w:t xml:space="preserve"> v</w:t>
      </w:r>
      <w:r w:rsidRPr="00FA7FF2" w:rsidR="00DE351D">
        <w:rPr>
          <w:rFonts w:ascii="Times New Roman" w:hAnsi="Times New Roman"/>
          <w:szCs w:val="22"/>
        </w:rPr>
        <w:t> hotovostných tokoch</w:t>
      </w:r>
      <w:r w:rsidRPr="00FA7FF2" w:rsidR="007B349B">
        <w:rPr>
          <w:rFonts w:ascii="Times New Roman" w:hAnsi="Times New Roman"/>
          <w:szCs w:val="22"/>
        </w:rPr>
        <w:t xml:space="preserve"> spôsoben</w:t>
      </w:r>
      <w:r w:rsidRPr="00FA7FF2" w:rsidR="001A104F">
        <w:rPr>
          <w:rFonts w:ascii="Times New Roman" w:hAnsi="Times New Roman"/>
          <w:szCs w:val="22"/>
        </w:rPr>
        <w:t>ých</w:t>
      </w:r>
      <w:r w:rsidRPr="00FA7FF2" w:rsidR="007B349B">
        <w:rPr>
          <w:rFonts w:ascii="Times New Roman" w:hAnsi="Times New Roman"/>
          <w:szCs w:val="22"/>
        </w:rPr>
        <w:t xml:space="preserve"> najmä veľk</w:t>
      </w:r>
      <w:r w:rsidRPr="00FA7FF2" w:rsidR="00970DA2">
        <w:rPr>
          <w:rFonts w:ascii="Times New Roman" w:hAnsi="Times New Roman"/>
          <w:szCs w:val="22"/>
        </w:rPr>
        <w:t xml:space="preserve">osťou splatných benchmarkových </w:t>
      </w:r>
      <w:r w:rsidRPr="00FA7FF2" w:rsidR="007B349B">
        <w:rPr>
          <w:rFonts w:ascii="Times New Roman" w:hAnsi="Times New Roman"/>
          <w:szCs w:val="22"/>
        </w:rPr>
        <w:t>emisií</w:t>
      </w:r>
      <w:r w:rsidRPr="00FA7FF2" w:rsidR="00970DA2">
        <w:rPr>
          <w:rFonts w:ascii="Times New Roman" w:hAnsi="Times New Roman"/>
          <w:szCs w:val="22"/>
        </w:rPr>
        <w:t xml:space="preserve"> dlhopisov</w:t>
      </w:r>
      <w:r w:rsidRPr="00FA7FF2">
        <w:rPr>
          <w:rFonts w:ascii="Times New Roman" w:hAnsi="Times New Roman"/>
          <w:szCs w:val="22"/>
        </w:rPr>
        <w:t>.</w:t>
      </w:r>
    </w:p>
    <w:p w:rsidR="00CC6D54" w:rsidRPr="00FA7FF2" w:rsidP="00DE351D">
      <w:pPr>
        <w:numPr>
          <w:numId w:val="20"/>
        </w:numPr>
        <w:bidi w:val="0"/>
        <w:spacing w:before="240" w:after="120"/>
        <w:jc w:val="both"/>
        <w:rPr>
          <w:rFonts w:ascii="Times New Roman" w:hAnsi="Times New Roman"/>
          <w:szCs w:val="22"/>
          <w:u w:val="single"/>
        </w:rPr>
      </w:pPr>
      <w:r w:rsidRPr="00FA7FF2">
        <w:rPr>
          <w:rFonts w:ascii="Times New Roman" w:hAnsi="Times New Roman"/>
          <w:szCs w:val="22"/>
          <w:u w:val="single"/>
        </w:rPr>
        <w:t>Optimalizovanie štruktúry neobchodovateľného dlhu</w:t>
      </w:r>
    </w:p>
    <w:p w:rsidR="00CC6D54" w:rsidRPr="00FA7FF2" w:rsidP="00FA7FF2">
      <w:pPr>
        <w:bidi w:val="0"/>
        <w:spacing w:after="120"/>
        <w:ind w:firstLine="708"/>
        <w:jc w:val="both"/>
        <w:rPr>
          <w:rFonts w:ascii="Times New Roman" w:hAnsi="Times New Roman"/>
          <w:szCs w:val="22"/>
        </w:rPr>
      </w:pPr>
      <w:r w:rsidRPr="00FA7FF2" w:rsidR="00970DA2">
        <w:rPr>
          <w:rFonts w:ascii="Times New Roman" w:hAnsi="Times New Roman"/>
          <w:szCs w:val="22"/>
        </w:rPr>
        <w:t>Konsolidácia podielu neobchodovateľného dlhu bola už realizovaná. Do budúcnosti bude p</w:t>
      </w:r>
      <w:r w:rsidRPr="00FA7FF2">
        <w:rPr>
          <w:rFonts w:ascii="Times New Roman" w:hAnsi="Times New Roman"/>
          <w:szCs w:val="22"/>
        </w:rPr>
        <w:t>rijímanie nových úverov obmedz</w:t>
      </w:r>
      <w:r w:rsidRPr="00FA7FF2" w:rsidR="00FF7BEC">
        <w:rPr>
          <w:rFonts w:ascii="Times New Roman" w:hAnsi="Times New Roman"/>
          <w:szCs w:val="22"/>
        </w:rPr>
        <w:t>ené</w:t>
      </w:r>
      <w:r w:rsidRPr="00FA7FF2">
        <w:rPr>
          <w:rFonts w:ascii="Times New Roman" w:hAnsi="Times New Roman"/>
          <w:szCs w:val="22"/>
        </w:rPr>
        <w:t xml:space="preserve"> na prípady, keď je úver ekonomicky výhodnejší </w:t>
      </w:r>
      <w:r w:rsidRPr="00FA7FF2" w:rsidR="007B349B">
        <w:rPr>
          <w:rFonts w:ascii="Times New Roman" w:hAnsi="Times New Roman"/>
          <w:szCs w:val="22"/>
        </w:rPr>
        <w:t xml:space="preserve">alebo porovnateľný </w:t>
      </w:r>
      <w:r w:rsidRPr="00FA7FF2">
        <w:rPr>
          <w:rFonts w:ascii="Times New Roman" w:hAnsi="Times New Roman"/>
          <w:szCs w:val="22"/>
        </w:rPr>
        <w:t xml:space="preserve">ako vydanie cenného papiera (štátneho dlhopisu), prípadne prinesie ešte ďalšie </w:t>
      </w:r>
      <w:r w:rsidRPr="00FA7FF2" w:rsidR="00F957D8">
        <w:rPr>
          <w:rFonts w:ascii="Times New Roman" w:hAnsi="Times New Roman"/>
          <w:szCs w:val="22"/>
        </w:rPr>
        <w:t xml:space="preserve">vedľajšie </w:t>
      </w:r>
      <w:r w:rsidRPr="00FA7FF2" w:rsidR="007B349B">
        <w:rPr>
          <w:rFonts w:ascii="Times New Roman" w:hAnsi="Times New Roman"/>
          <w:szCs w:val="22"/>
        </w:rPr>
        <w:t>prínosy</w:t>
      </w:r>
      <w:r w:rsidRPr="00FA7FF2">
        <w:rPr>
          <w:rFonts w:ascii="Times New Roman" w:hAnsi="Times New Roman"/>
          <w:szCs w:val="22"/>
        </w:rPr>
        <w:t xml:space="preserve"> pre štát.</w:t>
      </w:r>
    </w:p>
    <w:p w:rsidR="00CC6D54" w:rsidRPr="00FA7FF2" w:rsidP="00DE351D">
      <w:pPr>
        <w:numPr>
          <w:numId w:val="20"/>
        </w:numPr>
        <w:bidi w:val="0"/>
        <w:spacing w:before="240" w:after="120"/>
        <w:jc w:val="both"/>
        <w:rPr>
          <w:rFonts w:ascii="Times New Roman" w:hAnsi="Times New Roman"/>
          <w:szCs w:val="22"/>
          <w:u w:val="single"/>
        </w:rPr>
      </w:pPr>
      <w:r w:rsidRPr="00FA7FF2">
        <w:rPr>
          <w:rFonts w:ascii="Times New Roman" w:hAnsi="Times New Roman"/>
          <w:szCs w:val="22"/>
          <w:u w:val="single"/>
        </w:rPr>
        <w:t xml:space="preserve">Dodržiavanie </w:t>
      </w:r>
      <w:r w:rsidRPr="00FA7FF2" w:rsidR="00B40A33">
        <w:rPr>
          <w:rFonts w:ascii="Times New Roman" w:hAnsi="Times New Roman"/>
          <w:szCs w:val="22"/>
          <w:u w:val="single"/>
        </w:rPr>
        <w:t xml:space="preserve">parametrov </w:t>
      </w:r>
      <w:r w:rsidRPr="00FA7FF2">
        <w:rPr>
          <w:rFonts w:ascii="Times New Roman" w:hAnsi="Times New Roman"/>
          <w:szCs w:val="22"/>
          <w:u w:val="single"/>
        </w:rPr>
        <w:t>refinančného, úrokového a </w:t>
      </w:r>
      <w:r w:rsidRPr="00FA7FF2" w:rsidR="007B349B">
        <w:rPr>
          <w:rFonts w:ascii="Times New Roman" w:hAnsi="Times New Roman"/>
          <w:szCs w:val="22"/>
          <w:u w:val="single"/>
        </w:rPr>
        <w:t>cudzomenovéh</w:t>
      </w:r>
      <w:r w:rsidRPr="00FA7FF2">
        <w:rPr>
          <w:rFonts w:ascii="Times New Roman" w:hAnsi="Times New Roman"/>
          <w:szCs w:val="22"/>
          <w:u w:val="single"/>
        </w:rPr>
        <w:t>o rizika štátneho dlhu</w:t>
      </w:r>
    </w:p>
    <w:p w:rsidR="00CC6D54" w:rsidRPr="00FA7FF2" w:rsidP="00FA7FF2">
      <w:pPr>
        <w:bidi w:val="0"/>
        <w:spacing w:after="120"/>
        <w:ind w:firstLine="708"/>
        <w:jc w:val="both"/>
        <w:rPr>
          <w:rFonts w:ascii="Times New Roman" w:hAnsi="Times New Roman"/>
          <w:szCs w:val="22"/>
        </w:rPr>
      </w:pPr>
      <w:r w:rsidRPr="00FA7FF2" w:rsidR="00970DA2">
        <w:rPr>
          <w:rFonts w:ascii="Times New Roman" w:hAnsi="Times New Roman"/>
          <w:szCs w:val="22"/>
        </w:rPr>
        <w:t xml:space="preserve">Aj v budúcom období </w:t>
      </w:r>
      <w:r w:rsidRPr="00FA7FF2" w:rsidR="001A104F">
        <w:rPr>
          <w:rFonts w:ascii="Times New Roman" w:hAnsi="Times New Roman"/>
          <w:szCs w:val="22"/>
        </w:rPr>
        <w:t>bude</w:t>
      </w:r>
      <w:r w:rsidRPr="00FA7FF2" w:rsidR="006228AF">
        <w:rPr>
          <w:rFonts w:ascii="Times New Roman" w:hAnsi="Times New Roman"/>
          <w:szCs w:val="22"/>
        </w:rPr>
        <w:t xml:space="preserve"> potrebné </w:t>
      </w:r>
      <w:r w:rsidRPr="00FA7FF2" w:rsidR="00970DA2">
        <w:rPr>
          <w:rFonts w:ascii="Times New Roman" w:hAnsi="Times New Roman"/>
          <w:szCs w:val="22"/>
        </w:rPr>
        <w:t>p</w:t>
      </w:r>
      <w:r w:rsidRPr="00FA7FF2">
        <w:rPr>
          <w:rFonts w:ascii="Times New Roman" w:hAnsi="Times New Roman"/>
          <w:szCs w:val="22"/>
        </w:rPr>
        <w:t>okračovať v sledovaní refinančného a úrokového rizika</w:t>
      </w:r>
      <w:r w:rsidRPr="00FA7FF2" w:rsidR="00970DA2">
        <w:rPr>
          <w:rFonts w:ascii="Times New Roman" w:hAnsi="Times New Roman"/>
          <w:szCs w:val="22"/>
        </w:rPr>
        <w:t>,</w:t>
      </w:r>
      <w:r w:rsidRPr="00FA7FF2">
        <w:rPr>
          <w:rFonts w:ascii="Times New Roman" w:hAnsi="Times New Roman"/>
          <w:szCs w:val="22"/>
        </w:rPr>
        <w:t xml:space="preserve"> s mierne modifikovanými </w:t>
      </w:r>
      <w:r w:rsidRPr="00FA7FF2" w:rsidR="00970DA2">
        <w:rPr>
          <w:rFonts w:ascii="Times New Roman" w:hAnsi="Times New Roman"/>
          <w:szCs w:val="22"/>
        </w:rPr>
        <w:t xml:space="preserve">cieľovými hodnotami </w:t>
      </w:r>
      <w:r w:rsidRPr="00FA7FF2">
        <w:rPr>
          <w:rFonts w:ascii="Times New Roman" w:hAnsi="Times New Roman"/>
          <w:szCs w:val="22"/>
        </w:rPr>
        <w:t>parametr</w:t>
      </w:r>
      <w:r w:rsidRPr="00FA7FF2" w:rsidR="00970DA2">
        <w:rPr>
          <w:rFonts w:ascii="Times New Roman" w:hAnsi="Times New Roman"/>
          <w:szCs w:val="22"/>
        </w:rPr>
        <w:t>ov</w:t>
      </w:r>
      <w:r w:rsidRPr="00FA7FF2">
        <w:rPr>
          <w:rFonts w:ascii="Times New Roman" w:hAnsi="Times New Roman"/>
          <w:szCs w:val="22"/>
        </w:rPr>
        <w:t>.</w:t>
      </w:r>
      <w:r w:rsidRPr="00FA7FF2">
        <w:rPr>
          <w:rFonts w:ascii="Times New Roman" w:hAnsi="Times New Roman"/>
          <w:color w:val="FF0000"/>
          <w:szCs w:val="22"/>
        </w:rPr>
        <w:t xml:space="preserve"> </w:t>
      </w:r>
      <w:r w:rsidRPr="00FA7FF2">
        <w:rPr>
          <w:rFonts w:ascii="Times New Roman" w:hAnsi="Times New Roman"/>
          <w:szCs w:val="22"/>
        </w:rPr>
        <w:t xml:space="preserve">V predchádzajúcom období boli </w:t>
      </w:r>
      <w:r w:rsidRPr="00FA7FF2" w:rsidR="00501441">
        <w:rPr>
          <w:rFonts w:ascii="Times New Roman" w:hAnsi="Times New Roman"/>
          <w:szCs w:val="22"/>
        </w:rPr>
        <w:t>zjednotené</w:t>
      </w:r>
      <w:r w:rsidRPr="00FA7FF2">
        <w:rPr>
          <w:rFonts w:ascii="Times New Roman" w:hAnsi="Times New Roman"/>
          <w:szCs w:val="22"/>
        </w:rPr>
        <w:t xml:space="preserve"> typy </w:t>
      </w:r>
      <w:r w:rsidRPr="00FA7FF2" w:rsidR="001F6856">
        <w:rPr>
          <w:rFonts w:ascii="Times New Roman" w:hAnsi="Times New Roman"/>
          <w:szCs w:val="22"/>
        </w:rPr>
        <w:t xml:space="preserve">ukazovateľov </w:t>
      </w:r>
      <w:r w:rsidRPr="00FA7FF2">
        <w:rPr>
          <w:rFonts w:ascii="Times New Roman" w:hAnsi="Times New Roman"/>
          <w:szCs w:val="22"/>
        </w:rPr>
        <w:t xml:space="preserve">pre sledovanie rizík kumulatívnej splatnosti a precenenia dlhu </w:t>
      </w:r>
      <w:r w:rsidRPr="00FA7FF2" w:rsidR="0021198D">
        <w:rPr>
          <w:rFonts w:ascii="Times New Roman" w:hAnsi="Times New Roman"/>
          <w:szCs w:val="22"/>
        </w:rPr>
        <w:t>(</w:t>
      </w:r>
      <w:r w:rsidRPr="00FA7FF2" w:rsidR="00501441">
        <w:rPr>
          <w:rFonts w:ascii="Times New Roman" w:hAnsi="Times New Roman"/>
          <w:szCs w:val="22"/>
        </w:rPr>
        <w:t xml:space="preserve">na úrovniach mierne väčších </w:t>
      </w:r>
      <w:r w:rsidRPr="00FA7FF2" w:rsidR="0021198D">
        <w:rPr>
          <w:rFonts w:ascii="Times New Roman" w:hAnsi="Times New Roman"/>
          <w:szCs w:val="22"/>
        </w:rPr>
        <w:t>v porovnaní s</w:t>
      </w:r>
      <w:r w:rsidRPr="00FA7FF2" w:rsidR="00501441">
        <w:rPr>
          <w:rFonts w:ascii="Times New Roman" w:hAnsi="Times New Roman"/>
          <w:szCs w:val="22"/>
        </w:rPr>
        <w:t>o</w:t>
      </w:r>
      <w:r w:rsidRPr="00FA7FF2" w:rsidR="0021198D">
        <w:rPr>
          <w:rFonts w:ascii="Times New Roman" w:hAnsi="Times New Roman"/>
          <w:szCs w:val="22"/>
        </w:rPr>
        <w:t xml:space="preserve"> stratégiou</w:t>
      </w:r>
      <w:r w:rsidRPr="00FA7FF2" w:rsidR="00501441">
        <w:rPr>
          <w:rFonts w:ascii="Times New Roman" w:hAnsi="Times New Roman"/>
          <w:szCs w:val="22"/>
        </w:rPr>
        <w:t xml:space="preserve"> z rokov 2007-2010</w:t>
      </w:r>
      <w:r w:rsidRPr="00FA7FF2" w:rsidR="0021198D">
        <w:rPr>
          <w:rFonts w:ascii="Times New Roman" w:hAnsi="Times New Roman"/>
          <w:szCs w:val="22"/>
        </w:rPr>
        <w:t>)</w:t>
      </w:r>
      <w:r w:rsidRPr="00FA7FF2" w:rsidR="00501441">
        <w:rPr>
          <w:rFonts w:ascii="Times New Roman" w:hAnsi="Times New Roman"/>
          <w:szCs w:val="22"/>
        </w:rPr>
        <w:t xml:space="preserve">. </w:t>
      </w:r>
      <w:r w:rsidRPr="00FA7FF2" w:rsidR="003D3330">
        <w:rPr>
          <w:rFonts w:ascii="Times New Roman" w:hAnsi="Times New Roman"/>
          <w:szCs w:val="22"/>
        </w:rPr>
        <w:t>S</w:t>
      </w:r>
      <w:r w:rsidRPr="00FA7FF2" w:rsidR="00501441">
        <w:rPr>
          <w:rFonts w:ascii="Times New Roman" w:hAnsi="Times New Roman"/>
          <w:szCs w:val="22"/>
        </w:rPr>
        <w:t>kúsenosti z uplynulých krízových rokov</w:t>
      </w:r>
      <w:r w:rsidRPr="00FA7FF2" w:rsidR="00833758">
        <w:rPr>
          <w:rFonts w:ascii="Times New Roman" w:hAnsi="Times New Roman"/>
          <w:szCs w:val="22"/>
        </w:rPr>
        <w:t>,</w:t>
      </w:r>
      <w:r w:rsidRPr="00FA7FF2" w:rsidR="00501441">
        <w:rPr>
          <w:rFonts w:ascii="Times New Roman" w:hAnsi="Times New Roman"/>
          <w:szCs w:val="22"/>
        </w:rPr>
        <w:t xml:space="preserve"> ako aj </w:t>
      </w:r>
      <w:r w:rsidRPr="00FA7FF2" w:rsidR="003D3330">
        <w:rPr>
          <w:rFonts w:ascii="Times New Roman" w:hAnsi="Times New Roman"/>
          <w:szCs w:val="22"/>
        </w:rPr>
        <w:t>odporúčania</w:t>
      </w:r>
      <w:r w:rsidRPr="00FA7FF2" w:rsidR="00501441">
        <w:rPr>
          <w:rFonts w:ascii="Times New Roman" w:hAnsi="Times New Roman"/>
          <w:szCs w:val="22"/>
        </w:rPr>
        <w:t xml:space="preserve"> investorov, bánk a najmä ratingových spoločností </w:t>
      </w:r>
      <w:r w:rsidRPr="00FA7FF2" w:rsidR="003D3330">
        <w:rPr>
          <w:rFonts w:ascii="Times New Roman" w:hAnsi="Times New Roman"/>
          <w:szCs w:val="22"/>
        </w:rPr>
        <w:t xml:space="preserve">vyústili do miernej úpravy </w:t>
      </w:r>
      <w:r w:rsidRPr="00FA7FF2" w:rsidR="00C64C2F">
        <w:rPr>
          <w:rFonts w:ascii="Times New Roman" w:hAnsi="Times New Roman"/>
          <w:szCs w:val="22"/>
        </w:rPr>
        <w:t>(sprísneni</w:t>
      </w:r>
      <w:r w:rsidRPr="00FA7FF2" w:rsidR="006228AF">
        <w:rPr>
          <w:rFonts w:ascii="Times New Roman" w:hAnsi="Times New Roman"/>
          <w:szCs w:val="22"/>
        </w:rPr>
        <w:t>a</w:t>
      </w:r>
      <w:r w:rsidRPr="00FA7FF2" w:rsidR="00C64C2F">
        <w:rPr>
          <w:rFonts w:ascii="Times New Roman" w:hAnsi="Times New Roman"/>
          <w:szCs w:val="22"/>
        </w:rPr>
        <w:t xml:space="preserve">) </w:t>
      </w:r>
      <w:r w:rsidRPr="00FA7FF2" w:rsidR="003D3330">
        <w:rPr>
          <w:rFonts w:ascii="Times New Roman" w:hAnsi="Times New Roman"/>
          <w:szCs w:val="22"/>
        </w:rPr>
        <w:t>hodnôt splatných</w:t>
      </w:r>
      <w:r w:rsidRPr="00FA7FF2" w:rsidR="001A104F">
        <w:rPr>
          <w:rFonts w:ascii="Times New Roman" w:hAnsi="Times New Roman"/>
          <w:szCs w:val="22"/>
        </w:rPr>
        <w:t>,</w:t>
      </w:r>
      <w:r w:rsidRPr="00FA7FF2" w:rsidR="003D3330">
        <w:rPr>
          <w:rFonts w:ascii="Times New Roman" w:hAnsi="Times New Roman"/>
          <w:szCs w:val="22"/>
        </w:rPr>
        <w:t xml:space="preserve"> aj preceňovaných finančných záväzkov štátu. </w:t>
      </w:r>
      <w:r w:rsidRPr="00FA7FF2" w:rsidR="0066753C">
        <w:rPr>
          <w:rFonts w:ascii="Times New Roman" w:hAnsi="Times New Roman"/>
          <w:szCs w:val="22"/>
        </w:rPr>
        <w:t>Pre</w:t>
      </w:r>
      <w:r w:rsidRPr="00FA7FF2" w:rsidR="005840BF">
        <w:rPr>
          <w:rFonts w:ascii="Times New Roman" w:hAnsi="Times New Roman"/>
          <w:szCs w:val="22"/>
        </w:rPr>
        <w:t xml:space="preserve"> </w:t>
      </w:r>
      <w:r w:rsidRPr="00FA7FF2">
        <w:rPr>
          <w:rFonts w:ascii="Times New Roman" w:hAnsi="Times New Roman"/>
          <w:szCs w:val="22"/>
        </w:rPr>
        <w:t>refinančné</w:t>
      </w:r>
      <w:r w:rsidRPr="00FA7FF2" w:rsidR="005840BF">
        <w:rPr>
          <w:rFonts w:ascii="Times New Roman" w:hAnsi="Times New Roman"/>
          <w:szCs w:val="22"/>
        </w:rPr>
        <w:t xml:space="preserve"> </w:t>
      </w:r>
      <w:r w:rsidRPr="00FA7FF2" w:rsidR="0066753C">
        <w:rPr>
          <w:rFonts w:ascii="Times New Roman" w:hAnsi="Times New Roman"/>
          <w:szCs w:val="22"/>
        </w:rPr>
        <w:t>riziko</w:t>
      </w:r>
      <w:r w:rsidRPr="00FA7FF2" w:rsidR="005840BF">
        <w:rPr>
          <w:rFonts w:ascii="Times New Roman" w:hAnsi="Times New Roman"/>
          <w:szCs w:val="22"/>
        </w:rPr>
        <w:t xml:space="preserve"> </w:t>
      </w:r>
      <w:r w:rsidRPr="00FA7FF2">
        <w:rPr>
          <w:rFonts w:ascii="Times New Roman" w:hAnsi="Times New Roman"/>
          <w:szCs w:val="22"/>
        </w:rPr>
        <w:t xml:space="preserve">bude strategickým zámerom </w:t>
      </w:r>
      <w:r w:rsidRPr="00FA7FF2" w:rsidR="00CC6D8C">
        <w:rPr>
          <w:rFonts w:ascii="Times New Roman" w:hAnsi="Times New Roman"/>
          <w:szCs w:val="22"/>
        </w:rPr>
        <w:t>u</w:t>
      </w:r>
      <w:r w:rsidRPr="00FA7FF2">
        <w:rPr>
          <w:rFonts w:ascii="Times New Roman" w:hAnsi="Times New Roman"/>
          <w:szCs w:val="22"/>
        </w:rPr>
        <w:t xml:space="preserve">držiavanie </w:t>
      </w:r>
      <w:r w:rsidRPr="00FA7FF2" w:rsidR="00CC6D8C">
        <w:rPr>
          <w:rFonts w:ascii="Times New Roman" w:hAnsi="Times New Roman"/>
          <w:szCs w:val="22"/>
        </w:rPr>
        <w:t xml:space="preserve">hodnoty </w:t>
      </w:r>
      <w:r w:rsidRPr="00FA7FF2" w:rsidR="00983999">
        <w:rPr>
          <w:rFonts w:ascii="Times New Roman" w:hAnsi="Times New Roman"/>
          <w:szCs w:val="22"/>
        </w:rPr>
        <w:t xml:space="preserve">splatných </w:t>
      </w:r>
      <w:r w:rsidRPr="00FA7FF2" w:rsidR="00CC6D8C">
        <w:rPr>
          <w:rFonts w:ascii="Times New Roman" w:hAnsi="Times New Roman"/>
          <w:szCs w:val="22"/>
        </w:rPr>
        <w:t>finančných záväzkov štátu v prvom roku</w:t>
      </w:r>
      <w:r w:rsidRPr="00FA7FF2" w:rsidR="005840BF">
        <w:rPr>
          <w:rFonts w:ascii="Times New Roman" w:hAnsi="Times New Roman"/>
          <w:szCs w:val="22"/>
        </w:rPr>
        <w:t xml:space="preserve"> </w:t>
      </w:r>
      <w:r w:rsidRPr="00FA7FF2" w:rsidR="00CC6D8C">
        <w:rPr>
          <w:rFonts w:ascii="Times New Roman" w:hAnsi="Times New Roman"/>
          <w:szCs w:val="22"/>
        </w:rPr>
        <w:t>blízko</w:t>
      </w:r>
      <w:r w:rsidRPr="00FA7FF2">
        <w:rPr>
          <w:rFonts w:ascii="Times New Roman" w:hAnsi="Times New Roman"/>
          <w:szCs w:val="22"/>
        </w:rPr>
        <w:t xml:space="preserve"> úrov</w:t>
      </w:r>
      <w:r w:rsidRPr="00FA7FF2" w:rsidR="00CC6D8C">
        <w:rPr>
          <w:rFonts w:ascii="Times New Roman" w:hAnsi="Times New Roman"/>
          <w:szCs w:val="22"/>
        </w:rPr>
        <w:t>ne</w:t>
      </w:r>
      <w:r w:rsidRPr="00FA7FF2" w:rsidR="005840BF">
        <w:rPr>
          <w:rFonts w:ascii="Times New Roman" w:hAnsi="Times New Roman"/>
          <w:szCs w:val="22"/>
        </w:rPr>
        <w:t xml:space="preserve"> </w:t>
      </w:r>
      <w:r w:rsidRPr="00FA7FF2" w:rsidR="00CC6D8C">
        <w:rPr>
          <w:rFonts w:ascii="Times New Roman" w:hAnsi="Times New Roman"/>
          <w:szCs w:val="22"/>
        </w:rPr>
        <w:t>2</w:t>
      </w:r>
      <w:r w:rsidRPr="00FA7FF2" w:rsidR="003D3330">
        <w:rPr>
          <w:rFonts w:ascii="Times New Roman" w:hAnsi="Times New Roman"/>
          <w:szCs w:val="22"/>
        </w:rPr>
        <w:t>0</w:t>
      </w:r>
      <w:r w:rsidRPr="00FA7FF2" w:rsidR="00B736B1">
        <w:rPr>
          <w:rFonts w:ascii="Times New Roman" w:hAnsi="Times New Roman"/>
          <w:szCs w:val="22"/>
        </w:rPr>
        <w:t> </w:t>
      </w:r>
      <w:r w:rsidRPr="00FA7FF2">
        <w:rPr>
          <w:rFonts w:ascii="Times New Roman" w:hAnsi="Times New Roman"/>
          <w:szCs w:val="22"/>
        </w:rPr>
        <w:t>%</w:t>
      </w:r>
      <w:r w:rsidRPr="00FA7FF2" w:rsidR="00A26572">
        <w:rPr>
          <w:rFonts w:ascii="Times New Roman" w:hAnsi="Times New Roman"/>
          <w:szCs w:val="22"/>
        </w:rPr>
        <w:t>.</w:t>
      </w:r>
      <w:r w:rsidRPr="00FA7FF2" w:rsidR="00A26572">
        <w:rPr>
          <w:rFonts w:ascii="Times New Roman" w:hAnsi="Times New Roman"/>
          <w:color w:val="FF0000"/>
          <w:szCs w:val="22"/>
        </w:rPr>
        <w:t xml:space="preserve"> </w:t>
      </w:r>
      <w:r w:rsidRPr="00FA7FF2" w:rsidR="00A26572">
        <w:rPr>
          <w:rFonts w:ascii="Times New Roman" w:hAnsi="Times New Roman"/>
          <w:szCs w:val="22"/>
        </w:rPr>
        <w:t xml:space="preserve">Pre </w:t>
      </w:r>
      <w:r w:rsidRPr="00FA7FF2" w:rsidR="003D3330">
        <w:rPr>
          <w:rFonts w:ascii="Times New Roman" w:hAnsi="Times New Roman"/>
          <w:szCs w:val="22"/>
        </w:rPr>
        <w:t>riziko z</w:t>
      </w:r>
      <w:r w:rsidRPr="00FA7FF2" w:rsidR="00AC3721">
        <w:rPr>
          <w:rFonts w:ascii="Times New Roman" w:hAnsi="Times New Roman"/>
          <w:szCs w:val="22"/>
        </w:rPr>
        <w:t> </w:t>
      </w:r>
      <w:r w:rsidRPr="00FA7FF2" w:rsidR="003D3330">
        <w:rPr>
          <w:rFonts w:ascii="Times New Roman" w:hAnsi="Times New Roman"/>
          <w:szCs w:val="22"/>
        </w:rPr>
        <w:t>precenenia</w:t>
      </w:r>
      <w:r w:rsidRPr="00FA7FF2" w:rsidR="00AC3721">
        <w:rPr>
          <w:rFonts w:ascii="Times New Roman" w:hAnsi="Times New Roman"/>
          <w:szCs w:val="22"/>
        </w:rPr>
        <w:t xml:space="preserve"> bude</w:t>
      </w:r>
      <w:r w:rsidRPr="00FA7FF2" w:rsidR="003D3330">
        <w:rPr>
          <w:rFonts w:ascii="Times New Roman" w:hAnsi="Times New Roman"/>
          <w:szCs w:val="22"/>
        </w:rPr>
        <w:t xml:space="preserve"> </w:t>
      </w:r>
      <w:r w:rsidRPr="00FA7FF2" w:rsidR="00A26572">
        <w:rPr>
          <w:rFonts w:ascii="Times New Roman" w:hAnsi="Times New Roman"/>
          <w:szCs w:val="22"/>
        </w:rPr>
        <w:t>udržiavanie hodnoty preceňovaných finančných záväzkov štátu</w:t>
      </w:r>
      <w:r w:rsidRPr="00FA7FF2" w:rsidR="003D3330">
        <w:rPr>
          <w:rFonts w:ascii="Times New Roman" w:hAnsi="Times New Roman"/>
          <w:szCs w:val="22"/>
        </w:rPr>
        <w:t xml:space="preserve"> </w:t>
      </w:r>
      <w:r w:rsidRPr="00FA7FF2" w:rsidR="00A26572">
        <w:rPr>
          <w:rFonts w:ascii="Times New Roman" w:hAnsi="Times New Roman"/>
          <w:szCs w:val="22"/>
        </w:rPr>
        <w:t xml:space="preserve">v prvom roku blízko úrovne </w:t>
      </w:r>
      <w:r w:rsidRPr="00FA7FF2" w:rsidR="003D3330">
        <w:rPr>
          <w:rFonts w:ascii="Times New Roman" w:hAnsi="Times New Roman"/>
          <w:szCs w:val="22"/>
        </w:rPr>
        <w:t>2</w:t>
      </w:r>
      <w:r w:rsidRPr="00FA7FF2" w:rsidR="00722653">
        <w:rPr>
          <w:rFonts w:ascii="Times New Roman" w:hAnsi="Times New Roman"/>
          <w:szCs w:val="22"/>
        </w:rPr>
        <w:t>5</w:t>
      </w:r>
      <w:r w:rsidRPr="00FA7FF2" w:rsidR="003D3330">
        <w:rPr>
          <w:rFonts w:ascii="Times New Roman" w:hAnsi="Times New Roman"/>
          <w:szCs w:val="22"/>
        </w:rPr>
        <w:t xml:space="preserve"> % </w:t>
      </w:r>
      <w:r w:rsidRPr="00FA7FF2" w:rsidR="001F6856">
        <w:rPr>
          <w:rFonts w:ascii="Times New Roman" w:hAnsi="Times New Roman"/>
          <w:szCs w:val="22"/>
        </w:rPr>
        <w:t xml:space="preserve">z </w:t>
      </w:r>
      <w:r w:rsidRPr="00FA7FF2">
        <w:rPr>
          <w:rFonts w:ascii="Times New Roman" w:hAnsi="Times New Roman"/>
          <w:szCs w:val="22"/>
        </w:rPr>
        <w:t>celkových finančných záväzkov štátu</w:t>
      </w:r>
      <w:r w:rsidRPr="00FA7FF2" w:rsidR="00A26572">
        <w:rPr>
          <w:rFonts w:ascii="Times New Roman" w:hAnsi="Times New Roman"/>
          <w:szCs w:val="22"/>
        </w:rPr>
        <w:t xml:space="preserve">. </w:t>
      </w:r>
      <w:r w:rsidRPr="00FA7FF2" w:rsidR="00B736B1">
        <w:rPr>
          <w:rFonts w:ascii="Times New Roman" w:hAnsi="Times New Roman"/>
          <w:szCs w:val="22"/>
        </w:rPr>
        <w:t>Hodnoty splatných finančných záväzkov štátu kumulatívne za päť rokov budú u</w:t>
      </w:r>
      <w:r w:rsidRPr="00FA7FF2">
        <w:rPr>
          <w:rFonts w:ascii="Times New Roman" w:hAnsi="Times New Roman"/>
          <w:szCs w:val="22"/>
        </w:rPr>
        <w:t>držiavan</w:t>
      </w:r>
      <w:r w:rsidRPr="00FA7FF2" w:rsidR="00B736B1">
        <w:rPr>
          <w:rFonts w:ascii="Times New Roman" w:hAnsi="Times New Roman"/>
          <w:szCs w:val="22"/>
        </w:rPr>
        <w:t>é</w:t>
      </w:r>
      <w:r w:rsidRPr="00FA7FF2">
        <w:rPr>
          <w:rFonts w:ascii="Times New Roman" w:hAnsi="Times New Roman"/>
          <w:szCs w:val="22"/>
        </w:rPr>
        <w:t xml:space="preserve"> </w:t>
      </w:r>
      <w:r w:rsidRPr="00FA7FF2" w:rsidR="00983999">
        <w:rPr>
          <w:rFonts w:ascii="Times New Roman" w:hAnsi="Times New Roman"/>
          <w:szCs w:val="22"/>
        </w:rPr>
        <w:t xml:space="preserve">blízko úrovne </w:t>
      </w:r>
      <w:r w:rsidRPr="00FA7FF2" w:rsidR="00B736B1">
        <w:rPr>
          <w:rFonts w:ascii="Times New Roman" w:hAnsi="Times New Roman"/>
          <w:szCs w:val="22"/>
        </w:rPr>
        <w:t>5</w:t>
      </w:r>
      <w:r w:rsidRPr="00FA7FF2" w:rsidR="00D80DFC">
        <w:rPr>
          <w:rFonts w:ascii="Times New Roman" w:hAnsi="Times New Roman"/>
          <w:szCs w:val="22"/>
        </w:rPr>
        <w:t>5</w:t>
      </w:r>
      <w:r w:rsidRPr="00FA7FF2" w:rsidR="00B736B1">
        <w:rPr>
          <w:rFonts w:ascii="Times New Roman" w:hAnsi="Times New Roman"/>
          <w:szCs w:val="22"/>
        </w:rPr>
        <w:t> </w:t>
      </w:r>
      <w:r w:rsidRPr="00FA7FF2">
        <w:rPr>
          <w:rFonts w:ascii="Times New Roman" w:hAnsi="Times New Roman"/>
          <w:szCs w:val="22"/>
        </w:rPr>
        <w:t xml:space="preserve">% </w:t>
      </w:r>
      <w:r w:rsidRPr="00FA7FF2" w:rsidR="001F6856">
        <w:rPr>
          <w:rFonts w:ascii="Times New Roman" w:hAnsi="Times New Roman"/>
          <w:szCs w:val="22"/>
        </w:rPr>
        <w:t xml:space="preserve">z </w:t>
      </w:r>
      <w:r w:rsidRPr="00FA7FF2">
        <w:rPr>
          <w:rFonts w:ascii="Times New Roman" w:hAnsi="Times New Roman"/>
          <w:szCs w:val="22"/>
        </w:rPr>
        <w:t>celkových finančných záväzkov</w:t>
      </w:r>
      <w:r w:rsidRPr="00FA7FF2" w:rsidR="00F77059">
        <w:rPr>
          <w:rFonts w:ascii="Times New Roman" w:hAnsi="Times New Roman"/>
          <w:szCs w:val="22"/>
        </w:rPr>
        <w:t xml:space="preserve"> štátu</w:t>
      </w:r>
      <w:r w:rsidRPr="00FA7FF2">
        <w:rPr>
          <w:rFonts w:ascii="Times New Roman" w:hAnsi="Times New Roman"/>
          <w:szCs w:val="22"/>
        </w:rPr>
        <w:t xml:space="preserve">. </w:t>
      </w:r>
      <w:r w:rsidRPr="00FA7FF2" w:rsidR="00442696">
        <w:rPr>
          <w:rFonts w:ascii="Times New Roman" w:hAnsi="Times New Roman"/>
          <w:szCs w:val="22"/>
        </w:rPr>
        <w:t xml:space="preserve">Hodnoty preceňovaných finančných záväzkov štátu kumulatívne za päť rokov budú udržiavané blízko úrovne 55 % </w:t>
      </w:r>
      <w:r w:rsidRPr="00FA7FF2" w:rsidR="001F6856">
        <w:rPr>
          <w:rFonts w:ascii="Times New Roman" w:hAnsi="Times New Roman"/>
          <w:szCs w:val="22"/>
        </w:rPr>
        <w:t xml:space="preserve">z </w:t>
      </w:r>
      <w:r w:rsidRPr="00FA7FF2" w:rsidR="00442696">
        <w:rPr>
          <w:rFonts w:ascii="Times New Roman" w:hAnsi="Times New Roman"/>
          <w:szCs w:val="22"/>
        </w:rPr>
        <w:t xml:space="preserve">celkových finančných záväzkov štátu. </w:t>
      </w:r>
      <w:r w:rsidRPr="00FA7FF2" w:rsidR="00B736B1">
        <w:rPr>
          <w:rFonts w:ascii="Times New Roman" w:hAnsi="Times New Roman"/>
          <w:szCs w:val="22"/>
        </w:rPr>
        <w:t>Dodržiavanie uvedených cieľov posúva portfólio slovenských štátnych záväzkov</w:t>
      </w:r>
      <w:r w:rsidRPr="00FA7FF2">
        <w:rPr>
          <w:rFonts w:ascii="Times New Roman" w:hAnsi="Times New Roman"/>
          <w:szCs w:val="22"/>
        </w:rPr>
        <w:t xml:space="preserve"> </w:t>
      </w:r>
      <w:r w:rsidRPr="00FA7FF2" w:rsidR="00B736B1">
        <w:rPr>
          <w:rFonts w:ascii="Times New Roman" w:hAnsi="Times New Roman"/>
          <w:szCs w:val="22"/>
        </w:rPr>
        <w:t xml:space="preserve">oproti uplynulému obdobiu </w:t>
      </w:r>
      <w:r w:rsidRPr="00FA7FF2" w:rsidR="00F77059">
        <w:rPr>
          <w:rFonts w:ascii="Times New Roman" w:hAnsi="Times New Roman"/>
          <w:szCs w:val="22"/>
        </w:rPr>
        <w:t xml:space="preserve">do oblasti menšieho rizika v oblasti refinancovania aj v oblasti úrokových sadzieb, znamená však s tým nerozlučne spojené relatívne zväčšenie výdavkov. Dodržiavanie uvedených cieľov </w:t>
      </w:r>
      <w:r w:rsidRPr="00FA7FF2">
        <w:rPr>
          <w:rFonts w:ascii="Times New Roman" w:hAnsi="Times New Roman"/>
          <w:szCs w:val="22"/>
        </w:rPr>
        <w:t>predpokladá štandardné podmienky vývoja finančných trhov a</w:t>
      </w:r>
      <w:r w:rsidRPr="00FA7FF2" w:rsidR="007B349B">
        <w:rPr>
          <w:rFonts w:ascii="Times New Roman" w:hAnsi="Times New Roman"/>
          <w:szCs w:val="22"/>
        </w:rPr>
        <w:t xml:space="preserve"> štandardný </w:t>
      </w:r>
      <w:r w:rsidRPr="00FA7FF2">
        <w:rPr>
          <w:rFonts w:ascii="Times New Roman" w:hAnsi="Times New Roman"/>
          <w:szCs w:val="22"/>
        </w:rPr>
        <w:t>makroekonomick</w:t>
      </w:r>
      <w:r w:rsidRPr="00FA7FF2" w:rsidR="007B349B">
        <w:rPr>
          <w:rFonts w:ascii="Times New Roman" w:hAnsi="Times New Roman"/>
          <w:szCs w:val="22"/>
        </w:rPr>
        <w:t>ý</w:t>
      </w:r>
      <w:r w:rsidRPr="00FA7FF2">
        <w:rPr>
          <w:rFonts w:ascii="Times New Roman" w:hAnsi="Times New Roman"/>
          <w:szCs w:val="22"/>
        </w:rPr>
        <w:t xml:space="preserve"> a fiškáln</w:t>
      </w:r>
      <w:r w:rsidRPr="00FA7FF2" w:rsidR="007B349B">
        <w:rPr>
          <w:rFonts w:ascii="Times New Roman" w:hAnsi="Times New Roman"/>
          <w:szCs w:val="22"/>
        </w:rPr>
        <w:t>y</w:t>
      </w:r>
      <w:r w:rsidRPr="00FA7FF2">
        <w:rPr>
          <w:rFonts w:ascii="Times New Roman" w:hAnsi="Times New Roman"/>
          <w:szCs w:val="22"/>
        </w:rPr>
        <w:t xml:space="preserve"> vývoj ekonomiky SR v rámci eurozóny. </w:t>
      </w:r>
      <w:r w:rsidRPr="00FA7FF2" w:rsidR="00983999">
        <w:rPr>
          <w:rFonts w:ascii="Times New Roman" w:hAnsi="Times New Roman"/>
          <w:szCs w:val="22"/>
        </w:rPr>
        <w:t>U</w:t>
      </w:r>
      <w:r w:rsidRPr="00FA7FF2">
        <w:rPr>
          <w:rFonts w:ascii="Times New Roman" w:hAnsi="Times New Roman"/>
          <w:szCs w:val="22"/>
        </w:rPr>
        <w:t xml:space="preserve">držiavanie </w:t>
      </w:r>
      <w:r w:rsidRPr="00FA7FF2" w:rsidR="00983999">
        <w:rPr>
          <w:rFonts w:ascii="Times New Roman" w:hAnsi="Times New Roman"/>
          <w:szCs w:val="22"/>
        </w:rPr>
        <w:t>hodnôt</w:t>
      </w:r>
      <w:r w:rsidRPr="00FA7FF2" w:rsidR="00F77059">
        <w:rPr>
          <w:rFonts w:ascii="Times New Roman" w:hAnsi="Times New Roman"/>
          <w:szCs w:val="22"/>
        </w:rPr>
        <w:t xml:space="preserve"> portfólia</w:t>
      </w:r>
      <w:r w:rsidRPr="00FA7FF2">
        <w:rPr>
          <w:rFonts w:ascii="Times New Roman" w:hAnsi="Times New Roman"/>
          <w:szCs w:val="22"/>
        </w:rPr>
        <w:t xml:space="preserve"> aj v prípade neštandardných podmienok môže </w:t>
      </w:r>
      <w:r w:rsidRPr="00FA7FF2" w:rsidR="00F77059">
        <w:rPr>
          <w:rFonts w:ascii="Times New Roman" w:hAnsi="Times New Roman"/>
          <w:szCs w:val="22"/>
        </w:rPr>
        <w:t>znamenať</w:t>
      </w:r>
      <w:r w:rsidRPr="00FA7FF2">
        <w:rPr>
          <w:rFonts w:ascii="Times New Roman" w:hAnsi="Times New Roman"/>
          <w:szCs w:val="22"/>
        </w:rPr>
        <w:t xml:space="preserve"> zväčšeni</w:t>
      </w:r>
      <w:r w:rsidRPr="00FA7FF2" w:rsidR="00F77059">
        <w:rPr>
          <w:rFonts w:ascii="Times New Roman" w:hAnsi="Times New Roman"/>
          <w:szCs w:val="22"/>
        </w:rPr>
        <w:t>e</w:t>
      </w:r>
      <w:r w:rsidRPr="00FA7FF2">
        <w:rPr>
          <w:rFonts w:ascii="Times New Roman" w:hAnsi="Times New Roman"/>
          <w:szCs w:val="22"/>
        </w:rPr>
        <w:t xml:space="preserve"> </w:t>
      </w:r>
      <w:r w:rsidRPr="00FA7FF2" w:rsidR="00F957D8">
        <w:rPr>
          <w:rFonts w:ascii="Times New Roman" w:hAnsi="Times New Roman"/>
          <w:szCs w:val="22"/>
        </w:rPr>
        <w:t>výdavkov</w:t>
      </w:r>
      <w:r w:rsidRPr="00FA7FF2">
        <w:rPr>
          <w:rFonts w:ascii="Times New Roman" w:hAnsi="Times New Roman"/>
          <w:szCs w:val="22"/>
        </w:rPr>
        <w:t xml:space="preserve"> na obsluhu dlhu.</w:t>
      </w:r>
    </w:p>
    <w:p w:rsidR="008E0A1A" w:rsidRPr="00FA7FF2" w:rsidP="00FA7FF2">
      <w:pPr>
        <w:bidi w:val="0"/>
        <w:spacing w:before="120" w:after="120"/>
        <w:ind w:firstLine="708"/>
        <w:jc w:val="both"/>
        <w:rPr>
          <w:rFonts w:ascii="Times New Roman" w:hAnsi="Times New Roman"/>
          <w:szCs w:val="22"/>
        </w:rPr>
      </w:pPr>
      <w:r w:rsidRPr="00FA7FF2">
        <w:rPr>
          <w:rFonts w:ascii="Times New Roman" w:hAnsi="Times New Roman"/>
          <w:szCs w:val="22"/>
        </w:rPr>
        <w:t xml:space="preserve">Rozdielne hodnoty parametrov pre refinančné riziko a riziko z precenenia vyplývajú z predpokladu, že </w:t>
      </w:r>
      <w:r w:rsidRPr="00FA7FF2" w:rsidR="002D672C">
        <w:rPr>
          <w:rFonts w:ascii="Times New Roman" w:hAnsi="Times New Roman"/>
          <w:szCs w:val="22"/>
        </w:rPr>
        <w:t xml:space="preserve">primárne je </w:t>
      </w:r>
      <w:r w:rsidRPr="00FA7FF2" w:rsidR="00056629">
        <w:rPr>
          <w:rFonts w:ascii="Times New Roman" w:hAnsi="Times New Roman"/>
          <w:szCs w:val="22"/>
        </w:rPr>
        <w:t xml:space="preserve">riadenie </w:t>
      </w:r>
      <w:r w:rsidRPr="00FA7FF2">
        <w:rPr>
          <w:rFonts w:ascii="Times New Roman" w:hAnsi="Times New Roman"/>
          <w:szCs w:val="22"/>
        </w:rPr>
        <w:t>refinančné</w:t>
      </w:r>
      <w:r w:rsidRPr="00FA7FF2" w:rsidR="00056629">
        <w:rPr>
          <w:rFonts w:ascii="Times New Roman" w:hAnsi="Times New Roman"/>
          <w:szCs w:val="22"/>
        </w:rPr>
        <w:t>ho</w:t>
      </w:r>
      <w:r w:rsidRPr="00FA7FF2">
        <w:rPr>
          <w:rFonts w:ascii="Times New Roman" w:hAnsi="Times New Roman"/>
          <w:szCs w:val="22"/>
        </w:rPr>
        <w:t xml:space="preserve"> rizik</w:t>
      </w:r>
      <w:r w:rsidRPr="00FA7FF2" w:rsidR="00056629">
        <w:rPr>
          <w:rFonts w:ascii="Times New Roman" w:hAnsi="Times New Roman"/>
          <w:szCs w:val="22"/>
        </w:rPr>
        <w:t>a</w:t>
      </w:r>
      <w:r w:rsidRPr="00FA7FF2">
        <w:rPr>
          <w:rFonts w:ascii="Times New Roman" w:hAnsi="Times New Roman"/>
          <w:szCs w:val="22"/>
        </w:rPr>
        <w:t xml:space="preserve"> </w:t>
      </w:r>
      <w:r w:rsidRPr="00FA7FF2" w:rsidR="002D672C">
        <w:rPr>
          <w:rFonts w:ascii="Times New Roman" w:hAnsi="Times New Roman"/>
          <w:szCs w:val="22"/>
        </w:rPr>
        <w:t xml:space="preserve">pred </w:t>
      </w:r>
      <w:r w:rsidRPr="00FA7FF2">
        <w:rPr>
          <w:rFonts w:ascii="Times New Roman" w:hAnsi="Times New Roman"/>
          <w:szCs w:val="22"/>
        </w:rPr>
        <w:t>rizik</w:t>
      </w:r>
      <w:r w:rsidRPr="00FA7FF2" w:rsidR="002D672C">
        <w:rPr>
          <w:rFonts w:ascii="Times New Roman" w:hAnsi="Times New Roman"/>
          <w:szCs w:val="22"/>
        </w:rPr>
        <w:t>om</w:t>
      </w:r>
      <w:r w:rsidRPr="00FA7FF2">
        <w:rPr>
          <w:rFonts w:ascii="Times New Roman" w:hAnsi="Times New Roman"/>
          <w:szCs w:val="22"/>
        </w:rPr>
        <w:t xml:space="preserve"> z precenenia. Zmenšovanie refinančného rizika je pri </w:t>
      </w:r>
      <w:r w:rsidRPr="00FA7FF2" w:rsidR="00046952">
        <w:rPr>
          <w:rFonts w:ascii="Times New Roman" w:hAnsi="Times New Roman"/>
          <w:szCs w:val="22"/>
        </w:rPr>
        <w:t>normálnom tvare</w:t>
      </w:r>
      <w:r w:rsidRPr="00FA7FF2">
        <w:rPr>
          <w:rFonts w:ascii="Times New Roman" w:hAnsi="Times New Roman"/>
          <w:szCs w:val="22"/>
        </w:rPr>
        <w:t xml:space="preserve"> výnosovej krivk</w:t>
      </w:r>
      <w:r w:rsidRPr="00FA7FF2" w:rsidR="00046952">
        <w:rPr>
          <w:rFonts w:ascii="Times New Roman" w:hAnsi="Times New Roman"/>
          <w:szCs w:val="22"/>
        </w:rPr>
        <w:t>y</w:t>
      </w:r>
      <w:r w:rsidRPr="00FA7FF2">
        <w:rPr>
          <w:rFonts w:ascii="Times New Roman" w:hAnsi="Times New Roman"/>
          <w:szCs w:val="22"/>
        </w:rPr>
        <w:t xml:space="preserve"> spojené s miernym a postupným celkovým nárastom úrokových nákladov na správu štátneho dlhu. Snahou aktívneho riadenia dlhu bude </w:t>
      </w:r>
      <w:r w:rsidRPr="00FA7FF2" w:rsidR="00056629">
        <w:rPr>
          <w:rFonts w:ascii="Times New Roman" w:hAnsi="Times New Roman"/>
          <w:szCs w:val="22"/>
        </w:rPr>
        <w:t xml:space="preserve">prostredníctvom emisnej politiky a </w:t>
      </w:r>
      <w:r w:rsidRPr="00FA7FF2">
        <w:rPr>
          <w:rFonts w:ascii="Times New Roman" w:hAnsi="Times New Roman"/>
          <w:szCs w:val="22"/>
        </w:rPr>
        <w:t>finančný</w:t>
      </w:r>
      <w:r w:rsidRPr="00FA7FF2" w:rsidR="00056629">
        <w:rPr>
          <w:rFonts w:ascii="Times New Roman" w:hAnsi="Times New Roman"/>
          <w:szCs w:val="22"/>
        </w:rPr>
        <w:t>ch</w:t>
      </w:r>
      <w:r w:rsidRPr="00FA7FF2">
        <w:rPr>
          <w:rFonts w:ascii="Times New Roman" w:hAnsi="Times New Roman"/>
          <w:szCs w:val="22"/>
        </w:rPr>
        <w:t xml:space="preserve"> nástroj</w:t>
      </w:r>
      <w:r w:rsidRPr="00FA7FF2" w:rsidR="00056629">
        <w:rPr>
          <w:rFonts w:ascii="Times New Roman" w:hAnsi="Times New Roman"/>
          <w:szCs w:val="22"/>
        </w:rPr>
        <w:t>ov</w:t>
      </w:r>
      <w:r w:rsidRPr="00FA7FF2">
        <w:rPr>
          <w:rFonts w:ascii="Times New Roman" w:hAnsi="Times New Roman"/>
          <w:szCs w:val="22"/>
        </w:rPr>
        <w:t xml:space="preserve"> regulovať a čiastočne kompenzovať takto zväčšené úrokové náklady. Rozdielnymi hodnotami parametrov rizika dlhu sa otvára priestor</w:t>
      </w:r>
      <w:r w:rsidRPr="00FA7FF2" w:rsidR="00056629">
        <w:rPr>
          <w:rFonts w:ascii="Times New Roman" w:hAnsi="Times New Roman"/>
          <w:szCs w:val="22"/>
        </w:rPr>
        <w:t xml:space="preserve"> na aktívne riadenie úrokového rizika a optimalizáciu nákladov na správu štátneho d</w:t>
      </w:r>
      <w:r w:rsidRPr="00FA7FF2" w:rsidR="00046952">
        <w:rPr>
          <w:rFonts w:ascii="Times New Roman" w:hAnsi="Times New Roman"/>
          <w:szCs w:val="22"/>
        </w:rPr>
        <w:t>lhu v bežnom rozpočtovom roku.</w:t>
      </w:r>
    </w:p>
    <w:p w:rsidR="00CC6D54" w:rsidRPr="00FA7FF2" w:rsidP="00FA7FF2">
      <w:pPr>
        <w:bidi w:val="0"/>
        <w:spacing w:before="120" w:after="120"/>
        <w:ind w:firstLine="708"/>
        <w:jc w:val="both"/>
        <w:rPr>
          <w:rFonts w:ascii="Times New Roman" w:hAnsi="Times New Roman"/>
          <w:szCs w:val="22"/>
        </w:rPr>
      </w:pPr>
      <w:r w:rsidRPr="00FA7FF2" w:rsidR="00F77059">
        <w:rPr>
          <w:rFonts w:ascii="Times New Roman" w:hAnsi="Times New Roman"/>
          <w:szCs w:val="22"/>
        </w:rPr>
        <w:t>Limit</w:t>
      </w:r>
      <w:r w:rsidRPr="00FA7FF2" w:rsidR="002F0E84">
        <w:rPr>
          <w:rFonts w:ascii="Times New Roman" w:hAnsi="Times New Roman"/>
          <w:szCs w:val="22"/>
        </w:rPr>
        <w:t>ná hodnota</w:t>
      </w:r>
      <w:r w:rsidRPr="00FA7FF2" w:rsidR="00F77059">
        <w:rPr>
          <w:rFonts w:ascii="Times New Roman" w:hAnsi="Times New Roman"/>
          <w:szCs w:val="22"/>
        </w:rPr>
        <w:t xml:space="preserve"> cudzomenového rizika štátneho dlhu </w:t>
      </w:r>
      <w:r w:rsidRPr="00FA7FF2" w:rsidR="002F0E84">
        <w:rPr>
          <w:rFonts w:ascii="Times New Roman" w:hAnsi="Times New Roman"/>
          <w:szCs w:val="22"/>
        </w:rPr>
        <w:t>sa oproti predošlej stratégii sprísňuje</w:t>
      </w:r>
      <w:r w:rsidRPr="00FA7FF2" w:rsidR="00F77059">
        <w:rPr>
          <w:rFonts w:ascii="Times New Roman" w:hAnsi="Times New Roman"/>
          <w:szCs w:val="22"/>
        </w:rPr>
        <w:t xml:space="preserve">. </w:t>
      </w:r>
      <w:r w:rsidRPr="00FA7FF2" w:rsidR="00DA341F">
        <w:rPr>
          <w:rFonts w:ascii="Times New Roman" w:hAnsi="Times New Roman"/>
          <w:szCs w:val="22"/>
        </w:rPr>
        <w:t>Otvorená nezabezpečená cudzomenová pozícia finančných záväzkov štátu môže krátkodobo dosiahnuť maximálne 3 % z</w:t>
      </w:r>
      <w:r w:rsidRPr="00FA7FF2" w:rsidR="00541922">
        <w:rPr>
          <w:rFonts w:ascii="Times New Roman" w:hAnsi="Times New Roman"/>
          <w:szCs w:val="22"/>
        </w:rPr>
        <w:t> </w:t>
      </w:r>
      <w:r w:rsidRPr="00FA7FF2" w:rsidR="00DA341F">
        <w:rPr>
          <w:rFonts w:ascii="Times New Roman" w:hAnsi="Times New Roman"/>
          <w:szCs w:val="22"/>
        </w:rPr>
        <w:t>celkových finančných záväzkov štátu</w:t>
      </w:r>
      <w:r w:rsidRPr="00FA7FF2">
        <w:rPr>
          <w:rFonts w:ascii="Times New Roman" w:hAnsi="Times New Roman"/>
          <w:szCs w:val="22"/>
        </w:rPr>
        <w:t>.</w:t>
      </w:r>
    </w:p>
    <w:p w:rsidR="00CC6D54" w:rsidRPr="00FA7FF2" w:rsidP="004012A1">
      <w:pPr>
        <w:numPr>
          <w:numId w:val="20"/>
        </w:numPr>
        <w:bidi w:val="0"/>
        <w:spacing w:before="240" w:after="120"/>
        <w:ind w:left="272" w:hanging="232"/>
        <w:jc w:val="both"/>
        <w:rPr>
          <w:rFonts w:ascii="Times New Roman" w:hAnsi="Times New Roman"/>
          <w:szCs w:val="22"/>
          <w:u w:val="single"/>
        </w:rPr>
      </w:pPr>
      <w:r w:rsidRPr="00FA7FF2">
        <w:rPr>
          <w:rFonts w:ascii="Times New Roman" w:hAnsi="Times New Roman"/>
          <w:szCs w:val="22"/>
          <w:u w:val="single"/>
        </w:rPr>
        <w:t>Diverzifikácia investorskej základne</w:t>
      </w:r>
    </w:p>
    <w:p w:rsidR="0067664D" w:rsidRPr="00FA7FF2" w:rsidP="00FA7FF2">
      <w:pPr>
        <w:bidi w:val="0"/>
        <w:spacing w:after="120"/>
        <w:ind w:firstLine="708"/>
        <w:jc w:val="both"/>
        <w:rPr>
          <w:rFonts w:ascii="Times New Roman" w:hAnsi="Times New Roman"/>
          <w:b/>
          <w:szCs w:val="22"/>
        </w:rPr>
      </w:pPr>
      <w:r w:rsidRPr="00FA7FF2" w:rsidR="00646F39">
        <w:rPr>
          <w:rFonts w:ascii="Times New Roman" w:hAnsi="Times New Roman"/>
          <w:szCs w:val="22"/>
        </w:rPr>
        <w:t>Vzhľadom k fiškálnej konsolidácii štátu a</w:t>
      </w:r>
      <w:r w:rsidRPr="00FA7FF2" w:rsidR="004B1892">
        <w:rPr>
          <w:rFonts w:ascii="Times New Roman" w:hAnsi="Times New Roman"/>
          <w:szCs w:val="22"/>
        </w:rPr>
        <w:t xml:space="preserve"> predpokladanému </w:t>
      </w:r>
      <w:r w:rsidRPr="00FA7FF2" w:rsidR="00646F39">
        <w:rPr>
          <w:rFonts w:ascii="Times New Roman" w:hAnsi="Times New Roman"/>
          <w:szCs w:val="22"/>
        </w:rPr>
        <w:t xml:space="preserve">každoročnému zmenšovaniu štrukturálneho deficitu štátneho rozpočtu už </w:t>
      </w:r>
      <w:r w:rsidRPr="00FA7FF2" w:rsidR="006228AF">
        <w:rPr>
          <w:rFonts w:ascii="Times New Roman" w:hAnsi="Times New Roman"/>
          <w:szCs w:val="22"/>
        </w:rPr>
        <w:t xml:space="preserve">pravdepodobne </w:t>
      </w:r>
      <w:r w:rsidRPr="00FA7FF2" w:rsidR="00646F39">
        <w:rPr>
          <w:rFonts w:ascii="Times New Roman" w:hAnsi="Times New Roman"/>
          <w:szCs w:val="22"/>
        </w:rPr>
        <w:t xml:space="preserve">nebude potrebné </w:t>
      </w:r>
      <w:r w:rsidRPr="00FA7FF2" w:rsidR="009C5415">
        <w:rPr>
          <w:rFonts w:ascii="Times New Roman" w:hAnsi="Times New Roman"/>
          <w:szCs w:val="22"/>
        </w:rPr>
        <w:t xml:space="preserve">významne </w:t>
      </w:r>
      <w:r w:rsidRPr="00FA7FF2" w:rsidR="00646F39">
        <w:rPr>
          <w:rFonts w:ascii="Times New Roman" w:hAnsi="Times New Roman"/>
          <w:szCs w:val="22"/>
        </w:rPr>
        <w:t xml:space="preserve">zväčšovať podiel zahraničných investorov. </w:t>
      </w:r>
      <w:r w:rsidRPr="00FA7FF2" w:rsidR="007271D5">
        <w:rPr>
          <w:rFonts w:ascii="Times New Roman" w:hAnsi="Times New Roman"/>
          <w:szCs w:val="22"/>
        </w:rPr>
        <w:t>Aj naďalej j</w:t>
      </w:r>
      <w:r w:rsidRPr="00FA7FF2">
        <w:rPr>
          <w:rFonts w:ascii="Times New Roman" w:hAnsi="Times New Roman"/>
          <w:szCs w:val="22"/>
        </w:rPr>
        <w:t xml:space="preserve">e </w:t>
      </w:r>
      <w:r w:rsidRPr="00FA7FF2" w:rsidR="00646F39">
        <w:rPr>
          <w:rFonts w:ascii="Times New Roman" w:hAnsi="Times New Roman"/>
          <w:szCs w:val="22"/>
        </w:rPr>
        <w:t xml:space="preserve">však </w:t>
      </w:r>
      <w:r w:rsidRPr="00FA7FF2">
        <w:rPr>
          <w:rFonts w:ascii="Times New Roman" w:hAnsi="Times New Roman"/>
          <w:szCs w:val="22"/>
        </w:rPr>
        <w:t>potrebné pokračovať v k</w:t>
      </w:r>
      <w:r w:rsidRPr="00FA7FF2" w:rsidR="00CC6D54">
        <w:rPr>
          <w:rFonts w:ascii="Times New Roman" w:hAnsi="Times New Roman"/>
          <w:szCs w:val="22"/>
        </w:rPr>
        <w:t>omunikáci</w:t>
      </w:r>
      <w:r w:rsidRPr="00FA7FF2">
        <w:rPr>
          <w:rFonts w:ascii="Times New Roman" w:hAnsi="Times New Roman"/>
          <w:szCs w:val="22"/>
        </w:rPr>
        <w:t>i</w:t>
      </w:r>
      <w:r w:rsidRPr="00FA7FF2" w:rsidR="00CC6D54">
        <w:rPr>
          <w:rFonts w:ascii="Times New Roman" w:hAnsi="Times New Roman"/>
          <w:szCs w:val="22"/>
        </w:rPr>
        <w:t xml:space="preserve"> emitenta s investormi, ratingovými agentúrami a ďalšími finančnými inštitúciami </w:t>
      </w:r>
      <w:r w:rsidRPr="00FA7FF2" w:rsidR="00646F39">
        <w:rPr>
          <w:rFonts w:ascii="Times New Roman" w:hAnsi="Times New Roman"/>
          <w:szCs w:val="22"/>
        </w:rPr>
        <w:t xml:space="preserve">a prostredníctvom </w:t>
      </w:r>
      <w:r w:rsidRPr="00FA7FF2" w:rsidR="00CC6D54">
        <w:rPr>
          <w:rFonts w:ascii="Times New Roman" w:hAnsi="Times New Roman"/>
          <w:szCs w:val="22"/>
        </w:rPr>
        <w:t>pravidelný</w:t>
      </w:r>
      <w:r w:rsidRPr="00FA7FF2" w:rsidR="00646F39">
        <w:rPr>
          <w:rFonts w:ascii="Times New Roman" w:hAnsi="Times New Roman"/>
          <w:szCs w:val="22"/>
        </w:rPr>
        <w:t>ch</w:t>
      </w:r>
      <w:r w:rsidRPr="00FA7FF2" w:rsidR="00CC6D54">
        <w:rPr>
          <w:rFonts w:ascii="Times New Roman" w:hAnsi="Times New Roman"/>
          <w:szCs w:val="22"/>
        </w:rPr>
        <w:t xml:space="preserve"> </w:t>
      </w:r>
      <w:r w:rsidRPr="00FA7FF2" w:rsidR="00646F39">
        <w:rPr>
          <w:rFonts w:ascii="Times New Roman" w:hAnsi="Times New Roman"/>
          <w:szCs w:val="22"/>
        </w:rPr>
        <w:t>stretnutí</w:t>
      </w:r>
      <w:r w:rsidRPr="00FA7FF2" w:rsidR="00CC6D8C">
        <w:rPr>
          <w:rFonts w:ascii="Times New Roman" w:hAnsi="Times New Roman"/>
          <w:szCs w:val="22"/>
        </w:rPr>
        <w:t xml:space="preserve"> </w:t>
      </w:r>
      <w:r w:rsidRPr="00FA7FF2" w:rsidR="00CC6D54">
        <w:rPr>
          <w:rFonts w:ascii="Times New Roman" w:hAnsi="Times New Roman"/>
          <w:szCs w:val="22"/>
        </w:rPr>
        <w:t>prezent</w:t>
      </w:r>
      <w:r w:rsidRPr="00FA7FF2" w:rsidR="00D23908">
        <w:rPr>
          <w:rFonts w:ascii="Times New Roman" w:hAnsi="Times New Roman"/>
          <w:szCs w:val="22"/>
        </w:rPr>
        <w:t>ovať</w:t>
      </w:r>
      <w:r w:rsidRPr="00FA7FF2" w:rsidR="00CC6D54">
        <w:rPr>
          <w:rFonts w:ascii="Times New Roman" w:hAnsi="Times New Roman"/>
          <w:szCs w:val="22"/>
        </w:rPr>
        <w:t xml:space="preserve"> výsledk</w:t>
      </w:r>
      <w:r w:rsidRPr="00FA7FF2" w:rsidR="00D23908">
        <w:rPr>
          <w:rFonts w:ascii="Times New Roman" w:hAnsi="Times New Roman"/>
          <w:szCs w:val="22"/>
        </w:rPr>
        <w:t>y</w:t>
      </w:r>
      <w:r w:rsidRPr="00FA7FF2" w:rsidR="00CC6D54">
        <w:rPr>
          <w:rFonts w:ascii="Times New Roman" w:hAnsi="Times New Roman"/>
          <w:szCs w:val="22"/>
        </w:rPr>
        <w:t xml:space="preserve"> a zámer</w:t>
      </w:r>
      <w:r w:rsidRPr="00FA7FF2" w:rsidR="00D23908">
        <w:rPr>
          <w:rFonts w:ascii="Times New Roman" w:hAnsi="Times New Roman"/>
          <w:szCs w:val="22"/>
        </w:rPr>
        <w:t>y</w:t>
      </w:r>
      <w:r w:rsidRPr="00FA7FF2" w:rsidR="00CC6D54">
        <w:rPr>
          <w:rFonts w:ascii="Times New Roman" w:hAnsi="Times New Roman"/>
          <w:szCs w:val="22"/>
        </w:rPr>
        <w:t xml:space="preserve"> emitenta na investorských konferenciách. Pre propagáciu Slovenska </w:t>
      </w:r>
      <w:r w:rsidRPr="00FA7FF2">
        <w:rPr>
          <w:rFonts w:ascii="Times New Roman" w:hAnsi="Times New Roman"/>
          <w:szCs w:val="22"/>
        </w:rPr>
        <w:t>je</w:t>
      </w:r>
      <w:r w:rsidRPr="00FA7FF2" w:rsidR="00F335D0">
        <w:rPr>
          <w:rFonts w:ascii="Times New Roman" w:hAnsi="Times New Roman"/>
          <w:szCs w:val="22"/>
        </w:rPr>
        <w:t xml:space="preserve"> potrebné </w:t>
      </w:r>
      <w:r w:rsidRPr="00FA7FF2">
        <w:rPr>
          <w:rFonts w:ascii="Times New Roman" w:hAnsi="Times New Roman"/>
          <w:szCs w:val="22"/>
        </w:rPr>
        <w:t>uskutočňovať</w:t>
      </w:r>
      <w:r w:rsidRPr="00FA7FF2" w:rsidR="00CC6D54">
        <w:rPr>
          <w:rFonts w:ascii="Times New Roman" w:hAnsi="Times New Roman"/>
          <w:szCs w:val="22"/>
        </w:rPr>
        <w:t xml:space="preserve"> </w:t>
      </w:r>
      <w:r w:rsidRPr="00FA7FF2" w:rsidR="00F335D0">
        <w:rPr>
          <w:rFonts w:ascii="Times New Roman" w:hAnsi="Times New Roman"/>
          <w:szCs w:val="22"/>
        </w:rPr>
        <w:t>informačno-prezentačné stretnuti</w:t>
      </w:r>
      <w:r w:rsidRPr="00FA7FF2">
        <w:rPr>
          <w:rFonts w:ascii="Times New Roman" w:hAnsi="Times New Roman"/>
          <w:szCs w:val="22"/>
        </w:rPr>
        <w:t>a</w:t>
      </w:r>
      <w:r w:rsidRPr="00FA7FF2" w:rsidR="00F335D0">
        <w:rPr>
          <w:rFonts w:ascii="Times New Roman" w:hAnsi="Times New Roman"/>
          <w:szCs w:val="22"/>
        </w:rPr>
        <w:t xml:space="preserve"> so súčasnými a </w:t>
      </w:r>
      <w:r w:rsidRPr="00FA7FF2" w:rsidR="00CC6D8C">
        <w:rPr>
          <w:rFonts w:ascii="Times New Roman" w:hAnsi="Times New Roman"/>
          <w:szCs w:val="22"/>
        </w:rPr>
        <w:t>potenciálnymi</w:t>
      </w:r>
      <w:r w:rsidRPr="00FA7FF2" w:rsidR="00F335D0">
        <w:rPr>
          <w:rFonts w:ascii="Times New Roman" w:hAnsi="Times New Roman"/>
          <w:szCs w:val="22"/>
        </w:rPr>
        <w:t xml:space="preserve"> investormi do štátneho dlhu SR</w:t>
      </w:r>
      <w:r w:rsidRPr="00FA7FF2" w:rsidR="002D672C">
        <w:rPr>
          <w:rFonts w:ascii="Times New Roman" w:hAnsi="Times New Roman"/>
          <w:szCs w:val="22"/>
        </w:rPr>
        <w:t xml:space="preserve"> a</w:t>
      </w:r>
      <w:r w:rsidRPr="00FA7FF2" w:rsidR="00F14895">
        <w:rPr>
          <w:rFonts w:ascii="Times New Roman" w:hAnsi="Times New Roman"/>
          <w:szCs w:val="22"/>
        </w:rPr>
        <w:t xml:space="preserve"> </w:t>
      </w:r>
      <w:r w:rsidRPr="00FA7FF2" w:rsidR="002D672C">
        <w:rPr>
          <w:rFonts w:ascii="Times New Roman" w:hAnsi="Times New Roman"/>
          <w:szCs w:val="22"/>
        </w:rPr>
        <w:t>p</w:t>
      </w:r>
      <w:r w:rsidRPr="00FA7FF2" w:rsidR="00646F39">
        <w:rPr>
          <w:rFonts w:ascii="Times New Roman" w:hAnsi="Times New Roman"/>
          <w:szCs w:val="22"/>
        </w:rPr>
        <w:t>ozície, ktoré Slovensko získalo na zahraničných trhoch (najmä USD)</w:t>
      </w:r>
      <w:r w:rsidRPr="00FA7FF2" w:rsidR="00261D75">
        <w:rPr>
          <w:rFonts w:ascii="Times New Roman" w:hAnsi="Times New Roman"/>
          <w:szCs w:val="22"/>
        </w:rPr>
        <w:t>,</w:t>
      </w:r>
      <w:r w:rsidRPr="00FA7FF2" w:rsidR="00646F39">
        <w:rPr>
          <w:rFonts w:ascii="Times New Roman" w:hAnsi="Times New Roman"/>
          <w:szCs w:val="22"/>
        </w:rPr>
        <w:t xml:space="preserve"> udržiavať pravidelnými návštevami investorov a emisiami </w:t>
      </w:r>
      <w:r w:rsidRPr="00FA7FF2" w:rsidR="00D23908">
        <w:rPr>
          <w:rFonts w:ascii="Times New Roman" w:hAnsi="Times New Roman"/>
          <w:szCs w:val="22"/>
        </w:rPr>
        <w:t>ďalších</w:t>
      </w:r>
      <w:r w:rsidRPr="00FA7FF2" w:rsidR="00646F39">
        <w:rPr>
          <w:rFonts w:ascii="Times New Roman" w:hAnsi="Times New Roman"/>
          <w:szCs w:val="22"/>
        </w:rPr>
        <w:t xml:space="preserve"> dlhopisov</w:t>
      </w:r>
      <w:r w:rsidRPr="00FA7FF2" w:rsidR="00D23908">
        <w:rPr>
          <w:rFonts w:ascii="Times New Roman" w:hAnsi="Times New Roman"/>
          <w:szCs w:val="22"/>
        </w:rPr>
        <w:t xml:space="preserve"> vždy</w:t>
      </w:r>
      <w:r w:rsidRPr="00FA7FF2" w:rsidR="00261D75">
        <w:rPr>
          <w:rFonts w:ascii="Times New Roman" w:hAnsi="Times New Roman"/>
          <w:szCs w:val="22"/>
        </w:rPr>
        <w:t>,</w:t>
      </w:r>
      <w:r w:rsidRPr="00FA7FF2" w:rsidR="00D23908">
        <w:rPr>
          <w:rFonts w:ascii="Times New Roman" w:hAnsi="Times New Roman"/>
          <w:szCs w:val="22"/>
        </w:rPr>
        <w:t xml:space="preserve"> keď to bude vhodné a potrebné.</w:t>
      </w:r>
    </w:p>
    <w:p w:rsidR="00CC6D54" w:rsidRPr="00FA7FF2" w:rsidP="004012A1">
      <w:pPr>
        <w:numPr>
          <w:numId w:val="20"/>
        </w:numPr>
        <w:bidi w:val="0"/>
        <w:spacing w:before="240" w:after="120"/>
        <w:ind w:left="272" w:hanging="232"/>
        <w:jc w:val="both"/>
        <w:rPr>
          <w:rFonts w:ascii="Times New Roman" w:hAnsi="Times New Roman"/>
          <w:szCs w:val="22"/>
          <w:u w:val="single"/>
        </w:rPr>
      </w:pPr>
      <w:r w:rsidRPr="00FA7FF2">
        <w:rPr>
          <w:rFonts w:ascii="Times New Roman" w:hAnsi="Times New Roman"/>
          <w:szCs w:val="22"/>
          <w:u w:val="single"/>
        </w:rPr>
        <w:t>Skvalitnenie infraštruktúry riadenia štátneho dlhu (</w:t>
      </w:r>
      <w:r w:rsidRPr="00FA7FF2" w:rsidR="00FB477B">
        <w:rPr>
          <w:rFonts w:ascii="Times New Roman" w:hAnsi="Times New Roman"/>
          <w:szCs w:val="22"/>
          <w:u w:val="single"/>
        </w:rPr>
        <w:t>sekundárny trh</w:t>
      </w:r>
      <w:r w:rsidRPr="00FA7FF2">
        <w:rPr>
          <w:rFonts w:ascii="Times New Roman" w:hAnsi="Times New Roman"/>
          <w:szCs w:val="22"/>
          <w:u w:val="single"/>
        </w:rPr>
        <w:t xml:space="preserve">, zlepšiť podmienky vysporiadania </w:t>
      </w:r>
      <w:r w:rsidRPr="00FA7FF2" w:rsidR="00FB477B">
        <w:rPr>
          <w:rFonts w:ascii="Times New Roman" w:hAnsi="Times New Roman"/>
          <w:szCs w:val="22"/>
          <w:u w:val="single"/>
        </w:rPr>
        <w:t>Š</w:t>
      </w:r>
      <w:r w:rsidRPr="00FA7FF2">
        <w:rPr>
          <w:rFonts w:ascii="Times New Roman" w:hAnsi="Times New Roman"/>
          <w:szCs w:val="22"/>
          <w:u w:val="single"/>
        </w:rPr>
        <w:t>CP)</w:t>
      </w:r>
    </w:p>
    <w:p w:rsidR="00A37439" w:rsidP="00FA7FF2">
      <w:pPr>
        <w:bidi w:val="0"/>
        <w:spacing w:after="120"/>
        <w:ind w:firstLine="708"/>
        <w:jc w:val="both"/>
        <w:rPr>
          <w:rFonts w:ascii="Times New Roman" w:hAnsi="Times New Roman"/>
          <w:szCs w:val="22"/>
        </w:rPr>
      </w:pPr>
      <w:r w:rsidRPr="00FA7FF2" w:rsidR="00CC6D54">
        <w:rPr>
          <w:rFonts w:ascii="Times New Roman" w:hAnsi="Times New Roman"/>
          <w:szCs w:val="22"/>
        </w:rPr>
        <w:t xml:space="preserve">S cieľom zlepšenia likvidity ŠCP na sekundárnom trhu je potrebné zaviesť </w:t>
      </w:r>
      <w:r w:rsidRPr="00FA7FF2" w:rsidR="00D23908">
        <w:rPr>
          <w:rFonts w:ascii="Times New Roman" w:hAnsi="Times New Roman"/>
          <w:szCs w:val="22"/>
        </w:rPr>
        <w:t xml:space="preserve">najmenej jednu elektronickú platformu prístupnú pre všetkých </w:t>
      </w:r>
      <w:r w:rsidRPr="00FA7FF2" w:rsidR="00E236CD">
        <w:rPr>
          <w:rFonts w:ascii="Times New Roman" w:hAnsi="Times New Roman"/>
          <w:szCs w:val="22"/>
        </w:rPr>
        <w:t xml:space="preserve">primárnych </w:t>
      </w:r>
      <w:r w:rsidRPr="00FA7FF2" w:rsidR="00D23908">
        <w:rPr>
          <w:rFonts w:ascii="Times New Roman" w:hAnsi="Times New Roman"/>
          <w:szCs w:val="22"/>
        </w:rPr>
        <w:t>dealerov</w:t>
      </w:r>
      <w:r w:rsidRPr="00FA7FF2" w:rsidR="003D381F">
        <w:rPr>
          <w:rFonts w:ascii="Times New Roman" w:hAnsi="Times New Roman"/>
          <w:szCs w:val="22"/>
        </w:rPr>
        <w:t xml:space="preserve"> (PD)</w:t>
      </w:r>
      <w:r w:rsidRPr="00FA7FF2" w:rsidR="00D23908">
        <w:rPr>
          <w:rFonts w:ascii="Times New Roman" w:hAnsi="Times New Roman"/>
          <w:szCs w:val="22"/>
        </w:rPr>
        <w:t xml:space="preserve">, na ktorej budú </w:t>
      </w:r>
      <w:r w:rsidRPr="00FA7FF2" w:rsidR="003D381F">
        <w:rPr>
          <w:rFonts w:ascii="Times New Roman" w:hAnsi="Times New Roman"/>
          <w:szCs w:val="22"/>
        </w:rPr>
        <w:t xml:space="preserve">všetci PD </w:t>
      </w:r>
      <w:r w:rsidRPr="00FA7FF2" w:rsidR="00D23908">
        <w:rPr>
          <w:rFonts w:ascii="Times New Roman" w:hAnsi="Times New Roman"/>
          <w:szCs w:val="22"/>
        </w:rPr>
        <w:t>povinne kótovať</w:t>
      </w:r>
      <w:r w:rsidRPr="00FA7FF2" w:rsidR="003D381F">
        <w:rPr>
          <w:rFonts w:ascii="Times New Roman" w:hAnsi="Times New Roman"/>
          <w:szCs w:val="22"/>
        </w:rPr>
        <w:t xml:space="preserve"> benchmarkové emisie slovenských štátnych dlhopisov</w:t>
      </w:r>
      <w:r w:rsidRPr="00FA7FF2" w:rsidR="00CC6D54">
        <w:rPr>
          <w:rFonts w:ascii="Times New Roman" w:hAnsi="Times New Roman"/>
          <w:szCs w:val="22"/>
        </w:rPr>
        <w:t xml:space="preserve">. Pre zahraničných investorov je nevyhnutné zabezpečiť </w:t>
      </w:r>
      <w:r w:rsidRPr="00FA7FF2" w:rsidR="0021198D">
        <w:rPr>
          <w:rFonts w:ascii="Times New Roman" w:hAnsi="Times New Roman"/>
          <w:szCs w:val="22"/>
        </w:rPr>
        <w:t xml:space="preserve">medzinárodne štandardné </w:t>
      </w:r>
      <w:r w:rsidRPr="00FA7FF2" w:rsidR="00CC6D54">
        <w:rPr>
          <w:rFonts w:ascii="Times New Roman" w:hAnsi="Times New Roman"/>
          <w:szCs w:val="22"/>
        </w:rPr>
        <w:t>podmienky vysporiadania</w:t>
      </w:r>
      <w:r w:rsidRPr="00FA7FF2" w:rsidR="005840BF">
        <w:rPr>
          <w:rFonts w:ascii="Times New Roman" w:hAnsi="Times New Roman"/>
          <w:szCs w:val="22"/>
        </w:rPr>
        <w:t xml:space="preserve"> </w:t>
      </w:r>
      <w:r w:rsidRPr="00FA7FF2" w:rsidR="00FB477B">
        <w:rPr>
          <w:rFonts w:ascii="Times New Roman" w:hAnsi="Times New Roman"/>
          <w:szCs w:val="22"/>
        </w:rPr>
        <w:t>slovenských štátnych cenných papierov (v CDCP, a.s. alebo v ICSD)</w:t>
      </w:r>
      <w:r w:rsidRPr="00FA7FF2" w:rsidR="00CC6D54">
        <w:rPr>
          <w:rFonts w:ascii="Times New Roman" w:hAnsi="Times New Roman"/>
          <w:szCs w:val="22"/>
        </w:rPr>
        <w:t>.</w:t>
      </w:r>
    </w:p>
    <w:p w:rsidR="00FA7FF2" w:rsidP="00FA7FF2">
      <w:pPr>
        <w:bidi w:val="0"/>
        <w:spacing w:after="120"/>
        <w:ind w:firstLine="708"/>
        <w:jc w:val="both"/>
        <w:rPr>
          <w:rFonts w:ascii="Times New Roman" w:hAnsi="Times New Roman"/>
          <w:szCs w:val="22"/>
        </w:rPr>
      </w:pPr>
    </w:p>
    <w:p w:rsidR="00FA7FF2" w:rsidRPr="00FA7FF2" w:rsidP="00FA7FF2">
      <w:pPr>
        <w:bidi w:val="0"/>
        <w:spacing w:after="120"/>
        <w:ind w:firstLine="708"/>
        <w:jc w:val="both"/>
        <w:rPr>
          <w:rFonts w:ascii="Times New Roman" w:hAnsi="Times New Roman"/>
          <w:szCs w:val="22"/>
        </w:rPr>
      </w:pPr>
    </w:p>
    <w:p w:rsidR="00DC2337" w:rsidRPr="00FA7FF2" w:rsidP="004B7C2E">
      <w:pPr>
        <w:pStyle w:val="Heading1"/>
        <w:numPr>
          <w:numId w:val="26"/>
        </w:numPr>
        <w:bidi w:val="0"/>
        <w:spacing w:before="120" w:after="120"/>
        <w:ind w:left="357" w:hanging="357"/>
        <w:rPr>
          <w:rFonts w:ascii="Times New Roman" w:hAnsi="Times New Roman" w:cs="Times New Roman"/>
          <w:sz w:val="28"/>
        </w:rPr>
      </w:pPr>
      <w:bookmarkStart w:id="56" w:name="_Toc394471517"/>
      <w:bookmarkStart w:id="57" w:name="_Toc394471863"/>
      <w:r w:rsidRPr="00FA7FF2">
        <w:rPr>
          <w:rFonts w:ascii="Times New Roman" w:hAnsi="Times New Roman" w:cs="Times New Roman"/>
          <w:sz w:val="28"/>
        </w:rPr>
        <w:t>Záver</w:t>
      </w:r>
      <w:bookmarkEnd w:id="56"/>
      <w:bookmarkEnd w:id="57"/>
    </w:p>
    <w:p w:rsidR="00DC2337" w:rsidRPr="00FA7FF2" w:rsidP="00FA7FF2">
      <w:pPr>
        <w:bidi w:val="0"/>
        <w:spacing w:after="360"/>
        <w:ind w:firstLine="708"/>
        <w:jc w:val="both"/>
        <w:rPr>
          <w:rFonts w:ascii="Times New Roman" w:hAnsi="Times New Roman"/>
          <w:szCs w:val="22"/>
        </w:rPr>
      </w:pPr>
      <w:r w:rsidRPr="00FA7FF2">
        <w:rPr>
          <w:rFonts w:ascii="Times New Roman" w:hAnsi="Times New Roman"/>
          <w:szCs w:val="22"/>
        </w:rPr>
        <w:t>Stratégia riadenia štátneho dlhu na roky 2015 až 2018 je strategický dokument vlády Slovenskej republiky, ktorý určuje základné pravidlá správy štátneho dlhu na najbližšie štvorročné obdobie. Cieľom týchto pravidiel je zabezpečiť správu štátneho dlhu optimálnym spôsobom, to znamená pri akceptovateľných</w:t>
      </w:r>
      <w:r w:rsidRPr="00FA7FF2">
        <w:rPr>
          <w:rFonts w:ascii="Times New Roman" w:hAnsi="Times New Roman"/>
          <w:color w:val="8EB4E3"/>
          <w:szCs w:val="22"/>
        </w:rPr>
        <w:t xml:space="preserve"> </w:t>
      </w:r>
      <w:r w:rsidRPr="00FA7FF2">
        <w:rPr>
          <w:rFonts w:ascii="Times New Roman" w:hAnsi="Times New Roman"/>
          <w:szCs w:val="22"/>
        </w:rPr>
        <w:t>a riadených trhových a ostaných finančných a nefinančných rizikách minimalizovať náklady spojené so správou štátneho dlhu v strednodobom a dlhodobom horizonte. Pri príprave tejto stratégie boli pre stanovenie cieľov využité slovenské a európske skúsenosti získané počas finančnej, hospodárskej a dlhovej krízy a poznatky z vývoja finančných trhov v uplynulom období. Stanovené ciele a kritériá stratégie boli navrhnuté pri predpoklade štandardného fungovania finančných trhov, v prípade významných a nepredpokladaných zmien na finančných trhoch nemožno v budúcnosti vylúčiť ich modifikáciu. Stratégia bola prediskutovaná v rámci poradného Výboru pre riadenie dlhu a likvidity na MF SR.</w:t>
      </w:r>
    </w:p>
    <w:p w:rsidR="00DC2337" w:rsidRPr="00FA7FF2" w:rsidP="00FA7FF2">
      <w:pPr>
        <w:bidi w:val="0"/>
        <w:spacing w:after="360"/>
        <w:ind w:firstLine="708"/>
        <w:jc w:val="both"/>
        <w:rPr>
          <w:rFonts w:ascii="Times New Roman" w:hAnsi="Times New Roman"/>
          <w:szCs w:val="22"/>
        </w:rPr>
      </w:pPr>
      <w:r w:rsidRPr="00FA7FF2">
        <w:rPr>
          <w:rFonts w:ascii="Times New Roman" w:hAnsi="Times New Roman"/>
          <w:szCs w:val="22"/>
        </w:rPr>
        <w:t>Praktické napĺňanie stratégie bude potrebné najmä v oblasti emisnej politiky ďalej zosúlaďovať s platným ústavným zákonom o </w:t>
      </w:r>
      <w:r w:rsidRPr="00FA7FF2" w:rsidR="00D373B6">
        <w:rPr>
          <w:rFonts w:ascii="Times New Roman" w:hAnsi="Times New Roman"/>
          <w:szCs w:val="22"/>
        </w:rPr>
        <w:t xml:space="preserve">rozpočtovej </w:t>
      </w:r>
      <w:r w:rsidRPr="00FA7FF2">
        <w:rPr>
          <w:rFonts w:ascii="Times New Roman" w:hAnsi="Times New Roman"/>
          <w:szCs w:val="22"/>
        </w:rPr>
        <w:t>zodpovednosti, najmä v oblasti riadenia hotovostnej rezervy štátu. Snahou bude optimalizovať veľkosť tejto rezervy s ohľadom na očakávané finančné toky štátu a stav a predpokladaný vývoj finančných trhov. Náklady na správu štátneho dlhu a efektívnosť riadenia likvidity bude pozitívne ovplyvňovať plánovaný nárast bilančnej hodnoty Štátnej pokladnice. Spoľahlivo fungujúci systém Štátnej pokladnice bol v uplynulom krízovom období jedným z kľúčových faktorov, ktorý pozitívne ovplyvnil výsledky riadenia štátneho dlhu a efektívnosť riadenia likvidity štátu.</w:t>
      </w:r>
    </w:p>
    <w:p w:rsidR="00A649B2" w:rsidRPr="00FA7FF2" w:rsidP="00FB477B">
      <w:pPr>
        <w:bidi w:val="0"/>
        <w:spacing w:after="360"/>
        <w:jc w:val="both"/>
        <w:rPr>
          <w:rFonts w:ascii="Times New Roman" w:hAnsi="Times New Roman"/>
          <w:b/>
          <w:sz w:val="28"/>
        </w:rPr>
      </w:pPr>
      <w:r w:rsidRPr="00A92914" w:rsidR="004507B2">
        <w:rPr>
          <w:rFonts w:ascii="Times New Roman" w:hAnsi="Times New Roman"/>
          <w:color w:val="FF0000"/>
          <w:sz w:val="22"/>
          <w:szCs w:val="22"/>
        </w:rPr>
        <w:br w:type="page"/>
      </w:r>
      <w:bookmarkStart w:id="58" w:name="_Toc384124261"/>
      <w:r w:rsidRPr="00FA7FF2" w:rsidR="0082380E">
        <w:rPr>
          <w:rFonts w:ascii="Times New Roman" w:hAnsi="Times New Roman"/>
          <w:b/>
          <w:sz w:val="28"/>
        </w:rPr>
        <w:t>Príloh</w:t>
      </w:r>
      <w:r w:rsidRPr="00FA7FF2" w:rsidR="00470DEC">
        <w:rPr>
          <w:rFonts w:ascii="Times New Roman" w:hAnsi="Times New Roman"/>
          <w:b/>
          <w:sz w:val="28"/>
        </w:rPr>
        <w:t>a</w:t>
      </w:r>
      <w:r w:rsidR="00331CB4">
        <w:rPr>
          <w:rFonts w:ascii="Times New Roman" w:hAnsi="Times New Roman"/>
          <w:b/>
          <w:sz w:val="28"/>
        </w:rPr>
        <w:t xml:space="preserve"> </w:t>
      </w:r>
      <w:r w:rsidRPr="00FA7FF2" w:rsidR="00470DEC">
        <w:rPr>
          <w:rFonts w:ascii="Times New Roman" w:hAnsi="Times New Roman"/>
          <w:b/>
          <w:sz w:val="28"/>
        </w:rPr>
        <w:t xml:space="preserve">- </w:t>
      </w:r>
      <w:r w:rsidRPr="00FA7FF2" w:rsidR="00CB693D">
        <w:rPr>
          <w:rFonts w:ascii="Times New Roman" w:hAnsi="Times New Roman"/>
          <w:b/>
          <w:sz w:val="28"/>
        </w:rPr>
        <w:t xml:space="preserve">Riadenie </w:t>
      </w:r>
      <w:r w:rsidRPr="00FA7FF2" w:rsidR="001F63CA">
        <w:rPr>
          <w:rFonts w:ascii="Times New Roman" w:hAnsi="Times New Roman"/>
          <w:b/>
          <w:sz w:val="28"/>
        </w:rPr>
        <w:t xml:space="preserve">finančných </w:t>
      </w:r>
      <w:r w:rsidRPr="00FA7FF2" w:rsidR="00CB693D">
        <w:rPr>
          <w:rFonts w:ascii="Times New Roman" w:hAnsi="Times New Roman"/>
          <w:b/>
          <w:sz w:val="28"/>
        </w:rPr>
        <w:t>rizík štátneho dlhu</w:t>
      </w:r>
      <w:bookmarkEnd w:id="58"/>
    </w:p>
    <w:p w:rsidR="00241F24" w:rsidRPr="00FA7FF2" w:rsidP="00FA7FF2">
      <w:pPr>
        <w:bidi w:val="0"/>
        <w:spacing w:before="120"/>
        <w:ind w:firstLine="708"/>
        <w:jc w:val="both"/>
        <w:rPr>
          <w:rFonts w:ascii="Times New Roman" w:hAnsi="Times New Roman"/>
          <w:szCs w:val="22"/>
        </w:rPr>
      </w:pPr>
      <w:r w:rsidRPr="00FA7FF2" w:rsidR="00FE4D25">
        <w:rPr>
          <w:rFonts w:ascii="Times New Roman" w:hAnsi="Times New Roman"/>
          <w:szCs w:val="22"/>
        </w:rPr>
        <w:t xml:space="preserve">Riadenie </w:t>
      </w:r>
      <w:r w:rsidRPr="00FA7FF2" w:rsidR="008A26BE">
        <w:rPr>
          <w:rFonts w:ascii="Times New Roman" w:hAnsi="Times New Roman"/>
          <w:szCs w:val="22"/>
        </w:rPr>
        <w:t>parametrov</w:t>
      </w:r>
      <w:r w:rsidRPr="00FA7FF2" w:rsidR="00FB477B">
        <w:rPr>
          <w:rFonts w:ascii="Times New Roman" w:hAnsi="Times New Roman"/>
          <w:szCs w:val="22"/>
        </w:rPr>
        <w:t xml:space="preserve"> portfólia </w:t>
      </w:r>
      <w:r w:rsidRPr="00FA7FF2" w:rsidR="00FE4D25">
        <w:rPr>
          <w:rFonts w:ascii="Times New Roman" w:hAnsi="Times New Roman"/>
          <w:szCs w:val="22"/>
        </w:rPr>
        <w:t xml:space="preserve">štátneho dlhu </w:t>
      </w:r>
      <w:r w:rsidRPr="00FA7FF2" w:rsidR="00F8481B">
        <w:rPr>
          <w:rFonts w:ascii="Times New Roman" w:hAnsi="Times New Roman"/>
          <w:szCs w:val="22"/>
        </w:rPr>
        <w:t>je založené na</w:t>
      </w:r>
      <w:r w:rsidRPr="00FA7FF2" w:rsidR="00FB477B">
        <w:rPr>
          <w:rFonts w:ascii="Times New Roman" w:hAnsi="Times New Roman"/>
          <w:szCs w:val="22"/>
        </w:rPr>
        <w:t xml:space="preserve"> nastavení cieľových hodnôt </w:t>
      </w:r>
      <w:r w:rsidRPr="00FA7FF2" w:rsidR="00FE4D25">
        <w:rPr>
          <w:rFonts w:ascii="Times New Roman" w:hAnsi="Times New Roman"/>
          <w:szCs w:val="22"/>
        </w:rPr>
        <w:t>riz</w:t>
      </w:r>
      <w:r w:rsidRPr="00FA7FF2" w:rsidR="00FB477B">
        <w:rPr>
          <w:rFonts w:ascii="Times New Roman" w:hAnsi="Times New Roman"/>
          <w:szCs w:val="22"/>
        </w:rPr>
        <w:t>í</w:t>
      </w:r>
      <w:r w:rsidRPr="00FA7FF2" w:rsidR="00FE4D25">
        <w:rPr>
          <w:rFonts w:ascii="Times New Roman" w:hAnsi="Times New Roman"/>
          <w:szCs w:val="22"/>
        </w:rPr>
        <w:t>k a</w:t>
      </w:r>
      <w:r w:rsidRPr="00FA7FF2" w:rsidR="00FB477B">
        <w:rPr>
          <w:rFonts w:ascii="Times New Roman" w:hAnsi="Times New Roman"/>
          <w:szCs w:val="22"/>
        </w:rPr>
        <w:t> dodržiavaní nastavených hodnôt</w:t>
      </w:r>
      <w:r w:rsidRPr="00FA7FF2" w:rsidR="00FE4D25">
        <w:rPr>
          <w:rFonts w:ascii="Times New Roman" w:hAnsi="Times New Roman"/>
          <w:szCs w:val="22"/>
        </w:rPr>
        <w:t xml:space="preserve"> </w:t>
      </w:r>
      <w:r w:rsidRPr="00FA7FF2" w:rsidR="00FB477B">
        <w:rPr>
          <w:rFonts w:ascii="Times New Roman" w:hAnsi="Times New Roman"/>
          <w:szCs w:val="22"/>
        </w:rPr>
        <w:t xml:space="preserve">v určitom rozsahu odchýlok od </w:t>
      </w:r>
      <w:r w:rsidRPr="00FA7FF2" w:rsidR="00FE4D25">
        <w:rPr>
          <w:rFonts w:ascii="Times New Roman" w:hAnsi="Times New Roman"/>
          <w:szCs w:val="22"/>
        </w:rPr>
        <w:t>stanovený</w:t>
      </w:r>
      <w:r w:rsidRPr="00FA7FF2" w:rsidR="00FB477B">
        <w:rPr>
          <w:rFonts w:ascii="Times New Roman" w:hAnsi="Times New Roman"/>
          <w:szCs w:val="22"/>
        </w:rPr>
        <w:t>ch</w:t>
      </w:r>
      <w:r w:rsidRPr="00FA7FF2" w:rsidR="00FE4D25">
        <w:rPr>
          <w:rFonts w:ascii="Times New Roman" w:hAnsi="Times New Roman"/>
          <w:szCs w:val="22"/>
        </w:rPr>
        <w:t xml:space="preserve"> </w:t>
      </w:r>
      <w:r w:rsidRPr="00FA7FF2" w:rsidR="00FB477B">
        <w:rPr>
          <w:rFonts w:ascii="Times New Roman" w:hAnsi="Times New Roman"/>
          <w:szCs w:val="22"/>
        </w:rPr>
        <w:t>úrovní</w:t>
      </w:r>
      <w:r w:rsidRPr="00FA7FF2" w:rsidR="00FE4D25">
        <w:rPr>
          <w:rFonts w:ascii="Times New Roman" w:hAnsi="Times New Roman"/>
          <w:szCs w:val="22"/>
        </w:rPr>
        <w:t xml:space="preserve">. </w:t>
      </w:r>
      <w:r w:rsidRPr="00FA7FF2" w:rsidR="00FB477B">
        <w:rPr>
          <w:rFonts w:ascii="Times New Roman" w:hAnsi="Times New Roman"/>
          <w:szCs w:val="22"/>
        </w:rPr>
        <w:t>Nastavením hodnôt rizík</w:t>
      </w:r>
      <w:r w:rsidRPr="00FA7FF2" w:rsidR="00FE4D25">
        <w:rPr>
          <w:rFonts w:ascii="Times New Roman" w:hAnsi="Times New Roman"/>
          <w:szCs w:val="22"/>
        </w:rPr>
        <w:t xml:space="preserve"> sú determinované </w:t>
      </w:r>
      <w:r w:rsidRPr="00FA7FF2" w:rsidR="00F957D8">
        <w:rPr>
          <w:rFonts w:ascii="Times New Roman" w:hAnsi="Times New Roman"/>
          <w:szCs w:val="22"/>
        </w:rPr>
        <w:t>výdavky spojené s</w:t>
      </w:r>
      <w:r w:rsidRPr="00FA7FF2" w:rsidR="00FE4D25">
        <w:rPr>
          <w:rFonts w:ascii="Times New Roman" w:hAnsi="Times New Roman"/>
          <w:szCs w:val="22"/>
        </w:rPr>
        <w:t xml:space="preserve"> obsluh</w:t>
      </w:r>
      <w:r w:rsidRPr="00FA7FF2" w:rsidR="00F957D8">
        <w:rPr>
          <w:rFonts w:ascii="Times New Roman" w:hAnsi="Times New Roman"/>
          <w:szCs w:val="22"/>
        </w:rPr>
        <w:t>ou</w:t>
      </w:r>
      <w:r w:rsidRPr="00FA7FF2" w:rsidR="00FE4D25">
        <w:rPr>
          <w:rFonts w:ascii="Times New Roman" w:hAnsi="Times New Roman"/>
          <w:szCs w:val="22"/>
        </w:rPr>
        <w:t xml:space="preserve"> dlhového portfólia.</w:t>
      </w:r>
      <w:r w:rsidRPr="00FA7FF2">
        <w:rPr>
          <w:rFonts w:ascii="Times New Roman" w:hAnsi="Times New Roman"/>
          <w:szCs w:val="22"/>
        </w:rPr>
        <w:t xml:space="preserve"> Medzi najdôležitejšie riziká štátneho dlh</w:t>
      </w:r>
      <w:r w:rsidRPr="00FA7FF2" w:rsidR="00F8481B">
        <w:rPr>
          <w:rFonts w:ascii="Times New Roman" w:hAnsi="Times New Roman"/>
          <w:szCs w:val="22"/>
        </w:rPr>
        <w:t>u</w:t>
      </w:r>
      <w:r w:rsidRPr="00FA7FF2">
        <w:rPr>
          <w:rFonts w:ascii="Times New Roman" w:hAnsi="Times New Roman"/>
          <w:szCs w:val="22"/>
        </w:rPr>
        <w:t xml:space="preserve"> </w:t>
      </w:r>
      <w:r w:rsidRPr="00FA7FF2" w:rsidR="008A26BE">
        <w:rPr>
          <w:rFonts w:ascii="Times New Roman" w:hAnsi="Times New Roman"/>
          <w:szCs w:val="22"/>
        </w:rPr>
        <w:t>patria nasledovné</w:t>
      </w:r>
      <w:r w:rsidRPr="00FA7FF2">
        <w:rPr>
          <w:rFonts w:ascii="Times New Roman" w:hAnsi="Times New Roman"/>
          <w:szCs w:val="22"/>
        </w:rPr>
        <w:t>:</w:t>
      </w:r>
    </w:p>
    <w:p w:rsidR="00241F24" w:rsidRPr="00A92914" w:rsidP="0060692E">
      <w:pPr>
        <w:bidi w:val="0"/>
        <w:spacing w:before="360" w:after="120"/>
        <w:jc w:val="center"/>
        <w:rPr>
          <w:rFonts w:ascii="Times New Roman" w:hAnsi="Times New Roman"/>
          <w:b/>
        </w:rPr>
      </w:pPr>
      <w:bookmarkStart w:id="59" w:name="_Toc252805711"/>
      <w:bookmarkStart w:id="60" w:name="_Toc275948238"/>
      <w:r w:rsidRPr="00A92914">
        <w:rPr>
          <w:rFonts w:ascii="Times New Roman" w:hAnsi="Times New Roman"/>
          <w:b/>
        </w:rPr>
        <w:t>REFINANČNÉ RIZIKO</w:t>
      </w:r>
      <w:bookmarkEnd w:id="59"/>
      <w:bookmarkEnd w:id="60"/>
    </w:p>
    <w:p w:rsidR="00241F24" w:rsidRPr="00FA7FF2" w:rsidP="00FA7FF2">
      <w:pPr>
        <w:bidi w:val="0"/>
        <w:spacing w:after="120"/>
        <w:ind w:firstLine="708"/>
        <w:jc w:val="both"/>
        <w:rPr>
          <w:rFonts w:ascii="Times New Roman" w:hAnsi="Times New Roman"/>
          <w:szCs w:val="22"/>
        </w:rPr>
      </w:pPr>
      <w:r w:rsidRPr="00FA7FF2">
        <w:rPr>
          <w:rFonts w:ascii="Times New Roman" w:hAnsi="Times New Roman"/>
          <w:szCs w:val="22"/>
        </w:rPr>
        <w:t>Refinančné riziko predstavuje možnosť straty schopnosti štátu</w:t>
      </w:r>
      <w:r w:rsidRPr="00FA7FF2" w:rsidR="005840BF">
        <w:rPr>
          <w:rFonts w:ascii="Times New Roman" w:hAnsi="Times New Roman"/>
          <w:szCs w:val="22"/>
        </w:rPr>
        <w:t xml:space="preserve"> </w:t>
      </w:r>
      <w:r w:rsidRPr="00FA7FF2">
        <w:rPr>
          <w:rFonts w:ascii="Times New Roman" w:hAnsi="Times New Roman"/>
          <w:szCs w:val="22"/>
        </w:rPr>
        <w:t>refinancovať sa a plniť svoje záväzky v čase ich splatnosti, resp. schopnosť splniť si svoje záväzky len pomocou núdzových opatrení, pravdepodobne za oveľa v</w:t>
      </w:r>
      <w:r w:rsidRPr="00FA7FF2" w:rsidR="00FF7BEC">
        <w:rPr>
          <w:rFonts w:ascii="Times New Roman" w:hAnsi="Times New Roman"/>
          <w:szCs w:val="22"/>
        </w:rPr>
        <w:t>äč</w:t>
      </w:r>
      <w:r w:rsidRPr="00FA7FF2">
        <w:rPr>
          <w:rFonts w:ascii="Times New Roman" w:hAnsi="Times New Roman"/>
          <w:szCs w:val="22"/>
        </w:rPr>
        <w:t>šiu cenu ako obvykle. Riziko vyplýva aj z neistoty, či požadovan</w:t>
      </w:r>
      <w:r w:rsidRPr="00FA7FF2" w:rsidR="00FD71A9">
        <w:rPr>
          <w:rFonts w:ascii="Times New Roman" w:hAnsi="Times New Roman"/>
          <w:szCs w:val="22"/>
        </w:rPr>
        <w:t>é</w:t>
      </w:r>
      <w:r w:rsidRPr="00FA7FF2">
        <w:rPr>
          <w:rFonts w:ascii="Times New Roman" w:hAnsi="Times New Roman"/>
          <w:szCs w:val="22"/>
        </w:rPr>
        <w:t xml:space="preserve"> obchod</w:t>
      </w:r>
      <w:r w:rsidRPr="00FA7FF2" w:rsidR="00F8481B">
        <w:rPr>
          <w:rFonts w:ascii="Times New Roman" w:hAnsi="Times New Roman"/>
          <w:szCs w:val="22"/>
        </w:rPr>
        <w:t>y</w:t>
      </w:r>
      <w:r w:rsidRPr="00FA7FF2">
        <w:rPr>
          <w:rFonts w:ascii="Times New Roman" w:hAnsi="Times New Roman"/>
          <w:szCs w:val="22"/>
        </w:rPr>
        <w:t xml:space="preserve"> budú môcť byť na finančných trhoch v plnej miere realizované. Toto riziko </w:t>
      </w:r>
      <w:r w:rsidRPr="00FA7FF2" w:rsidR="00FD71A9">
        <w:rPr>
          <w:rFonts w:ascii="Times New Roman" w:hAnsi="Times New Roman"/>
          <w:szCs w:val="22"/>
        </w:rPr>
        <w:t>je sledované</w:t>
      </w:r>
      <w:r w:rsidRPr="00FA7FF2" w:rsidR="005840BF">
        <w:rPr>
          <w:rFonts w:ascii="Times New Roman" w:hAnsi="Times New Roman"/>
          <w:szCs w:val="22"/>
        </w:rPr>
        <w:t xml:space="preserve"> </w:t>
      </w:r>
      <w:r w:rsidRPr="00FA7FF2">
        <w:rPr>
          <w:rFonts w:ascii="Times New Roman" w:hAnsi="Times New Roman"/>
          <w:szCs w:val="22"/>
        </w:rPr>
        <w:t>prostredníctvom ukazovateľov kumulatívnej splatnosti, t.</w:t>
      </w:r>
      <w:r w:rsidR="00331CB4">
        <w:rPr>
          <w:rFonts w:ascii="Times New Roman" w:hAnsi="Times New Roman"/>
          <w:szCs w:val="22"/>
        </w:rPr>
        <w:t xml:space="preserve"> </w:t>
      </w:r>
      <w:r w:rsidRPr="00FA7FF2">
        <w:rPr>
          <w:rFonts w:ascii="Times New Roman" w:hAnsi="Times New Roman"/>
          <w:szCs w:val="22"/>
        </w:rPr>
        <w:t>j.</w:t>
      </w:r>
      <w:r w:rsidRPr="00FA7FF2" w:rsidR="005840BF">
        <w:rPr>
          <w:rFonts w:ascii="Times New Roman" w:hAnsi="Times New Roman"/>
          <w:szCs w:val="22"/>
        </w:rPr>
        <w:t xml:space="preserve"> </w:t>
      </w:r>
      <w:r w:rsidRPr="00FA7FF2" w:rsidR="002861E5">
        <w:rPr>
          <w:rFonts w:ascii="Times New Roman" w:hAnsi="Times New Roman"/>
          <w:szCs w:val="22"/>
        </w:rPr>
        <w:t>súčtu</w:t>
      </w:r>
      <w:r w:rsidRPr="00FA7FF2" w:rsidR="005840BF">
        <w:rPr>
          <w:rFonts w:ascii="Times New Roman" w:hAnsi="Times New Roman"/>
          <w:szCs w:val="22"/>
        </w:rPr>
        <w:t xml:space="preserve"> </w:t>
      </w:r>
      <w:r w:rsidRPr="00FA7FF2">
        <w:rPr>
          <w:rFonts w:ascii="Times New Roman" w:hAnsi="Times New Roman"/>
          <w:szCs w:val="22"/>
        </w:rPr>
        <w:t>všetkých splatných záväzkov v stanovenom období.</w:t>
      </w:r>
    </w:p>
    <w:p w:rsidR="00241F24" w:rsidRPr="00FA7FF2" w:rsidP="00FB477B">
      <w:pPr>
        <w:numPr>
          <w:numId w:val="16"/>
        </w:numPr>
        <w:bidi w:val="0"/>
        <w:ind w:left="1134" w:hanging="850"/>
        <w:jc w:val="both"/>
        <w:rPr>
          <w:rFonts w:ascii="Times New Roman" w:hAnsi="Times New Roman"/>
          <w:szCs w:val="22"/>
        </w:rPr>
      </w:pPr>
      <w:r w:rsidRPr="00FA7FF2">
        <w:rPr>
          <w:rFonts w:ascii="Times New Roman" w:hAnsi="Times New Roman"/>
          <w:szCs w:val="22"/>
        </w:rPr>
        <w:t>Ukazovateľ kumulatívnej splatnosti v </w:t>
      </w:r>
      <w:r w:rsidRPr="00FA7FF2" w:rsidR="00541922">
        <w:rPr>
          <w:rFonts w:ascii="Times New Roman" w:hAnsi="Times New Roman"/>
          <w:szCs w:val="22"/>
        </w:rPr>
        <w:t xml:space="preserve">prvom </w:t>
      </w:r>
      <w:r w:rsidRPr="00FA7FF2">
        <w:rPr>
          <w:rFonts w:ascii="Times New Roman" w:hAnsi="Times New Roman"/>
          <w:szCs w:val="22"/>
        </w:rPr>
        <w:t>roku</w:t>
      </w:r>
    </w:p>
    <w:p w:rsidR="00241F24" w:rsidRPr="00FA7FF2" w:rsidP="00FB477B">
      <w:pPr>
        <w:numPr>
          <w:numId w:val="16"/>
        </w:numPr>
        <w:bidi w:val="0"/>
        <w:spacing w:after="120"/>
        <w:ind w:left="1134" w:hanging="850"/>
        <w:jc w:val="both"/>
        <w:rPr>
          <w:rFonts w:ascii="Times New Roman" w:hAnsi="Times New Roman"/>
          <w:szCs w:val="22"/>
        </w:rPr>
      </w:pPr>
      <w:r w:rsidRPr="00FA7FF2">
        <w:rPr>
          <w:rFonts w:ascii="Times New Roman" w:hAnsi="Times New Roman"/>
          <w:szCs w:val="22"/>
        </w:rPr>
        <w:t>Ukazovateľ kumulatívnej splatnosti do 5 rokov</w:t>
      </w:r>
    </w:p>
    <w:p w:rsidR="00017BAF" w:rsidRPr="00FA7FF2" w:rsidP="00FA7FF2">
      <w:pPr>
        <w:bidi w:val="0"/>
        <w:spacing w:after="240"/>
        <w:ind w:firstLine="708"/>
        <w:jc w:val="both"/>
        <w:rPr>
          <w:rFonts w:ascii="Times New Roman" w:hAnsi="Times New Roman"/>
          <w:szCs w:val="22"/>
        </w:rPr>
      </w:pPr>
      <w:r w:rsidRPr="00FA7FF2" w:rsidR="00FB477B">
        <w:rPr>
          <w:rFonts w:ascii="Times New Roman" w:hAnsi="Times New Roman"/>
          <w:szCs w:val="22"/>
        </w:rPr>
        <w:t>V</w:t>
      </w:r>
      <w:r w:rsidRPr="00FA7FF2" w:rsidR="00241F24">
        <w:rPr>
          <w:rFonts w:ascii="Times New Roman" w:hAnsi="Times New Roman"/>
          <w:szCs w:val="22"/>
        </w:rPr>
        <w:t xml:space="preserve"> obdob</w:t>
      </w:r>
      <w:r w:rsidRPr="00FA7FF2" w:rsidR="00FB477B">
        <w:rPr>
          <w:rFonts w:ascii="Times New Roman" w:hAnsi="Times New Roman"/>
          <w:szCs w:val="22"/>
        </w:rPr>
        <w:t>í</w:t>
      </w:r>
      <w:r w:rsidRPr="00FA7FF2" w:rsidR="00241F24">
        <w:rPr>
          <w:rFonts w:ascii="Times New Roman" w:hAnsi="Times New Roman"/>
          <w:szCs w:val="22"/>
        </w:rPr>
        <w:t xml:space="preserve"> rokov </w:t>
      </w:r>
      <w:r w:rsidRPr="00FA7FF2" w:rsidR="002861E5">
        <w:rPr>
          <w:rFonts w:ascii="Times New Roman" w:hAnsi="Times New Roman"/>
          <w:szCs w:val="22"/>
        </w:rPr>
        <w:t>201</w:t>
      </w:r>
      <w:r w:rsidRPr="00FA7FF2" w:rsidR="00FB477B">
        <w:rPr>
          <w:rFonts w:ascii="Times New Roman" w:hAnsi="Times New Roman"/>
          <w:szCs w:val="22"/>
        </w:rPr>
        <w:t>5</w:t>
      </w:r>
      <w:r w:rsidRPr="00FA7FF2" w:rsidR="00241F24">
        <w:rPr>
          <w:rFonts w:ascii="Times New Roman" w:hAnsi="Times New Roman"/>
          <w:szCs w:val="22"/>
        </w:rPr>
        <w:t>-201</w:t>
      </w:r>
      <w:r w:rsidRPr="00FA7FF2" w:rsidR="00FB477B">
        <w:rPr>
          <w:rFonts w:ascii="Times New Roman" w:hAnsi="Times New Roman"/>
          <w:szCs w:val="22"/>
        </w:rPr>
        <w:t>8</w:t>
      </w:r>
      <w:r w:rsidRPr="00FA7FF2" w:rsidR="00241F24">
        <w:rPr>
          <w:rFonts w:ascii="Times New Roman" w:hAnsi="Times New Roman"/>
          <w:szCs w:val="22"/>
        </w:rPr>
        <w:t xml:space="preserve"> bude strategickým zámerom </w:t>
      </w:r>
      <w:r w:rsidRPr="00FA7FF2" w:rsidR="00FF7BEC">
        <w:rPr>
          <w:rFonts w:ascii="Times New Roman" w:hAnsi="Times New Roman"/>
          <w:szCs w:val="22"/>
        </w:rPr>
        <w:t>u</w:t>
      </w:r>
      <w:r w:rsidRPr="00FA7FF2" w:rsidR="00241F24">
        <w:rPr>
          <w:rFonts w:ascii="Times New Roman" w:hAnsi="Times New Roman"/>
          <w:szCs w:val="22"/>
        </w:rPr>
        <w:t xml:space="preserve">držiavanie </w:t>
      </w:r>
      <w:r w:rsidRPr="00FA7FF2" w:rsidR="00A43919">
        <w:rPr>
          <w:rFonts w:ascii="Times New Roman" w:hAnsi="Times New Roman"/>
          <w:szCs w:val="22"/>
        </w:rPr>
        <w:t>podielu</w:t>
      </w:r>
      <w:r w:rsidRPr="00FA7FF2" w:rsidR="005840BF">
        <w:rPr>
          <w:rFonts w:ascii="Times New Roman" w:hAnsi="Times New Roman"/>
          <w:szCs w:val="22"/>
        </w:rPr>
        <w:t xml:space="preserve"> </w:t>
      </w:r>
      <w:r w:rsidRPr="00FA7FF2" w:rsidR="0043043B">
        <w:rPr>
          <w:rFonts w:ascii="Times New Roman" w:hAnsi="Times New Roman"/>
          <w:szCs w:val="22"/>
        </w:rPr>
        <w:t>súčtu všetkých splatných záväzkov v období do jedného roka k celkovým finančným záväzkom</w:t>
      </w:r>
      <w:r w:rsidRPr="00FA7FF2" w:rsidR="002D0435">
        <w:rPr>
          <w:rFonts w:ascii="Times New Roman" w:hAnsi="Times New Roman"/>
          <w:szCs w:val="22"/>
        </w:rPr>
        <w:t>,</w:t>
      </w:r>
      <w:r w:rsidRPr="00FA7FF2" w:rsidR="0043043B">
        <w:rPr>
          <w:rFonts w:ascii="Times New Roman" w:hAnsi="Times New Roman"/>
          <w:szCs w:val="22"/>
        </w:rPr>
        <w:t xml:space="preserve"> </w:t>
      </w:r>
      <w:r w:rsidRPr="00FA7FF2" w:rsidR="00FF7BEC">
        <w:rPr>
          <w:rFonts w:ascii="Times New Roman" w:hAnsi="Times New Roman"/>
          <w:szCs w:val="22"/>
        </w:rPr>
        <w:t>čo najbližšie k</w:t>
      </w:r>
      <w:r w:rsidRPr="00FA7FF2" w:rsidR="005840BF">
        <w:rPr>
          <w:rFonts w:ascii="Times New Roman" w:hAnsi="Times New Roman"/>
          <w:szCs w:val="22"/>
        </w:rPr>
        <w:t xml:space="preserve"> </w:t>
      </w:r>
      <w:r w:rsidRPr="00FA7FF2" w:rsidR="00FF7BEC">
        <w:rPr>
          <w:rFonts w:ascii="Times New Roman" w:hAnsi="Times New Roman"/>
          <w:szCs w:val="22"/>
        </w:rPr>
        <w:t>hodnote 2</w:t>
      </w:r>
      <w:r w:rsidRPr="00FA7FF2" w:rsidR="00FB477B">
        <w:rPr>
          <w:rFonts w:ascii="Times New Roman" w:hAnsi="Times New Roman"/>
          <w:szCs w:val="22"/>
        </w:rPr>
        <w:t>0</w:t>
      </w:r>
      <w:r w:rsidRPr="00FA7FF2" w:rsidR="00FF7BEC">
        <w:rPr>
          <w:rFonts w:ascii="Times New Roman" w:hAnsi="Times New Roman"/>
          <w:szCs w:val="22"/>
        </w:rPr>
        <w:t> % a u</w:t>
      </w:r>
      <w:r w:rsidRPr="00FA7FF2" w:rsidR="00241F24">
        <w:rPr>
          <w:rFonts w:ascii="Times New Roman" w:hAnsi="Times New Roman"/>
          <w:szCs w:val="22"/>
        </w:rPr>
        <w:t xml:space="preserve">držiavanie </w:t>
      </w:r>
      <w:r w:rsidRPr="00FA7FF2" w:rsidR="00A43919">
        <w:rPr>
          <w:rFonts w:ascii="Times New Roman" w:hAnsi="Times New Roman"/>
          <w:szCs w:val="22"/>
        </w:rPr>
        <w:t xml:space="preserve">podielu </w:t>
      </w:r>
      <w:r w:rsidRPr="00FA7FF2" w:rsidR="0043043B">
        <w:rPr>
          <w:rFonts w:ascii="Times New Roman" w:hAnsi="Times New Roman"/>
          <w:szCs w:val="22"/>
        </w:rPr>
        <w:t>súčtu všetkých splatných záväzkov v období do piatich rokov k celkovým finančným záväzkom</w:t>
      </w:r>
      <w:r w:rsidRPr="00FA7FF2" w:rsidR="002D0435">
        <w:rPr>
          <w:rFonts w:ascii="Times New Roman" w:hAnsi="Times New Roman"/>
          <w:szCs w:val="22"/>
        </w:rPr>
        <w:t>,</w:t>
      </w:r>
      <w:r w:rsidRPr="00FA7FF2" w:rsidR="0043043B">
        <w:rPr>
          <w:rFonts w:ascii="Times New Roman" w:hAnsi="Times New Roman"/>
          <w:szCs w:val="22"/>
        </w:rPr>
        <w:t xml:space="preserve"> </w:t>
      </w:r>
      <w:r w:rsidRPr="00FA7FF2" w:rsidR="00FF7BEC">
        <w:rPr>
          <w:rFonts w:ascii="Times New Roman" w:hAnsi="Times New Roman"/>
          <w:szCs w:val="22"/>
        </w:rPr>
        <w:t>čo najbližšie k</w:t>
      </w:r>
      <w:r w:rsidRPr="00FA7FF2" w:rsidR="005840BF">
        <w:rPr>
          <w:rFonts w:ascii="Times New Roman" w:hAnsi="Times New Roman"/>
          <w:szCs w:val="22"/>
        </w:rPr>
        <w:t xml:space="preserve"> </w:t>
      </w:r>
      <w:r w:rsidRPr="00FA7FF2" w:rsidR="00FF7BEC">
        <w:rPr>
          <w:rFonts w:ascii="Times New Roman" w:hAnsi="Times New Roman"/>
          <w:szCs w:val="22"/>
        </w:rPr>
        <w:t xml:space="preserve">hodnote </w:t>
      </w:r>
      <w:r w:rsidRPr="00FA7FF2" w:rsidR="00241F24">
        <w:rPr>
          <w:rFonts w:ascii="Times New Roman" w:hAnsi="Times New Roman"/>
          <w:szCs w:val="22"/>
        </w:rPr>
        <w:t>5</w:t>
      </w:r>
      <w:r w:rsidRPr="00FA7FF2" w:rsidR="006B0671">
        <w:rPr>
          <w:rFonts w:ascii="Times New Roman" w:hAnsi="Times New Roman"/>
          <w:szCs w:val="22"/>
        </w:rPr>
        <w:t>5</w:t>
      </w:r>
      <w:r w:rsidRPr="00FA7FF2" w:rsidR="00FB477B">
        <w:rPr>
          <w:rFonts w:ascii="Times New Roman" w:hAnsi="Times New Roman"/>
          <w:szCs w:val="22"/>
        </w:rPr>
        <w:t> </w:t>
      </w:r>
      <w:r w:rsidRPr="00FA7FF2" w:rsidR="00241F24">
        <w:rPr>
          <w:rFonts w:ascii="Times New Roman" w:hAnsi="Times New Roman"/>
          <w:szCs w:val="22"/>
        </w:rPr>
        <w:t xml:space="preserve">%. Dodržanie týchto </w:t>
      </w:r>
      <w:r w:rsidRPr="00FA7FF2" w:rsidR="003957F8">
        <w:rPr>
          <w:rFonts w:ascii="Times New Roman" w:hAnsi="Times New Roman"/>
          <w:szCs w:val="22"/>
        </w:rPr>
        <w:t>parametrov</w:t>
      </w:r>
      <w:r w:rsidRPr="00FA7FF2" w:rsidR="00241F24">
        <w:rPr>
          <w:rFonts w:ascii="Times New Roman" w:hAnsi="Times New Roman"/>
          <w:szCs w:val="22"/>
        </w:rPr>
        <w:t xml:space="preserve"> predpokladá štandardné podmienky vývoja finančných trhov</w:t>
      </w:r>
      <w:r w:rsidRPr="00FA7FF2" w:rsidR="00F8481B">
        <w:rPr>
          <w:rFonts w:ascii="Times New Roman" w:hAnsi="Times New Roman"/>
          <w:szCs w:val="22"/>
        </w:rPr>
        <w:t>,</w:t>
      </w:r>
      <w:r w:rsidRPr="00FA7FF2" w:rsidR="00241F24">
        <w:rPr>
          <w:rFonts w:ascii="Times New Roman" w:hAnsi="Times New Roman"/>
          <w:szCs w:val="22"/>
        </w:rPr>
        <w:t xml:space="preserve"> makroekonomického a fiškálneho vývoja ekonomiky SR v rámci eurozóny. Rozhodnutie o dodržaní </w:t>
      </w:r>
      <w:r w:rsidRPr="00FA7FF2" w:rsidR="006B37C6">
        <w:rPr>
          <w:rFonts w:ascii="Times New Roman" w:hAnsi="Times New Roman"/>
          <w:szCs w:val="22"/>
        </w:rPr>
        <w:t>parametrov</w:t>
      </w:r>
      <w:r w:rsidRPr="00FA7FF2" w:rsidR="002D0435">
        <w:rPr>
          <w:rFonts w:ascii="Times New Roman" w:hAnsi="Times New Roman"/>
          <w:szCs w:val="22"/>
        </w:rPr>
        <w:t>,</w:t>
      </w:r>
      <w:r w:rsidRPr="00FA7FF2" w:rsidR="00241F24">
        <w:rPr>
          <w:rFonts w:ascii="Times New Roman" w:hAnsi="Times New Roman"/>
          <w:szCs w:val="22"/>
        </w:rPr>
        <w:t xml:space="preserve"> aj v prípade neštandardných podmienok</w:t>
      </w:r>
      <w:r w:rsidRPr="00FA7FF2" w:rsidR="002D0435">
        <w:rPr>
          <w:rFonts w:ascii="Times New Roman" w:hAnsi="Times New Roman"/>
          <w:szCs w:val="22"/>
        </w:rPr>
        <w:t>,</w:t>
      </w:r>
      <w:r w:rsidRPr="00FA7FF2" w:rsidR="00241F24">
        <w:rPr>
          <w:rFonts w:ascii="Times New Roman" w:hAnsi="Times New Roman"/>
          <w:szCs w:val="22"/>
        </w:rPr>
        <w:t xml:space="preserve"> môže viesť k podstatnému </w:t>
      </w:r>
      <w:r w:rsidRPr="00FA7FF2" w:rsidR="0043043B">
        <w:rPr>
          <w:rFonts w:ascii="Times New Roman" w:hAnsi="Times New Roman"/>
          <w:szCs w:val="22"/>
        </w:rPr>
        <w:t xml:space="preserve">zväčšeniu </w:t>
      </w:r>
      <w:r w:rsidRPr="00FA7FF2" w:rsidR="00F957D8">
        <w:rPr>
          <w:rFonts w:ascii="Times New Roman" w:hAnsi="Times New Roman"/>
          <w:szCs w:val="22"/>
        </w:rPr>
        <w:t>výdavkov ŠR</w:t>
      </w:r>
      <w:r w:rsidRPr="00FA7FF2" w:rsidR="00241F24">
        <w:rPr>
          <w:rFonts w:ascii="Times New Roman" w:hAnsi="Times New Roman"/>
          <w:szCs w:val="22"/>
        </w:rPr>
        <w:t xml:space="preserve"> na obsluhu dlhu.</w:t>
      </w:r>
    </w:p>
    <w:p w:rsidR="00017BAF" w:rsidRPr="00A92914" w:rsidP="00017BAF">
      <w:pPr>
        <w:bidi w:val="0"/>
        <w:jc w:val="both"/>
        <w:rPr>
          <w:rFonts w:ascii="Times New Roman" w:hAnsi="Times New Roman"/>
          <w:i/>
          <w:sz w:val="16"/>
          <w:szCs w:val="16"/>
        </w:rPr>
      </w:pPr>
      <w:r w:rsidRPr="00A92914">
        <w:rPr>
          <w:rFonts w:ascii="Times New Roman" w:hAnsi="Times New Roman"/>
          <w:b/>
          <w:sz w:val="20"/>
          <w:szCs w:val="20"/>
        </w:rPr>
        <w:t>Kumulatívne refinančné riziko v jednotlivých rokoch (%, k 3</w:t>
      </w:r>
      <w:r w:rsidRPr="00A92914" w:rsidR="00D11FAC">
        <w:rPr>
          <w:rFonts w:ascii="Times New Roman" w:hAnsi="Times New Roman"/>
          <w:b/>
          <w:sz w:val="20"/>
          <w:szCs w:val="20"/>
        </w:rPr>
        <w:t>0</w:t>
      </w:r>
      <w:r w:rsidRPr="00A92914">
        <w:rPr>
          <w:rFonts w:ascii="Times New Roman" w:hAnsi="Times New Roman"/>
          <w:b/>
          <w:sz w:val="20"/>
          <w:szCs w:val="20"/>
        </w:rPr>
        <w:t>.</w:t>
      </w:r>
      <w:r w:rsidRPr="00A92914" w:rsidR="00D11FAC">
        <w:rPr>
          <w:rFonts w:ascii="Times New Roman" w:hAnsi="Times New Roman"/>
          <w:b/>
          <w:sz w:val="20"/>
          <w:szCs w:val="20"/>
        </w:rPr>
        <w:t>6</w:t>
      </w:r>
      <w:r w:rsidRPr="00A92914">
        <w:rPr>
          <w:rFonts w:ascii="Times New Roman" w:hAnsi="Times New Roman"/>
          <w:b/>
          <w:sz w:val="20"/>
          <w:szCs w:val="20"/>
        </w:rPr>
        <w:t>.2014)</w:t>
      </w:r>
      <w:r w:rsidRPr="00A92914">
        <w:rPr>
          <w:rFonts w:ascii="Times New Roman" w:hAnsi="Times New Roman"/>
          <w:i/>
          <w:sz w:val="16"/>
          <w:szCs w:val="16"/>
        </w:rPr>
        <w:t xml:space="preserve"> </w:t>
      </w:r>
    </w:p>
    <w:p w:rsidR="00241F24" w:rsidRPr="00A92914" w:rsidP="00D11FAC">
      <w:pPr>
        <w:bidi w:val="0"/>
        <w:jc w:val="right"/>
        <w:rPr>
          <w:rFonts w:ascii="Times New Roman" w:hAnsi="Times New Roman"/>
          <w:sz w:val="22"/>
          <w:szCs w:val="22"/>
        </w:rPr>
      </w:pPr>
      <w:r>
        <w:rPr>
          <w:rFonts w:ascii="Times New Roman" w:hAnsi="Times New Roman"/>
          <w:i/>
          <w:sz w:val="16"/>
          <w:szCs w:val="16"/>
        </w:rPr>
        <w:pict>
          <v:shape id="_x0000_i1034" type="#_x0000_t75" style="width:460.15pt;height:215.7pt;mso-position-horizontal-relative:char;mso-position-vertical-relative:line">
            <v:imagedata r:id="rId16" o:title=""/>
            <o:diagram v:ext="edit"/>
            <w10:wrap type="none"/>
            <w10:anchorlock/>
          </v:shape>
        </w:pict>
      </w:r>
      <w:r w:rsidRPr="00A92914" w:rsidR="00017BAF">
        <w:rPr>
          <w:rFonts w:ascii="Times New Roman" w:hAnsi="Times New Roman"/>
          <w:i/>
          <w:sz w:val="16"/>
          <w:szCs w:val="16"/>
        </w:rPr>
        <w:t>Zdroj: ARDAL</w:t>
      </w:r>
    </w:p>
    <w:p w:rsidR="00241F24" w:rsidRPr="00A92914" w:rsidP="0060692E">
      <w:pPr>
        <w:bidi w:val="0"/>
        <w:spacing w:before="360" w:after="120"/>
        <w:jc w:val="center"/>
        <w:rPr>
          <w:rFonts w:ascii="Times New Roman" w:hAnsi="Times New Roman"/>
          <w:b/>
        </w:rPr>
      </w:pPr>
      <w:bookmarkStart w:id="61" w:name="_Toc252805712"/>
      <w:bookmarkStart w:id="62" w:name="_Toc275948239"/>
      <w:r w:rsidRPr="00A92914">
        <w:rPr>
          <w:rFonts w:ascii="Times New Roman" w:hAnsi="Times New Roman"/>
          <w:b/>
        </w:rPr>
        <w:t>ÚROKOVÉ RIZIKO</w:t>
      </w:r>
      <w:bookmarkEnd w:id="61"/>
      <w:bookmarkEnd w:id="62"/>
    </w:p>
    <w:p w:rsidR="00241F24" w:rsidRPr="00FA7FF2" w:rsidP="00FA7FF2">
      <w:pPr>
        <w:bidi w:val="0"/>
        <w:spacing w:after="120"/>
        <w:ind w:firstLine="648"/>
        <w:jc w:val="both"/>
        <w:rPr>
          <w:rFonts w:ascii="Times New Roman" w:hAnsi="Times New Roman"/>
          <w:szCs w:val="22"/>
        </w:rPr>
      </w:pPr>
      <w:r w:rsidRPr="00FA7FF2">
        <w:rPr>
          <w:rFonts w:ascii="Times New Roman" w:hAnsi="Times New Roman"/>
          <w:szCs w:val="22"/>
        </w:rPr>
        <w:t xml:space="preserve">Úrokové riziko predstavuje riziko </w:t>
      </w:r>
      <w:r w:rsidRPr="00FA7FF2" w:rsidR="0043043B">
        <w:rPr>
          <w:rFonts w:ascii="Times New Roman" w:hAnsi="Times New Roman"/>
          <w:szCs w:val="22"/>
        </w:rPr>
        <w:t xml:space="preserve">zmeny </w:t>
      </w:r>
      <w:r w:rsidRPr="00FA7FF2" w:rsidR="00F8481B">
        <w:rPr>
          <w:rFonts w:ascii="Times New Roman" w:hAnsi="Times New Roman"/>
          <w:szCs w:val="22"/>
        </w:rPr>
        <w:t xml:space="preserve">výdavkov spojených s portfóliom štátneho dlhu </w:t>
      </w:r>
      <w:r w:rsidRPr="00FA7FF2">
        <w:rPr>
          <w:rFonts w:ascii="Times New Roman" w:hAnsi="Times New Roman"/>
          <w:szCs w:val="22"/>
        </w:rPr>
        <w:t>v dôsledku zmien trhových úrokových sadzieb. Ukazovatele precenenia dlhu, ktorými sa to</w:t>
      </w:r>
      <w:r w:rsidRPr="00FA7FF2" w:rsidR="00432E65">
        <w:rPr>
          <w:rFonts w:ascii="Times New Roman" w:hAnsi="Times New Roman"/>
          <w:szCs w:val="22"/>
        </w:rPr>
        <w:t>t</w:t>
      </w:r>
      <w:r w:rsidRPr="00FA7FF2">
        <w:rPr>
          <w:rFonts w:ascii="Times New Roman" w:hAnsi="Times New Roman"/>
          <w:szCs w:val="22"/>
        </w:rPr>
        <w:t xml:space="preserve">o riziko riadi, vyjadrujú mieru ohrozenia </w:t>
      </w:r>
      <w:r w:rsidRPr="00FA7FF2" w:rsidR="00F8481B">
        <w:rPr>
          <w:rFonts w:ascii="Times New Roman" w:hAnsi="Times New Roman"/>
          <w:szCs w:val="22"/>
        </w:rPr>
        <w:t xml:space="preserve">– rastu </w:t>
      </w:r>
      <w:r w:rsidRPr="00FA7FF2" w:rsidR="00FF7BEC">
        <w:rPr>
          <w:rFonts w:ascii="Times New Roman" w:hAnsi="Times New Roman"/>
          <w:szCs w:val="22"/>
        </w:rPr>
        <w:t xml:space="preserve">(poklesu) </w:t>
      </w:r>
      <w:r w:rsidRPr="00FA7FF2" w:rsidR="00F8481B">
        <w:rPr>
          <w:rFonts w:ascii="Times New Roman" w:hAnsi="Times New Roman"/>
          <w:szCs w:val="22"/>
        </w:rPr>
        <w:t>výdavkov</w:t>
      </w:r>
      <w:r w:rsidRPr="00FA7FF2" w:rsidR="005840BF">
        <w:rPr>
          <w:rFonts w:ascii="Times New Roman" w:hAnsi="Times New Roman"/>
          <w:szCs w:val="22"/>
        </w:rPr>
        <w:t xml:space="preserve"> </w:t>
      </w:r>
      <w:r w:rsidRPr="00FA7FF2">
        <w:rPr>
          <w:rFonts w:ascii="Times New Roman" w:hAnsi="Times New Roman"/>
          <w:szCs w:val="22"/>
        </w:rPr>
        <w:t xml:space="preserve">v dôsledku nepriaznivých </w:t>
      </w:r>
      <w:r w:rsidRPr="00FA7FF2" w:rsidR="00FF7BEC">
        <w:rPr>
          <w:rFonts w:ascii="Times New Roman" w:hAnsi="Times New Roman"/>
          <w:szCs w:val="22"/>
        </w:rPr>
        <w:t xml:space="preserve">(priaznivých) </w:t>
      </w:r>
      <w:r w:rsidRPr="00FA7FF2">
        <w:rPr>
          <w:rFonts w:ascii="Times New Roman" w:hAnsi="Times New Roman"/>
          <w:szCs w:val="22"/>
        </w:rPr>
        <w:t>pohybov úrokových sadzieb. Sekundárne sa pri úrokovom riziku sleduje aj vývoj celkovej durácie</w:t>
      </w:r>
      <w:r w:rsidRPr="00FA7FF2" w:rsidR="00F8481B">
        <w:rPr>
          <w:rFonts w:ascii="Times New Roman" w:hAnsi="Times New Roman"/>
          <w:szCs w:val="22"/>
        </w:rPr>
        <w:t xml:space="preserve"> portfólia</w:t>
      </w:r>
      <w:r w:rsidRPr="00FA7FF2">
        <w:rPr>
          <w:rFonts w:ascii="Times New Roman" w:hAnsi="Times New Roman"/>
          <w:szCs w:val="22"/>
        </w:rPr>
        <w:t>.</w:t>
      </w:r>
    </w:p>
    <w:p w:rsidR="00241F24" w:rsidRPr="00FA7FF2" w:rsidP="00D47F52">
      <w:pPr>
        <w:numPr>
          <w:numId w:val="23"/>
        </w:numPr>
        <w:bidi w:val="0"/>
        <w:ind w:left="1008"/>
        <w:jc w:val="both"/>
        <w:rPr>
          <w:rFonts w:ascii="Times New Roman" w:hAnsi="Times New Roman"/>
          <w:szCs w:val="22"/>
        </w:rPr>
      </w:pPr>
      <w:r w:rsidRPr="00FA7FF2">
        <w:rPr>
          <w:rFonts w:ascii="Times New Roman" w:hAnsi="Times New Roman"/>
          <w:szCs w:val="22"/>
        </w:rPr>
        <w:t>Ukazovateľ precenenia dlhu v </w:t>
      </w:r>
      <w:r w:rsidRPr="00FA7FF2" w:rsidR="00541922">
        <w:rPr>
          <w:rFonts w:ascii="Times New Roman" w:hAnsi="Times New Roman"/>
          <w:szCs w:val="22"/>
        </w:rPr>
        <w:t xml:space="preserve">prvom </w:t>
      </w:r>
      <w:r w:rsidRPr="00FA7FF2">
        <w:rPr>
          <w:rFonts w:ascii="Times New Roman" w:hAnsi="Times New Roman"/>
          <w:szCs w:val="22"/>
        </w:rPr>
        <w:t>roku</w:t>
      </w:r>
    </w:p>
    <w:p w:rsidR="00D47F52" w:rsidRPr="00FA7FF2" w:rsidP="00D47F52">
      <w:pPr>
        <w:numPr>
          <w:numId w:val="23"/>
        </w:numPr>
        <w:bidi w:val="0"/>
        <w:ind w:left="1008"/>
        <w:jc w:val="both"/>
        <w:rPr>
          <w:rFonts w:ascii="Times New Roman" w:hAnsi="Times New Roman"/>
          <w:szCs w:val="22"/>
        </w:rPr>
      </w:pPr>
      <w:r w:rsidRPr="00FA7FF2" w:rsidR="00241F24">
        <w:rPr>
          <w:rFonts w:ascii="Times New Roman" w:hAnsi="Times New Roman"/>
          <w:szCs w:val="22"/>
        </w:rPr>
        <w:t>Ukazovateľ precenenia dlhu do 5 rokov</w:t>
      </w:r>
    </w:p>
    <w:p w:rsidR="00D47F52" w:rsidP="00FA7FF2">
      <w:pPr>
        <w:bidi w:val="0"/>
        <w:spacing w:before="120" w:after="120"/>
        <w:ind w:firstLine="648"/>
        <w:jc w:val="both"/>
        <w:rPr>
          <w:rFonts w:ascii="Times New Roman" w:hAnsi="Times New Roman"/>
          <w:szCs w:val="22"/>
        </w:rPr>
      </w:pPr>
      <w:r w:rsidRPr="00FA7FF2" w:rsidR="00241F24">
        <w:rPr>
          <w:rFonts w:ascii="Times New Roman" w:hAnsi="Times New Roman"/>
          <w:szCs w:val="22"/>
        </w:rPr>
        <w:t>Podobne</w:t>
      </w:r>
      <w:r w:rsidRPr="00FA7FF2" w:rsidR="00D27FBD">
        <w:rPr>
          <w:rFonts w:ascii="Times New Roman" w:hAnsi="Times New Roman"/>
          <w:szCs w:val="22"/>
        </w:rPr>
        <w:t>,</w:t>
      </w:r>
      <w:r w:rsidRPr="00FA7FF2" w:rsidR="00241F24">
        <w:rPr>
          <w:rFonts w:ascii="Times New Roman" w:hAnsi="Times New Roman"/>
          <w:szCs w:val="22"/>
        </w:rPr>
        <w:t xml:space="preserve"> ako pri refinančnom riziku</w:t>
      </w:r>
      <w:r w:rsidRPr="00FA7FF2" w:rsidR="00D27FBD">
        <w:rPr>
          <w:rFonts w:ascii="Times New Roman" w:hAnsi="Times New Roman"/>
          <w:szCs w:val="22"/>
        </w:rPr>
        <w:t>,</w:t>
      </w:r>
      <w:r w:rsidRPr="00FA7FF2" w:rsidR="00241F24">
        <w:rPr>
          <w:rFonts w:ascii="Times New Roman" w:hAnsi="Times New Roman"/>
          <w:szCs w:val="22"/>
        </w:rPr>
        <w:t xml:space="preserve"> aj tu bude strategickým zámerom </w:t>
      </w:r>
      <w:r w:rsidRPr="00FA7FF2" w:rsidR="00FF7BEC">
        <w:rPr>
          <w:rFonts w:ascii="Times New Roman" w:hAnsi="Times New Roman"/>
          <w:szCs w:val="22"/>
        </w:rPr>
        <w:t>u</w:t>
      </w:r>
      <w:r w:rsidRPr="00FA7FF2" w:rsidR="00241F24">
        <w:rPr>
          <w:rFonts w:ascii="Times New Roman" w:hAnsi="Times New Roman"/>
          <w:szCs w:val="22"/>
        </w:rPr>
        <w:t xml:space="preserve">držiavanie </w:t>
      </w:r>
      <w:r w:rsidRPr="00FA7FF2" w:rsidR="00A43919">
        <w:rPr>
          <w:rFonts w:ascii="Times New Roman" w:hAnsi="Times New Roman"/>
          <w:szCs w:val="22"/>
        </w:rPr>
        <w:t xml:space="preserve">podielu súčtu všetkých záväzkov </w:t>
      </w:r>
      <w:r w:rsidRPr="00FA7FF2" w:rsidR="00252CA4">
        <w:rPr>
          <w:rFonts w:ascii="Times New Roman" w:hAnsi="Times New Roman"/>
          <w:szCs w:val="22"/>
        </w:rPr>
        <w:t xml:space="preserve">preceňovaných </w:t>
      </w:r>
      <w:r w:rsidRPr="00FA7FF2" w:rsidR="00A43919">
        <w:rPr>
          <w:rFonts w:ascii="Times New Roman" w:hAnsi="Times New Roman"/>
          <w:szCs w:val="22"/>
        </w:rPr>
        <w:t>v období do jedného roka k celkovým finančným záväzkom</w:t>
      </w:r>
      <w:r w:rsidRPr="00FA7FF2" w:rsidR="0070601E">
        <w:rPr>
          <w:rFonts w:ascii="Times New Roman" w:hAnsi="Times New Roman"/>
          <w:szCs w:val="22"/>
        </w:rPr>
        <w:t>,</w:t>
      </w:r>
      <w:r w:rsidRPr="00FA7FF2" w:rsidR="00A43919">
        <w:rPr>
          <w:rFonts w:ascii="Times New Roman" w:hAnsi="Times New Roman"/>
          <w:szCs w:val="22"/>
        </w:rPr>
        <w:t xml:space="preserve"> </w:t>
      </w:r>
      <w:r w:rsidRPr="00FA7FF2" w:rsidR="00FF7BEC">
        <w:rPr>
          <w:rFonts w:ascii="Times New Roman" w:hAnsi="Times New Roman"/>
          <w:szCs w:val="22"/>
        </w:rPr>
        <w:t>čo najbližšie k</w:t>
      </w:r>
      <w:r w:rsidRPr="00FA7FF2" w:rsidR="009F4613">
        <w:rPr>
          <w:rFonts w:ascii="Times New Roman" w:hAnsi="Times New Roman"/>
          <w:szCs w:val="22"/>
        </w:rPr>
        <w:t xml:space="preserve"> </w:t>
      </w:r>
      <w:r w:rsidRPr="00FA7FF2" w:rsidR="00FF7BEC">
        <w:rPr>
          <w:rFonts w:ascii="Times New Roman" w:hAnsi="Times New Roman"/>
          <w:szCs w:val="22"/>
        </w:rPr>
        <w:t xml:space="preserve">hodnote </w:t>
      </w:r>
      <w:r w:rsidRPr="00FA7FF2" w:rsidR="00C16B21">
        <w:rPr>
          <w:rFonts w:ascii="Times New Roman" w:hAnsi="Times New Roman"/>
          <w:szCs w:val="22"/>
        </w:rPr>
        <w:t>2</w:t>
      </w:r>
      <w:r w:rsidRPr="00FA7FF2" w:rsidR="006B0671">
        <w:rPr>
          <w:rFonts w:ascii="Times New Roman" w:hAnsi="Times New Roman"/>
          <w:szCs w:val="22"/>
        </w:rPr>
        <w:t>5</w:t>
      </w:r>
      <w:r w:rsidRPr="00FA7FF2" w:rsidR="00017BAF">
        <w:rPr>
          <w:rFonts w:ascii="Times New Roman" w:hAnsi="Times New Roman"/>
          <w:szCs w:val="22"/>
        </w:rPr>
        <w:t> </w:t>
      </w:r>
      <w:r w:rsidRPr="00FA7FF2" w:rsidR="00806764">
        <w:rPr>
          <w:rFonts w:ascii="Times New Roman" w:hAnsi="Times New Roman"/>
          <w:szCs w:val="22"/>
        </w:rPr>
        <w:t>% a</w:t>
      </w:r>
      <w:r w:rsidRPr="00FA7FF2" w:rsidR="005840BF">
        <w:rPr>
          <w:rFonts w:ascii="Times New Roman" w:hAnsi="Times New Roman"/>
          <w:szCs w:val="22"/>
        </w:rPr>
        <w:t xml:space="preserve"> </w:t>
      </w:r>
      <w:r w:rsidRPr="00FA7FF2" w:rsidR="00FF7BEC">
        <w:rPr>
          <w:rFonts w:ascii="Times New Roman" w:hAnsi="Times New Roman"/>
          <w:szCs w:val="22"/>
        </w:rPr>
        <w:t>u</w:t>
      </w:r>
      <w:r w:rsidRPr="00FA7FF2" w:rsidR="00A43919">
        <w:rPr>
          <w:rFonts w:ascii="Times New Roman" w:hAnsi="Times New Roman"/>
          <w:szCs w:val="22"/>
        </w:rPr>
        <w:t xml:space="preserve">držiavanie </w:t>
      </w:r>
      <w:r w:rsidRPr="00FA7FF2" w:rsidR="00806764">
        <w:rPr>
          <w:rFonts w:ascii="Times New Roman" w:hAnsi="Times New Roman"/>
          <w:szCs w:val="22"/>
        </w:rPr>
        <w:t xml:space="preserve">podielu </w:t>
      </w:r>
      <w:r w:rsidRPr="00FA7FF2" w:rsidR="00A43919">
        <w:rPr>
          <w:rFonts w:ascii="Times New Roman" w:hAnsi="Times New Roman"/>
          <w:szCs w:val="22"/>
        </w:rPr>
        <w:t xml:space="preserve">súčtu všetkých splatných záväzkov </w:t>
      </w:r>
      <w:r w:rsidRPr="00FA7FF2" w:rsidR="00252CA4">
        <w:rPr>
          <w:rFonts w:ascii="Times New Roman" w:hAnsi="Times New Roman"/>
          <w:szCs w:val="22"/>
        </w:rPr>
        <w:t xml:space="preserve">preceňovaných </w:t>
      </w:r>
      <w:r w:rsidRPr="00FA7FF2" w:rsidR="00A43919">
        <w:rPr>
          <w:rFonts w:ascii="Times New Roman" w:hAnsi="Times New Roman"/>
          <w:szCs w:val="22"/>
        </w:rPr>
        <w:t>v období do piatich rokov k celkovým finančným záväzkom</w:t>
      </w:r>
      <w:r w:rsidRPr="00FA7FF2" w:rsidR="002D0435">
        <w:rPr>
          <w:rFonts w:ascii="Times New Roman" w:hAnsi="Times New Roman"/>
          <w:szCs w:val="22"/>
        </w:rPr>
        <w:t>,</w:t>
      </w:r>
      <w:r w:rsidRPr="00FA7FF2" w:rsidR="00A43919">
        <w:rPr>
          <w:rFonts w:ascii="Times New Roman" w:hAnsi="Times New Roman"/>
          <w:szCs w:val="22"/>
        </w:rPr>
        <w:t xml:space="preserve"> </w:t>
      </w:r>
      <w:r w:rsidRPr="00FA7FF2" w:rsidR="00FF7BEC">
        <w:rPr>
          <w:rFonts w:ascii="Times New Roman" w:hAnsi="Times New Roman"/>
          <w:szCs w:val="22"/>
        </w:rPr>
        <w:t>čo najbližšie k</w:t>
      </w:r>
      <w:r w:rsidRPr="00FA7FF2" w:rsidR="005840BF">
        <w:rPr>
          <w:rFonts w:ascii="Times New Roman" w:hAnsi="Times New Roman"/>
          <w:szCs w:val="22"/>
        </w:rPr>
        <w:t xml:space="preserve"> </w:t>
      </w:r>
      <w:r w:rsidRPr="00FA7FF2" w:rsidR="00FF7BEC">
        <w:rPr>
          <w:rFonts w:ascii="Times New Roman" w:hAnsi="Times New Roman"/>
          <w:szCs w:val="22"/>
        </w:rPr>
        <w:t xml:space="preserve">hodnote </w:t>
      </w:r>
      <w:r w:rsidRPr="00FA7FF2" w:rsidR="00A43919">
        <w:rPr>
          <w:rFonts w:ascii="Times New Roman" w:hAnsi="Times New Roman"/>
          <w:szCs w:val="22"/>
        </w:rPr>
        <w:t>5</w:t>
      </w:r>
      <w:r w:rsidRPr="00FA7FF2" w:rsidR="00442696">
        <w:rPr>
          <w:rFonts w:ascii="Times New Roman" w:hAnsi="Times New Roman"/>
          <w:szCs w:val="22"/>
        </w:rPr>
        <w:t>5</w:t>
      </w:r>
      <w:r w:rsidRPr="00FA7FF2" w:rsidR="00017BAF">
        <w:rPr>
          <w:rFonts w:ascii="Times New Roman" w:hAnsi="Times New Roman"/>
          <w:szCs w:val="22"/>
        </w:rPr>
        <w:t> </w:t>
      </w:r>
      <w:r w:rsidRPr="00FA7FF2" w:rsidR="00A43919">
        <w:rPr>
          <w:rFonts w:ascii="Times New Roman" w:hAnsi="Times New Roman"/>
          <w:szCs w:val="22"/>
        </w:rPr>
        <w:t>%.</w:t>
      </w:r>
      <w:r w:rsidRPr="00FA7FF2" w:rsidR="00665FE6">
        <w:rPr>
          <w:rFonts w:ascii="Times New Roman" w:hAnsi="Times New Roman"/>
          <w:szCs w:val="22"/>
        </w:rPr>
        <w:t xml:space="preserve"> </w:t>
      </w:r>
      <w:r w:rsidRPr="00FA7FF2" w:rsidR="00F8481B">
        <w:rPr>
          <w:rFonts w:ascii="Times New Roman" w:hAnsi="Times New Roman"/>
          <w:szCs w:val="22"/>
        </w:rPr>
        <w:t>S</w:t>
      </w:r>
      <w:r w:rsidRPr="00FA7FF2" w:rsidR="00241F24">
        <w:rPr>
          <w:rFonts w:ascii="Times New Roman" w:hAnsi="Times New Roman"/>
          <w:szCs w:val="22"/>
        </w:rPr>
        <w:t xml:space="preserve">plnenie týchto </w:t>
      </w:r>
      <w:r w:rsidRPr="00FA7FF2" w:rsidR="006B37C6">
        <w:rPr>
          <w:rFonts w:ascii="Times New Roman" w:hAnsi="Times New Roman"/>
          <w:szCs w:val="22"/>
        </w:rPr>
        <w:t>parametrov</w:t>
      </w:r>
      <w:r w:rsidRPr="00FA7FF2" w:rsidR="00241F24">
        <w:rPr>
          <w:rFonts w:ascii="Times New Roman" w:hAnsi="Times New Roman"/>
          <w:szCs w:val="22"/>
        </w:rPr>
        <w:t xml:space="preserve"> tiež predpokladá štandardné podmienky vývoja finančných trhov</w:t>
      </w:r>
      <w:r w:rsidRPr="00FA7FF2" w:rsidR="00F8481B">
        <w:rPr>
          <w:rFonts w:ascii="Times New Roman" w:hAnsi="Times New Roman"/>
          <w:szCs w:val="22"/>
        </w:rPr>
        <w:t>, </w:t>
      </w:r>
      <w:r w:rsidRPr="00FA7FF2" w:rsidR="00241F24">
        <w:rPr>
          <w:rFonts w:ascii="Times New Roman" w:hAnsi="Times New Roman"/>
          <w:szCs w:val="22"/>
        </w:rPr>
        <w:t>ekonomiky</w:t>
      </w:r>
      <w:r w:rsidRPr="00FA7FF2" w:rsidR="00F8481B">
        <w:rPr>
          <w:rFonts w:ascii="Times New Roman" w:hAnsi="Times New Roman"/>
          <w:szCs w:val="22"/>
        </w:rPr>
        <w:t xml:space="preserve"> a fiškálnej pozície štátu</w:t>
      </w:r>
      <w:r w:rsidRPr="00FA7FF2" w:rsidR="00241F24">
        <w:rPr>
          <w:rFonts w:ascii="Times New Roman" w:hAnsi="Times New Roman"/>
          <w:szCs w:val="22"/>
        </w:rPr>
        <w:t>.</w:t>
      </w:r>
    </w:p>
    <w:p w:rsidR="00FA7FF2" w:rsidRPr="00FA7FF2" w:rsidP="00FA7FF2">
      <w:pPr>
        <w:bidi w:val="0"/>
        <w:spacing w:before="120" w:after="120"/>
        <w:ind w:firstLine="648"/>
        <w:jc w:val="both"/>
        <w:rPr>
          <w:rFonts w:ascii="Times New Roman" w:hAnsi="Times New Roman"/>
          <w:szCs w:val="22"/>
        </w:rPr>
      </w:pPr>
    </w:p>
    <w:p w:rsidR="00017BAF" w:rsidRPr="00A92914" w:rsidP="00D47F52">
      <w:pPr>
        <w:bidi w:val="0"/>
        <w:spacing w:before="120" w:after="120"/>
        <w:jc w:val="center"/>
        <w:rPr>
          <w:rFonts w:ascii="Times New Roman" w:hAnsi="Times New Roman"/>
          <w:b/>
          <w:sz w:val="20"/>
          <w:szCs w:val="20"/>
        </w:rPr>
      </w:pPr>
      <w:r w:rsidRPr="00A92914">
        <w:rPr>
          <w:rFonts w:ascii="Times New Roman" w:hAnsi="Times New Roman"/>
          <w:b/>
          <w:sz w:val="20"/>
          <w:szCs w:val="20"/>
        </w:rPr>
        <w:t>Kumulatívne úrokové riziko v jednotlivých rokoch (%, k 3</w:t>
      </w:r>
      <w:r w:rsidRPr="00A92914" w:rsidR="00D11FAC">
        <w:rPr>
          <w:rFonts w:ascii="Times New Roman" w:hAnsi="Times New Roman"/>
          <w:b/>
          <w:sz w:val="20"/>
          <w:szCs w:val="20"/>
        </w:rPr>
        <w:t>0</w:t>
      </w:r>
      <w:r w:rsidRPr="00A92914">
        <w:rPr>
          <w:rFonts w:ascii="Times New Roman" w:hAnsi="Times New Roman"/>
          <w:b/>
          <w:sz w:val="20"/>
          <w:szCs w:val="20"/>
        </w:rPr>
        <w:t>.</w:t>
      </w:r>
      <w:r w:rsidRPr="00A92914" w:rsidR="00D11FAC">
        <w:rPr>
          <w:rFonts w:ascii="Times New Roman" w:hAnsi="Times New Roman"/>
          <w:b/>
          <w:sz w:val="20"/>
          <w:szCs w:val="20"/>
        </w:rPr>
        <w:t>6</w:t>
      </w:r>
      <w:r w:rsidRPr="00A92914">
        <w:rPr>
          <w:rFonts w:ascii="Times New Roman" w:hAnsi="Times New Roman"/>
          <w:b/>
          <w:sz w:val="20"/>
          <w:szCs w:val="20"/>
        </w:rPr>
        <w:t>.201</w:t>
      </w:r>
      <w:r w:rsidRPr="00A92914" w:rsidR="00783F3E">
        <w:rPr>
          <w:rFonts w:ascii="Times New Roman" w:hAnsi="Times New Roman"/>
          <w:b/>
          <w:sz w:val="20"/>
          <w:szCs w:val="20"/>
        </w:rPr>
        <w:t>4</w:t>
      </w:r>
      <w:r w:rsidRPr="00A92914">
        <w:rPr>
          <w:rFonts w:ascii="Times New Roman" w:hAnsi="Times New Roman"/>
          <w:b/>
          <w:sz w:val="20"/>
          <w:szCs w:val="20"/>
        </w:rPr>
        <w:t>)</w:t>
      </w:r>
    </w:p>
    <w:p w:rsidR="00783F3E" w:rsidRPr="00A92914" w:rsidP="0003036D">
      <w:pPr>
        <w:bidi w:val="0"/>
        <w:jc w:val="right"/>
        <w:rPr>
          <w:rFonts w:ascii="Times New Roman" w:hAnsi="Times New Roman"/>
          <w:sz w:val="22"/>
          <w:szCs w:val="22"/>
        </w:rPr>
      </w:pPr>
      <w:r>
        <w:rPr>
          <w:rFonts w:ascii="Times New Roman" w:hAnsi="Times New Roman"/>
          <w:i/>
          <w:sz w:val="16"/>
          <w:szCs w:val="16"/>
        </w:rPr>
        <w:pict>
          <v:shape id="_x0000_i1035" type="#_x0000_t75" style="width:468.4pt;height:221.25pt;mso-position-horizontal-relative:char;mso-position-vertical-relative:line">
            <v:imagedata r:id="rId17" o:title=""/>
            <o:diagram v:ext="edit"/>
            <w10:wrap type="none"/>
            <w10:anchorlock/>
          </v:shape>
        </w:pict>
      </w:r>
      <w:r w:rsidRPr="00A92914" w:rsidR="00D47F52">
        <w:rPr>
          <w:rFonts w:ascii="Times New Roman" w:hAnsi="Times New Roman"/>
          <w:i/>
          <w:sz w:val="16"/>
          <w:szCs w:val="16"/>
        </w:rPr>
        <w:t xml:space="preserve"> </w:t>
      </w:r>
      <w:r w:rsidRPr="00A92914">
        <w:rPr>
          <w:rFonts w:ascii="Times New Roman" w:hAnsi="Times New Roman"/>
          <w:i/>
          <w:sz w:val="16"/>
          <w:szCs w:val="16"/>
        </w:rPr>
        <w:t>Zdroj: ARDAL</w:t>
      </w:r>
    </w:p>
    <w:p w:rsidR="00017BAF" w:rsidRPr="00FA7FF2" w:rsidP="00FA7FF2">
      <w:pPr>
        <w:bidi w:val="0"/>
        <w:spacing w:before="240" w:after="120"/>
        <w:ind w:firstLine="708"/>
        <w:jc w:val="both"/>
        <w:rPr>
          <w:rFonts w:ascii="Times New Roman" w:hAnsi="Times New Roman"/>
        </w:rPr>
      </w:pPr>
      <w:r w:rsidRPr="00FA7FF2" w:rsidR="00783F3E">
        <w:rPr>
          <w:rFonts w:ascii="Times New Roman" w:hAnsi="Times New Roman"/>
        </w:rPr>
        <w:t xml:space="preserve">Priemerná splatnosť a durácia dlhového portfólia budú sledované aj naďalej ako </w:t>
      </w:r>
      <w:r w:rsidRPr="00FA7FF2">
        <w:rPr>
          <w:rFonts w:ascii="Times New Roman" w:hAnsi="Times New Roman"/>
        </w:rPr>
        <w:t>sekundárne ukazovatele</w:t>
      </w:r>
      <w:r w:rsidRPr="00FA7FF2" w:rsidR="00783F3E">
        <w:rPr>
          <w:rFonts w:ascii="Times New Roman" w:hAnsi="Times New Roman"/>
        </w:rPr>
        <w:t>.</w:t>
      </w:r>
    </w:p>
    <w:p w:rsidR="00241F24" w:rsidRPr="00FA7FF2" w:rsidP="002F5482">
      <w:pPr>
        <w:bidi w:val="0"/>
        <w:spacing w:before="240" w:after="120"/>
        <w:jc w:val="center"/>
        <w:rPr>
          <w:rFonts w:ascii="Times New Roman" w:hAnsi="Times New Roman"/>
          <w:b/>
        </w:rPr>
      </w:pPr>
      <w:bookmarkStart w:id="63" w:name="_Toc252805713"/>
      <w:bookmarkStart w:id="64" w:name="_Toc275948240"/>
      <w:r w:rsidRPr="00FA7FF2" w:rsidR="004B2CCB">
        <w:rPr>
          <w:rFonts w:ascii="Times New Roman" w:hAnsi="Times New Roman"/>
          <w:b/>
        </w:rPr>
        <w:t>K</w:t>
      </w:r>
      <w:r w:rsidRPr="00FA7FF2" w:rsidR="005350B3">
        <w:rPr>
          <w:rFonts w:ascii="Times New Roman" w:hAnsi="Times New Roman"/>
          <w:b/>
        </w:rPr>
        <w:t>URZOVÉ</w:t>
      </w:r>
      <w:r w:rsidRPr="00FA7FF2">
        <w:rPr>
          <w:rFonts w:ascii="Times New Roman" w:hAnsi="Times New Roman"/>
          <w:b/>
        </w:rPr>
        <w:t xml:space="preserve"> RIZIKO</w:t>
      </w:r>
      <w:bookmarkEnd w:id="63"/>
      <w:bookmarkEnd w:id="64"/>
    </w:p>
    <w:p w:rsidR="00241F24" w:rsidRPr="00FA7FF2" w:rsidP="00FA7FF2">
      <w:pPr>
        <w:bidi w:val="0"/>
        <w:ind w:firstLine="644"/>
        <w:jc w:val="both"/>
        <w:rPr>
          <w:rFonts w:ascii="Times New Roman" w:hAnsi="Times New Roman"/>
        </w:rPr>
      </w:pPr>
      <w:r w:rsidRPr="00FA7FF2" w:rsidR="004B2CCB">
        <w:rPr>
          <w:rFonts w:ascii="Times New Roman" w:hAnsi="Times New Roman"/>
        </w:rPr>
        <w:t>Kurzové</w:t>
      </w:r>
      <w:r w:rsidRPr="00FA7FF2">
        <w:rPr>
          <w:rFonts w:ascii="Times New Roman" w:hAnsi="Times New Roman"/>
        </w:rPr>
        <w:t xml:space="preserve"> riziko predstavuje riziko straty spôsobenej zmenou kurzov </w:t>
      </w:r>
      <w:r w:rsidRPr="00FA7FF2" w:rsidR="00665FE6">
        <w:rPr>
          <w:rFonts w:ascii="Times New Roman" w:hAnsi="Times New Roman"/>
        </w:rPr>
        <w:t xml:space="preserve">iných mien </w:t>
      </w:r>
      <w:r w:rsidRPr="00FA7FF2">
        <w:rPr>
          <w:rFonts w:ascii="Times New Roman" w:hAnsi="Times New Roman"/>
        </w:rPr>
        <w:t>a ich vplyv</w:t>
      </w:r>
      <w:r w:rsidRPr="00FA7FF2" w:rsidR="009F4613">
        <w:rPr>
          <w:rFonts w:ascii="Times New Roman" w:hAnsi="Times New Roman"/>
        </w:rPr>
        <w:t xml:space="preserve"> </w:t>
      </w:r>
      <w:r w:rsidRPr="00FA7FF2">
        <w:rPr>
          <w:rFonts w:ascii="Times New Roman" w:hAnsi="Times New Roman"/>
        </w:rPr>
        <w:t>na aktíva a pasíva štátu.</w:t>
      </w:r>
      <w:r w:rsidRPr="00FA7FF2" w:rsidR="009F4613">
        <w:rPr>
          <w:rFonts w:ascii="Times New Roman" w:hAnsi="Times New Roman"/>
        </w:rPr>
        <w:t xml:space="preserve"> </w:t>
      </w:r>
      <w:r w:rsidRPr="00FA7FF2">
        <w:rPr>
          <w:rFonts w:ascii="Times New Roman" w:hAnsi="Times New Roman"/>
        </w:rPr>
        <w:t>Vzhľad</w:t>
      </w:r>
      <w:r w:rsidRPr="00FA7FF2" w:rsidR="00783F3E">
        <w:rPr>
          <w:rFonts w:ascii="Times New Roman" w:hAnsi="Times New Roman"/>
        </w:rPr>
        <w:t xml:space="preserve">om na činnosti, ktoré </w:t>
      </w:r>
      <w:r w:rsidRPr="00FA7FF2" w:rsidR="00441474">
        <w:rPr>
          <w:rFonts w:ascii="Times New Roman" w:hAnsi="Times New Roman"/>
        </w:rPr>
        <w:t xml:space="preserve">vykonáva ARDAL </w:t>
      </w:r>
      <w:r w:rsidRPr="00FA7FF2" w:rsidR="00783F3E">
        <w:rPr>
          <w:rFonts w:ascii="Times New Roman" w:hAnsi="Times New Roman"/>
        </w:rPr>
        <w:t>v mene MF </w:t>
      </w:r>
      <w:r w:rsidRPr="00FA7FF2">
        <w:rPr>
          <w:rFonts w:ascii="Times New Roman" w:hAnsi="Times New Roman"/>
        </w:rPr>
        <w:t xml:space="preserve">SR, toto riziko môže vzniknúť len v prípade, že na </w:t>
      </w:r>
      <w:r w:rsidRPr="00FA7FF2" w:rsidR="00252CA4">
        <w:rPr>
          <w:rFonts w:ascii="Times New Roman" w:hAnsi="Times New Roman"/>
        </w:rPr>
        <w:t>financovanie záväzkov štátu</w:t>
      </w:r>
      <w:r w:rsidRPr="00FA7FF2" w:rsidR="009F4613">
        <w:rPr>
          <w:rFonts w:ascii="Times New Roman" w:hAnsi="Times New Roman"/>
        </w:rPr>
        <w:t xml:space="preserve"> </w:t>
      </w:r>
      <w:r w:rsidRPr="00FA7FF2">
        <w:rPr>
          <w:rFonts w:ascii="Times New Roman" w:hAnsi="Times New Roman"/>
        </w:rPr>
        <w:t>budú prijaté zdroje v cudzej mene a tie budú</w:t>
      </w:r>
      <w:r w:rsidRPr="00FA7FF2" w:rsidR="00983999">
        <w:rPr>
          <w:rFonts w:ascii="Times New Roman" w:hAnsi="Times New Roman"/>
        </w:rPr>
        <w:t xml:space="preserve"> b</w:t>
      </w:r>
      <w:r w:rsidRPr="00FA7FF2" w:rsidR="003975C4">
        <w:rPr>
          <w:rFonts w:ascii="Times New Roman" w:hAnsi="Times New Roman"/>
        </w:rPr>
        <w:t xml:space="preserve">ez zabezpečovacích operácií </w:t>
      </w:r>
      <w:r w:rsidRPr="00FA7FF2">
        <w:rPr>
          <w:rFonts w:ascii="Times New Roman" w:hAnsi="Times New Roman"/>
        </w:rPr>
        <w:t xml:space="preserve">konvertované do </w:t>
      </w:r>
      <w:r w:rsidRPr="00FA7FF2" w:rsidR="005747A7">
        <w:rPr>
          <w:rFonts w:ascii="Times New Roman" w:hAnsi="Times New Roman"/>
        </w:rPr>
        <w:t>eur</w:t>
      </w:r>
      <w:r w:rsidRPr="00FA7FF2">
        <w:rPr>
          <w:rFonts w:ascii="Times New Roman" w:hAnsi="Times New Roman"/>
        </w:rPr>
        <w:t>.</w:t>
      </w:r>
    </w:p>
    <w:p w:rsidR="00241F24" w:rsidRPr="00FA7FF2" w:rsidP="00D47F52">
      <w:pPr>
        <w:numPr>
          <w:numId w:val="22"/>
        </w:numPr>
        <w:bidi w:val="0"/>
        <w:spacing w:before="120" w:after="120"/>
        <w:jc w:val="both"/>
        <w:rPr>
          <w:rFonts w:ascii="Times New Roman" w:hAnsi="Times New Roman"/>
        </w:rPr>
      </w:pPr>
      <w:r w:rsidRPr="00FA7FF2">
        <w:rPr>
          <w:rFonts w:ascii="Times New Roman" w:hAnsi="Times New Roman"/>
        </w:rPr>
        <w:t xml:space="preserve">Ukazovateľ otvorenej nezabezpečenej </w:t>
      </w:r>
      <w:r w:rsidRPr="00FA7FF2" w:rsidR="00DA0E9D">
        <w:rPr>
          <w:rFonts w:ascii="Times New Roman" w:hAnsi="Times New Roman"/>
        </w:rPr>
        <w:t>cudzomenovej</w:t>
      </w:r>
      <w:r w:rsidRPr="00FA7FF2">
        <w:rPr>
          <w:rFonts w:ascii="Times New Roman" w:hAnsi="Times New Roman"/>
        </w:rPr>
        <w:t xml:space="preserve"> pozície </w:t>
      </w:r>
      <w:r w:rsidRPr="00FA7FF2" w:rsidR="00252CA4">
        <w:rPr>
          <w:rFonts w:ascii="Times New Roman" w:hAnsi="Times New Roman"/>
        </w:rPr>
        <w:t>finančných záväzkov štátu</w:t>
      </w:r>
    </w:p>
    <w:p w:rsidR="00241F24" w:rsidRPr="00FA7FF2" w:rsidP="00FA7FF2">
      <w:pPr>
        <w:bidi w:val="0"/>
        <w:ind w:firstLine="644"/>
        <w:jc w:val="both"/>
        <w:rPr>
          <w:rFonts w:ascii="Times New Roman" w:hAnsi="Times New Roman"/>
        </w:rPr>
      </w:pPr>
      <w:r w:rsidRPr="00FA7FF2">
        <w:rPr>
          <w:rFonts w:ascii="Times New Roman" w:hAnsi="Times New Roman"/>
        </w:rPr>
        <w:t>V prípade výhodných po</w:t>
      </w:r>
      <w:r w:rsidRPr="00FA7FF2" w:rsidR="00783F3E">
        <w:rPr>
          <w:rFonts w:ascii="Times New Roman" w:hAnsi="Times New Roman"/>
        </w:rPr>
        <w:t xml:space="preserve">dmienok na trhu, bude snahou udržiavať </w:t>
      </w:r>
      <w:r w:rsidRPr="00FA7FF2">
        <w:rPr>
          <w:rFonts w:ascii="Times New Roman" w:hAnsi="Times New Roman"/>
        </w:rPr>
        <w:t>diverzifikova</w:t>
      </w:r>
      <w:r w:rsidRPr="00FA7FF2" w:rsidR="00783F3E">
        <w:rPr>
          <w:rFonts w:ascii="Times New Roman" w:hAnsi="Times New Roman"/>
        </w:rPr>
        <w:t>né</w:t>
      </w:r>
      <w:r w:rsidRPr="00FA7FF2">
        <w:rPr>
          <w:rFonts w:ascii="Times New Roman" w:hAnsi="Times New Roman"/>
        </w:rPr>
        <w:t xml:space="preserve"> dlhové portfólio aj z hľadiska menovej štruktúry. Strategickým zámerom štátu bude udržanie</w:t>
      </w:r>
      <w:r w:rsidRPr="00FA7FF2" w:rsidR="009F4613">
        <w:rPr>
          <w:rFonts w:ascii="Times New Roman" w:hAnsi="Times New Roman"/>
        </w:rPr>
        <w:t xml:space="preserve"> </w:t>
      </w:r>
      <w:r w:rsidRPr="00FA7FF2" w:rsidR="00442696">
        <w:rPr>
          <w:rFonts w:ascii="Times New Roman" w:hAnsi="Times New Roman"/>
        </w:rPr>
        <w:t xml:space="preserve">zatvorenej – zabezpečenej cudzomenovej pozície finančných záväzkov štátu, </w:t>
      </w:r>
      <w:r w:rsidRPr="00FA7FF2">
        <w:rPr>
          <w:rFonts w:ascii="Times New Roman" w:hAnsi="Times New Roman"/>
        </w:rPr>
        <w:t>otvoren</w:t>
      </w:r>
      <w:r w:rsidRPr="00FA7FF2" w:rsidR="00442696">
        <w:rPr>
          <w:rFonts w:ascii="Times New Roman" w:hAnsi="Times New Roman"/>
        </w:rPr>
        <w:t>á</w:t>
      </w:r>
      <w:r w:rsidRPr="00FA7FF2">
        <w:rPr>
          <w:rFonts w:ascii="Times New Roman" w:hAnsi="Times New Roman"/>
        </w:rPr>
        <w:t xml:space="preserve"> nezabezpečen</w:t>
      </w:r>
      <w:r w:rsidRPr="00FA7FF2" w:rsidR="00442696">
        <w:rPr>
          <w:rFonts w:ascii="Times New Roman" w:hAnsi="Times New Roman"/>
        </w:rPr>
        <w:t>á</w:t>
      </w:r>
      <w:r w:rsidRPr="00FA7FF2" w:rsidR="00DA0E9D">
        <w:rPr>
          <w:rFonts w:ascii="Times New Roman" w:hAnsi="Times New Roman"/>
        </w:rPr>
        <w:t xml:space="preserve"> cudzomenov</w:t>
      </w:r>
      <w:r w:rsidRPr="00FA7FF2" w:rsidR="00442696">
        <w:rPr>
          <w:rFonts w:ascii="Times New Roman" w:hAnsi="Times New Roman"/>
        </w:rPr>
        <w:t>á</w:t>
      </w:r>
      <w:r w:rsidRPr="00FA7FF2" w:rsidR="009F4613">
        <w:rPr>
          <w:rFonts w:ascii="Times New Roman" w:hAnsi="Times New Roman"/>
        </w:rPr>
        <w:t xml:space="preserve"> </w:t>
      </w:r>
      <w:r w:rsidRPr="00FA7FF2" w:rsidR="00252CA4">
        <w:rPr>
          <w:rFonts w:ascii="Times New Roman" w:hAnsi="Times New Roman"/>
        </w:rPr>
        <w:t>pozíci</w:t>
      </w:r>
      <w:r w:rsidRPr="00FA7FF2" w:rsidR="00442696">
        <w:rPr>
          <w:rFonts w:ascii="Times New Roman" w:hAnsi="Times New Roman"/>
        </w:rPr>
        <w:t>a</w:t>
      </w:r>
      <w:r w:rsidRPr="00FA7FF2" w:rsidR="009F4613">
        <w:rPr>
          <w:rFonts w:ascii="Times New Roman" w:hAnsi="Times New Roman"/>
        </w:rPr>
        <w:t xml:space="preserve"> </w:t>
      </w:r>
      <w:r w:rsidRPr="00FA7FF2" w:rsidR="00252CA4">
        <w:rPr>
          <w:rFonts w:ascii="Times New Roman" w:hAnsi="Times New Roman"/>
        </w:rPr>
        <w:t>finančných záväzkov štátu</w:t>
      </w:r>
      <w:r w:rsidRPr="00FA7FF2" w:rsidR="009F4613">
        <w:rPr>
          <w:rFonts w:ascii="Times New Roman" w:hAnsi="Times New Roman"/>
        </w:rPr>
        <w:t xml:space="preserve"> </w:t>
      </w:r>
      <w:r w:rsidRPr="00FA7FF2" w:rsidR="00442696">
        <w:rPr>
          <w:rFonts w:ascii="Times New Roman" w:hAnsi="Times New Roman"/>
        </w:rPr>
        <w:t xml:space="preserve">môže krátkodobo </w:t>
      </w:r>
      <w:r w:rsidRPr="00FA7FF2" w:rsidR="00DA341F">
        <w:rPr>
          <w:rFonts w:ascii="Times New Roman" w:hAnsi="Times New Roman"/>
        </w:rPr>
        <w:t xml:space="preserve">dosiahnuť </w:t>
      </w:r>
      <w:r w:rsidRPr="00FA7FF2" w:rsidR="00442696">
        <w:rPr>
          <w:rFonts w:ascii="Times New Roman" w:hAnsi="Times New Roman"/>
        </w:rPr>
        <w:t xml:space="preserve">maximálne </w:t>
      </w:r>
      <w:r w:rsidRPr="00FA7FF2" w:rsidR="00783F3E">
        <w:rPr>
          <w:rFonts w:ascii="Times New Roman" w:hAnsi="Times New Roman"/>
        </w:rPr>
        <w:t>3 </w:t>
      </w:r>
      <w:r w:rsidRPr="00FA7FF2">
        <w:rPr>
          <w:rFonts w:ascii="Times New Roman" w:hAnsi="Times New Roman"/>
        </w:rPr>
        <w:t xml:space="preserve">% v pomere k </w:t>
      </w:r>
      <w:r w:rsidRPr="00FA7FF2" w:rsidR="00252CA4">
        <w:rPr>
          <w:rFonts w:ascii="Times New Roman" w:hAnsi="Times New Roman"/>
        </w:rPr>
        <w:t>celkovým finančným záväzkom štátu</w:t>
      </w:r>
      <w:r w:rsidRPr="00FA7FF2">
        <w:rPr>
          <w:rFonts w:ascii="Times New Roman" w:hAnsi="Times New Roman"/>
        </w:rPr>
        <w:t>.</w:t>
      </w:r>
    </w:p>
    <w:p w:rsidR="00241F24" w:rsidRPr="00FA7FF2" w:rsidP="002F5482">
      <w:pPr>
        <w:bidi w:val="0"/>
        <w:spacing w:before="240" w:after="120"/>
        <w:jc w:val="center"/>
        <w:rPr>
          <w:rFonts w:ascii="Times New Roman" w:hAnsi="Times New Roman"/>
          <w:b/>
        </w:rPr>
      </w:pPr>
      <w:bookmarkStart w:id="65" w:name="_Toc252805714"/>
      <w:bookmarkStart w:id="66" w:name="_Toc275948241"/>
      <w:r w:rsidRPr="00FA7FF2">
        <w:rPr>
          <w:rFonts w:ascii="Times New Roman" w:hAnsi="Times New Roman"/>
          <w:b/>
        </w:rPr>
        <w:t>KREDITNÉ RIZIKO</w:t>
      </w:r>
      <w:bookmarkEnd w:id="65"/>
      <w:bookmarkEnd w:id="66"/>
    </w:p>
    <w:p w:rsidR="00241F24" w:rsidRPr="00FA7FF2" w:rsidP="00FA7FF2">
      <w:pPr>
        <w:bidi w:val="0"/>
        <w:ind w:firstLine="708"/>
        <w:jc w:val="both"/>
        <w:rPr>
          <w:rFonts w:ascii="Times New Roman" w:hAnsi="Times New Roman"/>
        </w:rPr>
      </w:pPr>
      <w:r w:rsidRPr="00FA7FF2">
        <w:rPr>
          <w:rFonts w:ascii="Times New Roman" w:hAnsi="Times New Roman"/>
        </w:rPr>
        <w:t>Kreditné riziko predstavuje riziko straty vyplývajúce z toho, že dlžník alebo iná zmluvná strana zlyhá pri plnení svojich záväzkov vyplývajúcich z dohodnutých podmienok. Kreditné riziko zahŕňa aj riziko druhého štátu (napr. ak príslušné orgány štátu alebo</w:t>
      </w:r>
      <w:r w:rsidRPr="00FA7FF2" w:rsidR="00DA0E9D">
        <w:rPr>
          <w:rFonts w:ascii="Times New Roman" w:hAnsi="Times New Roman"/>
        </w:rPr>
        <w:t xml:space="preserve"> centrálnej banky</w:t>
      </w:r>
      <w:r w:rsidRPr="00FA7FF2">
        <w:rPr>
          <w:rFonts w:ascii="Times New Roman" w:hAnsi="Times New Roman"/>
        </w:rPr>
        <w:t xml:space="preserve"> nebudú schopné alebo ochotné splniť svoje záväzky voči zahraničiu a ostatní dlžníci v príslušnom štáte nebudú schopní splniť svoje záväzky z dôvodu, že sú rezidentmi tohto štátu), riziko koncentrácie, riziko protistrany, či riziko vysporiadania obchodov vyplývajúce z toho, že vysporiadanie finančnej transakcie sa nemusí zrealizovať podľa dohodnutých podmienok.</w:t>
      </w:r>
      <w:r w:rsidRPr="00FA7FF2" w:rsidR="009F4613">
        <w:rPr>
          <w:rFonts w:ascii="Times New Roman" w:hAnsi="Times New Roman"/>
        </w:rPr>
        <w:t xml:space="preserve"> </w:t>
      </w:r>
      <w:r w:rsidRPr="00FA7FF2">
        <w:rPr>
          <w:rFonts w:ascii="Times New Roman" w:hAnsi="Times New Roman"/>
        </w:rPr>
        <w:t xml:space="preserve">Kreditné riziko je riadené prostredníctvom limitov, ktoré predstavujú </w:t>
      </w:r>
      <w:r w:rsidRPr="00FA7FF2" w:rsidR="00623356">
        <w:rPr>
          <w:rFonts w:ascii="Times New Roman" w:hAnsi="Times New Roman"/>
        </w:rPr>
        <w:t>maximálnu</w:t>
      </w:r>
      <w:r w:rsidRPr="00FA7FF2" w:rsidR="009F4613">
        <w:rPr>
          <w:rFonts w:ascii="Times New Roman" w:hAnsi="Times New Roman"/>
        </w:rPr>
        <w:t xml:space="preserve"> </w:t>
      </w:r>
      <w:r w:rsidRPr="00FA7FF2" w:rsidR="00623356">
        <w:rPr>
          <w:rFonts w:ascii="Times New Roman" w:hAnsi="Times New Roman"/>
        </w:rPr>
        <w:t>hodnotu finančných</w:t>
      </w:r>
      <w:r w:rsidRPr="00FA7FF2" w:rsidR="009F4613">
        <w:rPr>
          <w:rFonts w:ascii="Times New Roman" w:hAnsi="Times New Roman"/>
        </w:rPr>
        <w:t xml:space="preserve"> </w:t>
      </w:r>
      <w:r w:rsidRPr="00FA7FF2">
        <w:rPr>
          <w:rFonts w:ascii="Times New Roman" w:hAnsi="Times New Roman"/>
        </w:rPr>
        <w:t xml:space="preserve">prostriedkov v jednom okamihu deponovaných </w:t>
      </w:r>
      <w:r w:rsidRPr="00FA7FF2" w:rsidR="00DA0E9D">
        <w:rPr>
          <w:rFonts w:ascii="Times New Roman" w:hAnsi="Times New Roman"/>
        </w:rPr>
        <w:t xml:space="preserve">(uložených) </w:t>
      </w:r>
      <w:r w:rsidRPr="00FA7FF2">
        <w:rPr>
          <w:rFonts w:ascii="Times New Roman" w:hAnsi="Times New Roman"/>
        </w:rPr>
        <w:t>u konkrétnej obchodnej protistrany, či už štátu, bankovej skupiny alebo konkrétnej banky.</w:t>
      </w:r>
      <w:r w:rsidRPr="00FA7FF2" w:rsidR="009F4613">
        <w:rPr>
          <w:rFonts w:ascii="Times New Roman" w:hAnsi="Times New Roman"/>
        </w:rPr>
        <w:t xml:space="preserve"> </w:t>
      </w:r>
      <w:r w:rsidRPr="00FA7FF2" w:rsidR="00DA0E9D">
        <w:rPr>
          <w:rFonts w:ascii="Times New Roman" w:hAnsi="Times New Roman"/>
        </w:rPr>
        <w:t xml:space="preserve">Stanovenie </w:t>
      </w:r>
      <w:r w:rsidRPr="00FA7FF2" w:rsidR="008A26BE">
        <w:rPr>
          <w:rFonts w:ascii="Times New Roman" w:hAnsi="Times New Roman"/>
        </w:rPr>
        <w:t xml:space="preserve">metodiky a limitov </w:t>
      </w:r>
      <w:r w:rsidRPr="00FA7FF2" w:rsidR="00DA0E9D">
        <w:rPr>
          <w:rFonts w:ascii="Times New Roman" w:hAnsi="Times New Roman"/>
        </w:rPr>
        <w:t>a</w:t>
      </w:r>
      <w:r w:rsidRPr="00FA7FF2" w:rsidR="008A26BE">
        <w:rPr>
          <w:rFonts w:ascii="Times New Roman" w:hAnsi="Times New Roman"/>
        </w:rPr>
        <w:t xml:space="preserve"> spôsobu ich </w:t>
      </w:r>
      <w:r w:rsidRPr="00FA7FF2" w:rsidR="00DA0E9D">
        <w:rPr>
          <w:rFonts w:ascii="Times New Roman" w:hAnsi="Times New Roman"/>
        </w:rPr>
        <w:t>kontrol</w:t>
      </w:r>
      <w:r w:rsidRPr="00FA7FF2" w:rsidR="008A26BE">
        <w:rPr>
          <w:rFonts w:ascii="Times New Roman" w:hAnsi="Times New Roman"/>
        </w:rPr>
        <w:t>y</w:t>
      </w:r>
      <w:r w:rsidRPr="00FA7FF2" w:rsidR="00DA0E9D">
        <w:rPr>
          <w:rFonts w:ascii="Times New Roman" w:hAnsi="Times New Roman"/>
        </w:rPr>
        <w:t xml:space="preserve"> sú </w:t>
      </w:r>
      <w:bookmarkStart w:id="67" w:name="_GoBack"/>
      <w:bookmarkEnd w:id="67"/>
      <w:r w:rsidRPr="00FA7FF2" w:rsidR="008A26BE">
        <w:rPr>
          <w:rFonts w:ascii="Times New Roman" w:hAnsi="Times New Roman"/>
        </w:rPr>
        <w:t xml:space="preserve">schválené vedením </w:t>
      </w:r>
      <w:r w:rsidR="00331CB4">
        <w:rPr>
          <w:rFonts w:ascii="Times New Roman" w:hAnsi="Times New Roman"/>
        </w:rPr>
        <w:t>Ministerstva financií</w:t>
      </w:r>
      <w:r w:rsidRPr="00FA7FF2">
        <w:rPr>
          <w:rFonts w:ascii="Times New Roman" w:hAnsi="Times New Roman"/>
        </w:rPr>
        <w:t> SR</w:t>
      </w:r>
      <w:r w:rsidRPr="00FA7FF2" w:rsidR="008A26BE">
        <w:rPr>
          <w:rFonts w:ascii="Times New Roman" w:hAnsi="Times New Roman"/>
        </w:rPr>
        <w:t xml:space="preserve"> (ŠT)</w:t>
      </w:r>
      <w:r w:rsidRPr="00FA7FF2">
        <w:rPr>
          <w:rFonts w:ascii="Times New Roman" w:hAnsi="Times New Roman"/>
        </w:rPr>
        <w:t>.</w:t>
      </w:r>
    </w:p>
    <w:p w:rsidR="00134359" w:rsidRPr="00FA7FF2" w:rsidP="00FA7FF2">
      <w:pPr>
        <w:bidi w:val="0"/>
        <w:spacing w:before="240"/>
        <w:ind w:firstLine="708"/>
        <w:jc w:val="both"/>
        <w:rPr>
          <w:rFonts w:ascii="Times New Roman" w:hAnsi="Times New Roman"/>
        </w:rPr>
      </w:pPr>
      <w:r w:rsidRPr="00FA7FF2" w:rsidR="00DA0E9D">
        <w:rPr>
          <w:rFonts w:ascii="Times New Roman" w:hAnsi="Times New Roman"/>
        </w:rPr>
        <w:t>Princíp stanovenia a</w:t>
      </w:r>
      <w:r w:rsidRPr="00FA7FF2" w:rsidR="00783F3E">
        <w:rPr>
          <w:rFonts w:ascii="Times New Roman" w:hAnsi="Times New Roman"/>
        </w:rPr>
        <w:t> </w:t>
      </w:r>
      <w:r w:rsidRPr="00FA7FF2" w:rsidR="00DA0E9D">
        <w:rPr>
          <w:rFonts w:ascii="Times New Roman" w:hAnsi="Times New Roman"/>
        </w:rPr>
        <w:t>kontroly</w:t>
      </w:r>
      <w:r w:rsidRPr="00FA7FF2" w:rsidR="00783F3E">
        <w:rPr>
          <w:rFonts w:ascii="Times New Roman" w:hAnsi="Times New Roman"/>
        </w:rPr>
        <w:t xml:space="preserve"> kreditných</w:t>
      </w:r>
      <w:r w:rsidRPr="00FA7FF2" w:rsidR="00DA0E9D">
        <w:rPr>
          <w:rFonts w:ascii="Times New Roman" w:hAnsi="Times New Roman"/>
        </w:rPr>
        <w:t xml:space="preserve"> limitov je založený </w:t>
      </w:r>
      <w:r w:rsidRPr="00FA7FF2" w:rsidR="00241F24">
        <w:rPr>
          <w:rFonts w:ascii="Times New Roman" w:hAnsi="Times New Roman"/>
        </w:rPr>
        <w:t xml:space="preserve">na základe externých ratingov najvýznamnejších nezávislých ratingových agentúr (Moody’s, S&amp;P, Fitch). </w:t>
      </w:r>
      <w:r w:rsidRPr="00FA7FF2" w:rsidR="00DA0E9D">
        <w:rPr>
          <w:rFonts w:ascii="Times New Roman" w:hAnsi="Times New Roman"/>
        </w:rPr>
        <w:t>Pre</w:t>
      </w:r>
      <w:r w:rsidRPr="00FA7FF2" w:rsidR="00241F24">
        <w:rPr>
          <w:rFonts w:ascii="Times New Roman" w:hAnsi="Times New Roman"/>
        </w:rPr>
        <w:t xml:space="preserve">  </w:t>
      </w:r>
      <w:r w:rsidRPr="00FA7FF2" w:rsidR="00DA0E9D">
        <w:rPr>
          <w:rFonts w:ascii="Times New Roman" w:hAnsi="Times New Roman"/>
        </w:rPr>
        <w:t xml:space="preserve">kreditné </w:t>
      </w:r>
      <w:r w:rsidRPr="00FA7FF2" w:rsidR="00241F24">
        <w:rPr>
          <w:rFonts w:ascii="Times New Roman" w:hAnsi="Times New Roman"/>
        </w:rPr>
        <w:t>limit</w:t>
      </w:r>
      <w:r w:rsidRPr="00FA7FF2" w:rsidR="00DA0E9D">
        <w:rPr>
          <w:rFonts w:ascii="Times New Roman" w:hAnsi="Times New Roman"/>
        </w:rPr>
        <w:t>y</w:t>
      </w:r>
      <w:r w:rsidRPr="00FA7FF2" w:rsidR="00241F24">
        <w:rPr>
          <w:rFonts w:ascii="Times New Roman" w:hAnsi="Times New Roman"/>
        </w:rPr>
        <w:t xml:space="preserve"> na jednotlivé protistrany je zavedený systém priebežnej kontroly ich dodržiavania</w:t>
      </w:r>
      <w:r w:rsidRPr="00FA7FF2" w:rsidR="00DA0E9D">
        <w:rPr>
          <w:rFonts w:ascii="Times New Roman" w:hAnsi="Times New Roman"/>
        </w:rPr>
        <w:t>.</w:t>
      </w:r>
      <w:r w:rsidRPr="00FA7FF2" w:rsidR="00241F24">
        <w:rPr>
          <w:rFonts w:ascii="Times New Roman" w:hAnsi="Times New Roman"/>
        </w:rPr>
        <w:t xml:space="preserve"> Napriek viacerým možným výhradám voči spoľahlivosti externých ratingov, predstavuje ich využitie v dnešnom finančnom svete jedinú dostupnú alternatívu získania informácií o finančnom zdraví a kredibilite obchodných protistrán. Vychádzajúc z princípu obozretnosti sa</w:t>
      </w:r>
      <w:r w:rsidRPr="00FA7FF2" w:rsidR="009F4613">
        <w:rPr>
          <w:rFonts w:ascii="Times New Roman" w:hAnsi="Times New Roman"/>
        </w:rPr>
        <w:t xml:space="preserve"> </w:t>
      </w:r>
      <w:r w:rsidRPr="00FA7FF2" w:rsidR="00241F24">
        <w:rPr>
          <w:rFonts w:ascii="Times New Roman" w:hAnsi="Times New Roman"/>
        </w:rPr>
        <w:t>pri kreditnom riziku okrem využitia ratingov kontinuálne monitoruje situáci</w:t>
      </w:r>
      <w:r w:rsidRPr="00FA7FF2" w:rsidR="000F3D4C">
        <w:rPr>
          <w:rFonts w:ascii="Times New Roman" w:hAnsi="Times New Roman"/>
        </w:rPr>
        <w:t>a</w:t>
      </w:r>
      <w:r w:rsidRPr="00FA7FF2" w:rsidR="00241F24">
        <w:rPr>
          <w:rFonts w:ascii="Times New Roman" w:hAnsi="Times New Roman"/>
        </w:rPr>
        <w:t xml:space="preserve"> na </w:t>
      </w:r>
      <w:r w:rsidRPr="00FA7FF2" w:rsidR="000F3D4C">
        <w:rPr>
          <w:rFonts w:ascii="Times New Roman" w:hAnsi="Times New Roman"/>
        </w:rPr>
        <w:t xml:space="preserve">finančných </w:t>
      </w:r>
      <w:r w:rsidRPr="00FA7FF2" w:rsidR="00241F24">
        <w:rPr>
          <w:rFonts w:ascii="Times New Roman" w:hAnsi="Times New Roman"/>
        </w:rPr>
        <w:t xml:space="preserve">trhoch, vyhodnocujú sa všetky dostupné informácie z trhu (napr. credit default </w:t>
      </w:r>
      <w:r w:rsidRPr="00FA7FF2" w:rsidR="00623356">
        <w:rPr>
          <w:rFonts w:ascii="Times New Roman" w:hAnsi="Times New Roman"/>
        </w:rPr>
        <w:t>spreads</w:t>
      </w:r>
      <w:r w:rsidRPr="00FA7FF2" w:rsidR="00241F24">
        <w:rPr>
          <w:rFonts w:ascii="Times New Roman" w:hAnsi="Times New Roman"/>
        </w:rPr>
        <w:t>), prípadne sa využívajú aj vlastné ratingové</w:t>
      </w:r>
      <w:r w:rsidRPr="00FA7FF2" w:rsidR="000F3D4C">
        <w:rPr>
          <w:rFonts w:ascii="Times New Roman" w:hAnsi="Times New Roman"/>
        </w:rPr>
        <w:t xml:space="preserve"> alebo</w:t>
      </w:r>
      <w:r w:rsidRPr="00FA7FF2" w:rsidR="009F4613">
        <w:rPr>
          <w:rFonts w:ascii="Times New Roman" w:hAnsi="Times New Roman"/>
        </w:rPr>
        <w:t xml:space="preserve"> </w:t>
      </w:r>
      <w:r w:rsidRPr="00FA7FF2" w:rsidR="00241F24">
        <w:rPr>
          <w:rFonts w:ascii="Times New Roman" w:hAnsi="Times New Roman"/>
        </w:rPr>
        <w:t>skóringové hodnotenia jednotlivých subjektov.</w:t>
      </w:r>
    </w:p>
    <w:sectPr w:rsidSect="008B09B9">
      <w:footerReference w:type="default" r:id="rId18"/>
      <w:pgSz w:w="11906" w:h="16838"/>
      <w:pgMar w:top="1135" w:right="1417" w:bottom="1134" w:left="1417" w:header="708" w:footer="708" w:gutter="0"/>
      <w:lnNumType w:distance="0"/>
      <w:pgNumType w:start="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ordia New">
    <w:panose1 w:val="020B0304020202020204"/>
    <w:charset w:val="DE"/>
    <w:family w:val="swiss"/>
    <w:pitch w:val="variable"/>
    <w:sig w:usb0="00000000" w:usb1="00000000" w:usb2="00000000" w:usb3="00000000" w:csb0="0001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23" w:rsidP="00A9291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41DF3">
      <w:rPr>
        <w:rFonts w:ascii="Times New Roman" w:hAnsi="Times New Roman"/>
        <w:noProof/>
      </w:rPr>
      <w:t>19</w:t>
    </w:r>
    <w:r>
      <w:rPr>
        <w:rFonts w:ascii="Times New Roman" w:hAnsi="Times New Roman"/>
      </w:rPr>
      <w:fldChar w:fldCharType="end"/>
    </w:r>
  </w:p>
  <w:p w:rsidR="005F312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AB2" w:rsidP="00F449C1">
      <w:pPr>
        <w:bidi w:val="0"/>
        <w:rPr>
          <w:rFonts w:ascii="Times New Roman" w:hAnsi="Times New Roman"/>
        </w:rPr>
      </w:pPr>
      <w:r>
        <w:rPr>
          <w:rFonts w:ascii="Times New Roman" w:hAnsi="Times New Roman"/>
        </w:rPr>
        <w:separator/>
      </w:r>
    </w:p>
  </w:footnote>
  <w:footnote w:type="continuationSeparator" w:id="1">
    <w:p w:rsidR="006D2AB2" w:rsidP="00F449C1">
      <w:pPr>
        <w:bidi w:val="0"/>
        <w:rPr>
          <w:rFonts w:ascii="Times New Roman" w:hAnsi="Times New Roman"/>
        </w:rPr>
      </w:pPr>
      <w:r>
        <w:rPr>
          <w:rFonts w:ascii="Times New Roman" w:hAnsi="Times New Roman"/>
        </w:rPr>
        <w:continuationSeparator/>
      </w:r>
    </w:p>
  </w:footnote>
  <w:footnote w:type="continuationNotice" w:id="2">
    <w:p w:rsidR="006D2AB2">
      <w:pPr>
        <w:bidi w:val="0"/>
        <w:rPr>
          <w:rFonts w:ascii="Times New Roman" w:hAnsi="Times New Roman"/>
        </w:rPr>
      </w:pPr>
    </w:p>
  </w:footnote>
  <w:footnote w:id="3">
    <w:p w:rsidP="00A92914">
      <w:pPr>
        <w:pStyle w:val="FootnoteText"/>
        <w:bidi w:val="0"/>
        <w:jc w:val="both"/>
        <w:rPr>
          <w:rFonts w:ascii="Times New Roman" w:hAnsi="Times New Roman"/>
        </w:rPr>
      </w:pPr>
      <w:r w:rsidRPr="00A92914" w:rsidR="004B7C2E">
        <w:rPr>
          <w:rStyle w:val="FootnoteReference"/>
          <w:rFonts w:ascii="Times New Roman" w:hAnsi="Times New Roman"/>
          <w:sz w:val="18"/>
          <w:szCs w:val="18"/>
        </w:rPr>
        <w:footnoteRef/>
      </w:r>
      <w:r w:rsidRPr="00A92914" w:rsidR="004B7C2E">
        <w:rPr>
          <w:rFonts w:ascii="Times New Roman" w:hAnsi="Times New Roman"/>
          <w:sz w:val="18"/>
          <w:szCs w:val="18"/>
        </w:rPr>
        <w:t xml:space="preserve"> Štátny dlh pre účely Stratégie riadenia štátneho dlhu vychádza iba z emisnej činnosti ARDALu. Neobsahuje údaje o prevzatých záväzkoch nemocníc, imputovanej pohľadávke EOSA a vklady klientov ŠP nepatriacich do VS.</w:t>
      </w:r>
    </w:p>
  </w:footnote>
  <w:footnote w:id="4">
    <w:p w:rsidP="00495003">
      <w:pPr>
        <w:pStyle w:val="FootnoteText"/>
        <w:bidi w:val="0"/>
        <w:ind w:left="142" w:hanging="142"/>
        <w:jc w:val="both"/>
        <w:rPr>
          <w:rFonts w:ascii="Times New Roman" w:hAnsi="Times New Roman"/>
        </w:rPr>
      </w:pPr>
      <w:r w:rsidRPr="00FA7FF2" w:rsidR="00495003">
        <w:rPr>
          <w:rStyle w:val="FootnoteReference"/>
          <w:rFonts w:ascii="Times New Roman" w:hAnsi="Times New Roman"/>
          <w:sz w:val="18"/>
          <w:szCs w:val="18"/>
        </w:rPr>
        <w:footnoteRef/>
      </w:r>
      <w:r w:rsidRPr="00FA7FF2" w:rsidR="00495003">
        <w:rPr>
          <w:rFonts w:ascii="Times New Roman" w:hAnsi="Times New Roman"/>
          <w:sz w:val="18"/>
          <w:szCs w:val="18"/>
        </w:rPr>
        <w:t xml:space="preserve"> Strednodobý rozpočtový cieľ Slovenska je dosiahnutie štrukturálneho deficitu vo výške 0,5 % HDP, pričom podľa Programu stability na roky 2014 – 2017 by mal byť dosiahnutý v roku 2017.</w:t>
      </w:r>
    </w:p>
  </w:footnote>
  <w:footnote w:id="5">
    <w:p w:rsidP="000156DC">
      <w:pPr>
        <w:pStyle w:val="FootnoteText"/>
        <w:bidi w:val="0"/>
        <w:ind w:left="113" w:hanging="113"/>
        <w:jc w:val="both"/>
        <w:rPr>
          <w:rFonts w:ascii="Times New Roman" w:hAnsi="Times New Roman"/>
        </w:rPr>
      </w:pPr>
      <w:r w:rsidRPr="00FA7FF2" w:rsidR="000156DC">
        <w:rPr>
          <w:rStyle w:val="FootnoteReference"/>
          <w:rFonts w:ascii="Times New Roman" w:hAnsi="Times New Roman"/>
          <w:sz w:val="18"/>
          <w:szCs w:val="18"/>
        </w:rPr>
        <w:footnoteRef/>
      </w:r>
      <w:r w:rsidRPr="00FA7FF2" w:rsidR="000156DC">
        <w:rPr>
          <w:rFonts w:ascii="Times New Roman" w:hAnsi="Times New Roman"/>
          <w:sz w:val="18"/>
          <w:szCs w:val="18"/>
        </w:rPr>
        <w:t xml:space="preserve"> Všetky uvádzané hodnoty sú počítané v metodike, ktorá sa používa pri posudzovaní plnenia maastrichtského kritéria pre výšku hrubého dlhu verejnej správy – tzv. maastrichtský hrubý dlh verejnej správy.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386"/>
    <w:multiLevelType w:val="hybridMultilevel"/>
    <w:tmpl w:val="7AD4A914"/>
    <w:lvl w:ilvl="0">
      <w:start w:val="1"/>
      <w:numFmt w:val="decimal"/>
      <w:lvlText w:val="%1."/>
      <w:lvlJc w:val="left"/>
      <w:pPr>
        <w:tabs>
          <w:tab w:val="num" w:pos="510"/>
        </w:tabs>
        <w:ind w:left="510" w:hanging="226"/>
      </w:pPr>
      <w:rPr>
        <w:rFonts w:ascii="Arial Narrow" w:hAnsi="Arial Narrow"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F34DFF"/>
    <w:multiLevelType w:val="hybridMultilevel"/>
    <w:tmpl w:val="DBE8129C"/>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2834C5"/>
    <w:multiLevelType w:val="hybridMultilevel"/>
    <w:tmpl w:val="DC4CF880"/>
    <w:lvl w:ilvl="0">
      <w:start w:val="4"/>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E47DD7"/>
    <w:multiLevelType w:val="hybridMultilevel"/>
    <w:tmpl w:val="1FC63F1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E950170"/>
    <w:multiLevelType w:val="singleLevel"/>
    <w:tmpl w:val="8AD46048"/>
    <w:lvl w:ilvl="0">
      <w:start w:val="1"/>
      <w:numFmt w:val="decimal"/>
      <w:lvlText w:val="(%1)"/>
      <w:lvlJc w:val="left"/>
      <w:pPr>
        <w:tabs>
          <w:tab w:val="num" w:pos="360"/>
        </w:tabs>
        <w:ind w:left="360" w:hanging="360"/>
      </w:pPr>
      <w:rPr>
        <w:rFonts w:cs="Times New Roman" w:hint="default"/>
        <w:rtl w:val="0"/>
        <w:cs w:val="0"/>
      </w:rPr>
    </w:lvl>
  </w:abstractNum>
  <w:abstractNum w:abstractNumId="5">
    <w:nsid w:val="31FF38D0"/>
    <w:multiLevelType w:val="hybridMultilevel"/>
    <w:tmpl w:val="7828291C"/>
    <w:lvl w:ilvl="0">
      <w:start w:val="2"/>
      <w:numFmt w:val="bullet"/>
      <w:lvlText w:val="-"/>
      <w:lvlJc w:val="left"/>
      <w:pPr>
        <w:tabs>
          <w:tab w:val="num" w:pos="1055"/>
        </w:tabs>
        <w:ind w:left="1055" w:hanging="360"/>
      </w:pPr>
      <w:rPr>
        <w:rFonts w:ascii="Arial" w:eastAsia="Cordia New" w:hAnsi="Arial" w:hint="default"/>
      </w:rPr>
    </w:lvl>
    <w:lvl w:ilvl="1">
      <w:start w:val="1"/>
      <w:numFmt w:val="bullet"/>
      <w:lvlText w:val="o"/>
      <w:lvlJc w:val="left"/>
      <w:pPr>
        <w:tabs>
          <w:tab w:val="num" w:pos="1775"/>
        </w:tabs>
        <w:ind w:left="1775" w:hanging="360"/>
      </w:pPr>
      <w:rPr>
        <w:rFonts w:ascii="Courier New" w:hAnsi="Courier New" w:hint="default"/>
      </w:rPr>
    </w:lvl>
    <w:lvl w:ilvl="2">
      <w:start w:val="1"/>
      <w:numFmt w:val="bullet"/>
      <w:lvlText w:val=""/>
      <w:lvlJc w:val="left"/>
      <w:pPr>
        <w:tabs>
          <w:tab w:val="num" w:pos="2495"/>
        </w:tabs>
        <w:ind w:left="2495" w:hanging="360"/>
      </w:pPr>
      <w:rPr>
        <w:rFonts w:ascii="Wingdings" w:hAnsi="Wingdings" w:hint="default"/>
      </w:rPr>
    </w:lvl>
    <w:lvl w:ilvl="3">
      <w:start w:val="1"/>
      <w:numFmt w:val="bullet"/>
      <w:lvlText w:val=""/>
      <w:lvlJc w:val="left"/>
      <w:pPr>
        <w:tabs>
          <w:tab w:val="num" w:pos="3215"/>
        </w:tabs>
        <w:ind w:left="3215" w:hanging="360"/>
      </w:pPr>
      <w:rPr>
        <w:rFonts w:ascii="Symbol" w:hAnsi="Symbol" w:hint="default"/>
      </w:rPr>
    </w:lvl>
    <w:lvl w:ilvl="4">
      <w:start w:val="1"/>
      <w:numFmt w:val="bullet"/>
      <w:lvlText w:val="o"/>
      <w:lvlJc w:val="left"/>
      <w:pPr>
        <w:tabs>
          <w:tab w:val="num" w:pos="3935"/>
        </w:tabs>
        <w:ind w:left="3935" w:hanging="360"/>
      </w:pPr>
      <w:rPr>
        <w:rFonts w:ascii="Courier New" w:hAnsi="Courier New" w:hint="default"/>
      </w:rPr>
    </w:lvl>
    <w:lvl w:ilvl="5">
      <w:start w:val="1"/>
      <w:numFmt w:val="bullet"/>
      <w:lvlText w:val=""/>
      <w:lvlJc w:val="left"/>
      <w:pPr>
        <w:tabs>
          <w:tab w:val="num" w:pos="4655"/>
        </w:tabs>
        <w:ind w:left="4655" w:hanging="360"/>
      </w:pPr>
      <w:rPr>
        <w:rFonts w:ascii="Wingdings" w:hAnsi="Wingdings" w:hint="default"/>
      </w:rPr>
    </w:lvl>
    <w:lvl w:ilvl="6">
      <w:start w:val="1"/>
      <w:numFmt w:val="bullet"/>
      <w:lvlText w:val=""/>
      <w:lvlJc w:val="left"/>
      <w:pPr>
        <w:tabs>
          <w:tab w:val="num" w:pos="5375"/>
        </w:tabs>
        <w:ind w:left="5375" w:hanging="360"/>
      </w:pPr>
      <w:rPr>
        <w:rFonts w:ascii="Symbol" w:hAnsi="Symbol" w:hint="default"/>
      </w:rPr>
    </w:lvl>
    <w:lvl w:ilvl="7">
      <w:start w:val="1"/>
      <w:numFmt w:val="bullet"/>
      <w:lvlText w:val="o"/>
      <w:lvlJc w:val="left"/>
      <w:pPr>
        <w:tabs>
          <w:tab w:val="num" w:pos="6095"/>
        </w:tabs>
        <w:ind w:left="6095" w:hanging="360"/>
      </w:pPr>
      <w:rPr>
        <w:rFonts w:ascii="Courier New" w:hAnsi="Courier New" w:hint="default"/>
      </w:rPr>
    </w:lvl>
    <w:lvl w:ilvl="8">
      <w:start w:val="1"/>
      <w:numFmt w:val="bullet"/>
      <w:lvlText w:val=""/>
      <w:lvlJc w:val="left"/>
      <w:pPr>
        <w:tabs>
          <w:tab w:val="num" w:pos="6815"/>
        </w:tabs>
        <w:ind w:left="6815" w:hanging="360"/>
      </w:pPr>
      <w:rPr>
        <w:rFonts w:ascii="Wingdings" w:hAnsi="Wingdings" w:hint="default"/>
      </w:rPr>
    </w:lvl>
  </w:abstractNum>
  <w:abstractNum w:abstractNumId="6">
    <w:nsid w:val="349A42EA"/>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7">
    <w:nsid w:val="3A4528CA"/>
    <w:multiLevelType w:val="hybridMultilevel"/>
    <w:tmpl w:val="1B2A7A5A"/>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6C73DD"/>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9">
    <w:nsid w:val="3AFD479B"/>
    <w:multiLevelType w:val="hybridMultilevel"/>
    <w:tmpl w:val="A74EF0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BA23E4"/>
    <w:multiLevelType w:val="hybridMultilevel"/>
    <w:tmpl w:val="1AD00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8407EBA"/>
    <w:multiLevelType w:val="hybridMultilevel"/>
    <w:tmpl w:val="1B2A7A5A"/>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B0F4708"/>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13">
    <w:nsid w:val="4CEF3A9E"/>
    <w:multiLevelType w:val="hybridMultilevel"/>
    <w:tmpl w:val="E5D4759A"/>
    <w:lvl w:ilvl="0">
      <w:start w:val="2"/>
      <w:numFmt w:val="bullet"/>
      <w:lvlText w:val="-"/>
      <w:lvlJc w:val="left"/>
      <w:pPr>
        <w:tabs>
          <w:tab w:val="num" w:pos="1055"/>
        </w:tabs>
        <w:ind w:left="1055" w:hanging="360"/>
      </w:pPr>
      <w:rPr>
        <w:rFonts w:ascii="Arial" w:eastAsia="Cordia New" w:hAnsi="Arial" w:hint="default"/>
      </w:rPr>
    </w:lvl>
    <w:lvl w:ilvl="1">
      <w:start w:val="1"/>
      <w:numFmt w:val="bullet"/>
      <w:lvlText w:val="o"/>
      <w:lvlJc w:val="left"/>
      <w:pPr>
        <w:tabs>
          <w:tab w:val="num" w:pos="1775"/>
        </w:tabs>
        <w:ind w:left="1775" w:hanging="360"/>
      </w:pPr>
      <w:rPr>
        <w:rFonts w:ascii="Courier New" w:hAnsi="Courier New" w:hint="default"/>
      </w:rPr>
    </w:lvl>
    <w:lvl w:ilvl="2">
      <w:start w:val="1"/>
      <w:numFmt w:val="bullet"/>
      <w:lvlText w:val=""/>
      <w:lvlJc w:val="left"/>
      <w:pPr>
        <w:tabs>
          <w:tab w:val="num" w:pos="2495"/>
        </w:tabs>
        <w:ind w:left="2495" w:hanging="360"/>
      </w:pPr>
      <w:rPr>
        <w:rFonts w:ascii="Wingdings" w:hAnsi="Wingdings" w:hint="default"/>
      </w:rPr>
    </w:lvl>
    <w:lvl w:ilvl="3">
      <w:start w:val="1"/>
      <w:numFmt w:val="bullet"/>
      <w:lvlText w:val=""/>
      <w:lvlJc w:val="left"/>
      <w:pPr>
        <w:tabs>
          <w:tab w:val="num" w:pos="3215"/>
        </w:tabs>
        <w:ind w:left="3215" w:hanging="360"/>
      </w:pPr>
      <w:rPr>
        <w:rFonts w:ascii="Symbol" w:hAnsi="Symbol" w:hint="default"/>
      </w:rPr>
    </w:lvl>
    <w:lvl w:ilvl="4">
      <w:start w:val="1"/>
      <w:numFmt w:val="bullet"/>
      <w:lvlText w:val="o"/>
      <w:lvlJc w:val="left"/>
      <w:pPr>
        <w:tabs>
          <w:tab w:val="num" w:pos="3935"/>
        </w:tabs>
        <w:ind w:left="3935" w:hanging="360"/>
      </w:pPr>
      <w:rPr>
        <w:rFonts w:ascii="Courier New" w:hAnsi="Courier New" w:hint="default"/>
      </w:rPr>
    </w:lvl>
    <w:lvl w:ilvl="5">
      <w:start w:val="1"/>
      <w:numFmt w:val="bullet"/>
      <w:lvlText w:val=""/>
      <w:lvlJc w:val="left"/>
      <w:pPr>
        <w:tabs>
          <w:tab w:val="num" w:pos="4655"/>
        </w:tabs>
        <w:ind w:left="4655" w:hanging="360"/>
      </w:pPr>
      <w:rPr>
        <w:rFonts w:ascii="Wingdings" w:hAnsi="Wingdings" w:hint="default"/>
      </w:rPr>
    </w:lvl>
    <w:lvl w:ilvl="6">
      <w:start w:val="1"/>
      <w:numFmt w:val="bullet"/>
      <w:lvlText w:val=""/>
      <w:lvlJc w:val="left"/>
      <w:pPr>
        <w:tabs>
          <w:tab w:val="num" w:pos="5375"/>
        </w:tabs>
        <w:ind w:left="5375" w:hanging="360"/>
      </w:pPr>
      <w:rPr>
        <w:rFonts w:ascii="Symbol" w:hAnsi="Symbol" w:hint="default"/>
      </w:rPr>
    </w:lvl>
    <w:lvl w:ilvl="7">
      <w:start w:val="1"/>
      <w:numFmt w:val="bullet"/>
      <w:lvlText w:val="o"/>
      <w:lvlJc w:val="left"/>
      <w:pPr>
        <w:tabs>
          <w:tab w:val="num" w:pos="6095"/>
        </w:tabs>
        <w:ind w:left="6095" w:hanging="360"/>
      </w:pPr>
      <w:rPr>
        <w:rFonts w:ascii="Courier New" w:hAnsi="Courier New" w:hint="default"/>
      </w:rPr>
    </w:lvl>
    <w:lvl w:ilvl="8">
      <w:start w:val="1"/>
      <w:numFmt w:val="bullet"/>
      <w:lvlText w:val=""/>
      <w:lvlJc w:val="left"/>
      <w:pPr>
        <w:tabs>
          <w:tab w:val="num" w:pos="6815"/>
        </w:tabs>
        <w:ind w:left="6815" w:hanging="360"/>
      </w:pPr>
      <w:rPr>
        <w:rFonts w:ascii="Wingdings" w:hAnsi="Wingdings" w:hint="default"/>
      </w:rPr>
    </w:lvl>
  </w:abstractNum>
  <w:abstractNum w:abstractNumId="14">
    <w:nsid w:val="554B5523"/>
    <w:multiLevelType w:val="hybridMultilevel"/>
    <w:tmpl w:val="B878481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5">
    <w:nsid w:val="565E2355"/>
    <w:multiLevelType w:val="hybridMultilevel"/>
    <w:tmpl w:val="3B6E6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ACE6682"/>
    <w:multiLevelType w:val="hybridMultilevel"/>
    <w:tmpl w:val="CFF8D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99843A1"/>
    <w:multiLevelType w:val="hybridMultilevel"/>
    <w:tmpl w:val="A1025D74"/>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9D133A4"/>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19">
    <w:nsid w:val="71E7023A"/>
    <w:multiLevelType w:val="hybridMultilevel"/>
    <w:tmpl w:val="3946ADA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2836A05"/>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21">
    <w:nsid w:val="74763191"/>
    <w:multiLevelType w:val="hybridMultilevel"/>
    <w:tmpl w:val="8E6E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A892E7B"/>
    <w:multiLevelType w:val="hybridMultilevel"/>
    <w:tmpl w:val="7AD4A914"/>
    <w:lvl w:ilvl="0">
      <w:start w:val="1"/>
      <w:numFmt w:val="decimal"/>
      <w:lvlText w:val="%1."/>
      <w:lvlJc w:val="left"/>
      <w:pPr>
        <w:tabs>
          <w:tab w:val="num" w:pos="510"/>
        </w:tabs>
        <w:ind w:left="510" w:hanging="226"/>
      </w:pPr>
      <w:rPr>
        <w:rFonts w:ascii="Arial Narrow" w:hAnsi="Arial Narrow" w:cs="Times New Roman" w:hint="default"/>
        <w:b w:val="0"/>
        <w:i w:val="0"/>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BA11F5C"/>
    <w:multiLevelType w:val="hybridMultilevel"/>
    <w:tmpl w:val="8EA4C60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3"/>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eastAsia="Times New Roman" w:cs="Times New Roman" w:hint="default"/>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F332654"/>
    <w:multiLevelType w:val="hybridMultilevel"/>
    <w:tmpl w:val="8D7EB894"/>
    <w:lvl w:ilvl="0">
      <w:start w:val="4"/>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1"/>
  </w:num>
  <w:num w:numId="4">
    <w:abstractNumId w:val="16"/>
  </w:num>
  <w:num w:numId="5">
    <w:abstractNumId w:val="17"/>
  </w:num>
  <w:num w:numId="6">
    <w:abstractNumId w:val="3"/>
  </w:num>
  <w:num w:numId="7">
    <w:abstractNumId w:val="1"/>
  </w:num>
  <w:num w:numId="8">
    <w:abstractNumId w:val="6"/>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3"/>
  </w:num>
  <w:num w:numId="13">
    <w:abstractNumId w:val="5"/>
  </w:num>
  <w:num w:numId="14">
    <w:abstractNumId w:val="24"/>
  </w:num>
  <w:num w:numId="15">
    <w:abstractNumId w:val="2"/>
  </w:num>
  <w:num w:numId="16">
    <w:abstractNumId w:val="7"/>
  </w:num>
  <w:num w:numId="17">
    <w:abstractNumId w:val="23"/>
  </w:num>
  <w:num w:numId="18">
    <w:abstractNumId w:val="4"/>
  </w:num>
  <w:num w:numId="19">
    <w:abstractNumId w:val="8"/>
  </w:num>
  <w:num w:numId="20">
    <w:abstractNumId w:val="10"/>
  </w:num>
  <w:num w:numId="21">
    <w:abstractNumId w:val="9"/>
  </w:num>
  <w:num w:numId="22">
    <w:abstractNumId w:val="11"/>
  </w:num>
  <w:num w:numId="23">
    <w:abstractNumId w:val="14"/>
  </w:num>
  <w:num w:numId="24">
    <w:abstractNumId w:val="0"/>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drawingGridHorizontalSpacing w:val="120"/>
  <w:displayHorizontalDrawingGridEvery w:val="2"/>
  <w:noPunctuationKerning/>
  <w:characterSpacingControl w:val="doNotCompress"/>
  <w:footnotePr>
    <w:footnote w:id="0"/>
    <w:footnote w:id="1"/>
    <w:footnote w:id="2"/>
  </w:footnotePr>
  <w:compat>
    <w:doNotUseIndentAsNumberingTabStop/>
    <w:allowSpaceOfSameStyleInTable/>
    <w:splitPgBreakAndParaMark/>
    <w:useAnsiKerningPairs/>
  </w:compat>
  <w:rsids>
    <w:rsidRoot w:val="001424FB"/>
    <w:rsid w:val="00003BEC"/>
    <w:rsid w:val="00004044"/>
    <w:rsid w:val="00004E8F"/>
    <w:rsid w:val="00010CB3"/>
    <w:rsid w:val="00013FD3"/>
    <w:rsid w:val="000156DC"/>
    <w:rsid w:val="0001586C"/>
    <w:rsid w:val="00015AB7"/>
    <w:rsid w:val="00017BAF"/>
    <w:rsid w:val="000203BB"/>
    <w:rsid w:val="000234BB"/>
    <w:rsid w:val="0002489C"/>
    <w:rsid w:val="000250D2"/>
    <w:rsid w:val="00025D0A"/>
    <w:rsid w:val="0003036D"/>
    <w:rsid w:val="000314AD"/>
    <w:rsid w:val="00037BB7"/>
    <w:rsid w:val="00040123"/>
    <w:rsid w:val="000407BE"/>
    <w:rsid w:val="000447E5"/>
    <w:rsid w:val="00046952"/>
    <w:rsid w:val="0005083D"/>
    <w:rsid w:val="00052516"/>
    <w:rsid w:val="00056629"/>
    <w:rsid w:val="00057685"/>
    <w:rsid w:val="000636D6"/>
    <w:rsid w:val="00064865"/>
    <w:rsid w:val="000677AA"/>
    <w:rsid w:val="000715F6"/>
    <w:rsid w:val="000740C5"/>
    <w:rsid w:val="00074E46"/>
    <w:rsid w:val="00090D6B"/>
    <w:rsid w:val="00091B1C"/>
    <w:rsid w:val="000926B3"/>
    <w:rsid w:val="000977AB"/>
    <w:rsid w:val="000A075E"/>
    <w:rsid w:val="000A14B4"/>
    <w:rsid w:val="000A3470"/>
    <w:rsid w:val="000A6712"/>
    <w:rsid w:val="000B10C2"/>
    <w:rsid w:val="000B2E79"/>
    <w:rsid w:val="000B38FF"/>
    <w:rsid w:val="000B76CB"/>
    <w:rsid w:val="000C1106"/>
    <w:rsid w:val="000D2080"/>
    <w:rsid w:val="000D2FBF"/>
    <w:rsid w:val="000D4817"/>
    <w:rsid w:val="000E298F"/>
    <w:rsid w:val="000E4601"/>
    <w:rsid w:val="000F0DF2"/>
    <w:rsid w:val="000F2640"/>
    <w:rsid w:val="000F3D4C"/>
    <w:rsid w:val="000F7EDB"/>
    <w:rsid w:val="00100132"/>
    <w:rsid w:val="00101923"/>
    <w:rsid w:val="00102284"/>
    <w:rsid w:val="00104010"/>
    <w:rsid w:val="00104BB4"/>
    <w:rsid w:val="00107DE0"/>
    <w:rsid w:val="00111D43"/>
    <w:rsid w:val="001151D8"/>
    <w:rsid w:val="001163C6"/>
    <w:rsid w:val="0012059C"/>
    <w:rsid w:val="00120FE8"/>
    <w:rsid w:val="001231CC"/>
    <w:rsid w:val="00134359"/>
    <w:rsid w:val="00134B37"/>
    <w:rsid w:val="00142101"/>
    <w:rsid w:val="001424FB"/>
    <w:rsid w:val="00147555"/>
    <w:rsid w:val="00151324"/>
    <w:rsid w:val="00152C82"/>
    <w:rsid w:val="001577BE"/>
    <w:rsid w:val="001600C5"/>
    <w:rsid w:val="00161208"/>
    <w:rsid w:val="00161C30"/>
    <w:rsid w:val="00161C8B"/>
    <w:rsid w:val="0016463B"/>
    <w:rsid w:val="00166708"/>
    <w:rsid w:val="00171FF9"/>
    <w:rsid w:val="00173A98"/>
    <w:rsid w:val="00173E1E"/>
    <w:rsid w:val="00173E55"/>
    <w:rsid w:val="00173F16"/>
    <w:rsid w:val="0017436A"/>
    <w:rsid w:val="00183258"/>
    <w:rsid w:val="00185312"/>
    <w:rsid w:val="001859B0"/>
    <w:rsid w:val="00191252"/>
    <w:rsid w:val="00192994"/>
    <w:rsid w:val="00192C08"/>
    <w:rsid w:val="00196C13"/>
    <w:rsid w:val="001A104F"/>
    <w:rsid w:val="001A3429"/>
    <w:rsid w:val="001A6ECD"/>
    <w:rsid w:val="001B396F"/>
    <w:rsid w:val="001C51A1"/>
    <w:rsid w:val="001C68DA"/>
    <w:rsid w:val="001D51C4"/>
    <w:rsid w:val="001E0865"/>
    <w:rsid w:val="001E2103"/>
    <w:rsid w:val="001E5F16"/>
    <w:rsid w:val="001F369D"/>
    <w:rsid w:val="001F63CA"/>
    <w:rsid w:val="001F6856"/>
    <w:rsid w:val="002048C2"/>
    <w:rsid w:val="0021198D"/>
    <w:rsid w:val="00214174"/>
    <w:rsid w:val="0022033B"/>
    <w:rsid w:val="00226186"/>
    <w:rsid w:val="0022639C"/>
    <w:rsid w:val="00226BC9"/>
    <w:rsid w:val="002275A8"/>
    <w:rsid w:val="0022777B"/>
    <w:rsid w:val="00227F96"/>
    <w:rsid w:val="002338C4"/>
    <w:rsid w:val="00235994"/>
    <w:rsid w:val="002367DB"/>
    <w:rsid w:val="002371A3"/>
    <w:rsid w:val="00241339"/>
    <w:rsid w:val="00241F24"/>
    <w:rsid w:val="0025117F"/>
    <w:rsid w:val="0025222C"/>
    <w:rsid w:val="00252CA4"/>
    <w:rsid w:val="00253303"/>
    <w:rsid w:val="00253B08"/>
    <w:rsid w:val="00256870"/>
    <w:rsid w:val="00261D75"/>
    <w:rsid w:val="002623FB"/>
    <w:rsid w:val="002713D2"/>
    <w:rsid w:val="002731BD"/>
    <w:rsid w:val="002735E5"/>
    <w:rsid w:val="00274D04"/>
    <w:rsid w:val="00277D07"/>
    <w:rsid w:val="00277FDC"/>
    <w:rsid w:val="0028490A"/>
    <w:rsid w:val="002861E5"/>
    <w:rsid w:val="00295E02"/>
    <w:rsid w:val="002965D0"/>
    <w:rsid w:val="002A2650"/>
    <w:rsid w:val="002A3DCE"/>
    <w:rsid w:val="002C4876"/>
    <w:rsid w:val="002C4B7B"/>
    <w:rsid w:val="002C7E83"/>
    <w:rsid w:val="002D0435"/>
    <w:rsid w:val="002D1314"/>
    <w:rsid w:val="002D2D7D"/>
    <w:rsid w:val="002D672C"/>
    <w:rsid w:val="002E05C6"/>
    <w:rsid w:val="002E3A41"/>
    <w:rsid w:val="002E4DE8"/>
    <w:rsid w:val="002F0E84"/>
    <w:rsid w:val="002F0FA1"/>
    <w:rsid w:val="002F489E"/>
    <w:rsid w:val="002F5482"/>
    <w:rsid w:val="002F7929"/>
    <w:rsid w:val="00302E56"/>
    <w:rsid w:val="00313F02"/>
    <w:rsid w:val="003152A7"/>
    <w:rsid w:val="003201D7"/>
    <w:rsid w:val="0032030B"/>
    <w:rsid w:val="00320540"/>
    <w:rsid w:val="003247FC"/>
    <w:rsid w:val="00326CE9"/>
    <w:rsid w:val="00327594"/>
    <w:rsid w:val="003308AA"/>
    <w:rsid w:val="0033123C"/>
    <w:rsid w:val="00331CB4"/>
    <w:rsid w:val="003379EE"/>
    <w:rsid w:val="0034181A"/>
    <w:rsid w:val="00356880"/>
    <w:rsid w:val="00360D23"/>
    <w:rsid w:val="003663CC"/>
    <w:rsid w:val="00370005"/>
    <w:rsid w:val="00371EE7"/>
    <w:rsid w:val="003750C1"/>
    <w:rsid w:val="003754A3"/>
    <w:rsid w:val="00381F14"/>
    <w:rsid w:val="003828AF"/>
    <w:rsid w:val="00385782"/>
    <w:rsid w:val="00385DF8"/>
    <w:rsid w:val="0038634B"/>
    <w:rsid w:val="003876A0"/>
    <w:rsid w:val="00390224"/>
    <w:rsid w:val="00390B35"/>
    <w:rsid w:val="003911A5"/>
    <w:rsid w:val="00392210"/>
    <w:rsid w:val="003957F8"/>
    <w:rsid w:val="00396376"/>
    <w:rsid w:val="003975C4"/>
    <w:rsid w:val="003A122D"/>
    <w:rsid w:val="003A3F36"/>
    <w:rsid w:val="003B1BD1"/>
    <w:rsid w:val="003B235C"/>
    <w:rsid w:val="003B2AEF"/>
    <w:rsid w:val="003B3F5B"/>
    <w:rsid w:val="003B6122"/>
    <w:rsid w:val="003B665C"/>
    <w:rsid w:val="003B75CB"/>
    <w:rsid w:val="003C0D07"/>
    <w:rsid w:val="003C0D35"/>
    <w:rsid w:val="003C2343"/>
    <w:rsid w:val="003C2FAC"/>
    <w:rsid w:val="003C4264"/>
    <w:rsid w:val="003C47B4"/>
    <w:rsid w:val="003C7E26"/>
    <w:rsid w:val="003D1158"/>
    <w:rsid w:val="003D3330"/>
    <w:rsid w:val="003D381F"/>
    <w:rsid w:val="003D6F26"/>
    <w:rsid w:val="003E43C1"/>
    <w:rsid w:val="003E7783"/>
    <w:rsid w:val="003F11F5"/>
    <w:rsid w:val="003F15F4"/>
    <w:rsid w:val="003F1B10"/>
    <w:rsid w:val="003F66D1"/>
    <w:rsid w:val="004012A1"/>
    <w:rsid w:val="004074C5"/>
    <w:rsid w:val="00412C37"/>
    <w:rsid w:val="004134F2"/>
    <w:rsid w:val="00413751"/>
    <w:rsid w:val="00421C02"/>
    <w:rsid w:val="00423744"/>
    <w:rsid w:val="00425A2D"/>
    <w:rsid w:val="0043043B"/>
    <w:rsid w:val="00430E2B"/>
    <w:rsid w:val="00432E65"/>
    <w:rsid w:val="00435D80"/>
    <w:rsid w:val="00441474"/>
    <w:rsid w:val="00441480"/>
    <w:rsid w:val="00442696"/>
    <w:rsid w:val="00443271"/>
    <w:rsid w:val="00443C5A"/>
    <w:rsid w:val="00445E78"/>
    <w:rsid w:val="00447CFF"/>
    <w:rsid w:val="004502A8"/>
    <w:rsid w:val="004507B2"/>
    <w:rsid w:val="004524E4"/>
    <w:rsid w:val="004553A5"/>
    <w:rsid w:val="00461792"/>
    <w:rsid w:val="00462549"/>
    <w:rsid w:val="004635EB"/>
    <w:rsid w:val="00467376"/>
    <w:rsid w:val="0046785F"/>
    <w:rsid w:val="00470977"/>
    <w:rsid w:val="00470DEC"/>
    <w:rsid w:val="00471F55"/>
    <w:rsid w:val="00472106"/>
    <w:rsid w:val="004754C1"/>
    <w:rsid w:val="00476FB9"/>
    <w:rsid w:val="004842AC"/>
    <w:rsid w:val="00486560"/>
    <w:rsid w:val="004869EF"/>
    <w:rsid w:val="004879F6"/>
    <w:rsid w:val="00487AA4"/>
    <w:rsid w:val="00490D95"/>
    <w:rsid w:val="00492550"/>
    <w:rsid w:val="004945FE"/>
    <w:rsid w:val="00495003"/>
    <w:rsid w:val="0049591A"/>
    <w:rsid w:val="004B1892"/>
    <w:rsid w:val="004B1A76"/>
    <w:rsid w:val="004B2CCB"/>
    <w:rsid w:val="004B34EF"/>
    <w:rsid w:val="004B386C"/>
    <w:rsid w:val="004B3C9C"/>
    <w:rsid w:val="004B5122"/>
    <w:rsid w:val="004B5539"/>
    <w:rsid w:val="004B7C2E"/>
    <w:rsid w:val="004C1FAE"/>
    <w:rsid w:val="004C3080"/>
    <w:rsid w:val="004C49A8"/>
    <w:rsid w:val="004C4BD5"/>
    <w:rsid w:val="004C6F7A"/>
    <w:rsid w:val="004C7F7D"/>
    <w:rsid w:val="004D0A16"/>
    <w:rsid w:val="004D7582"/>
    <w:rsid w:val="004D7D11"/>
    <w:rsid w:val="004E7BBE"/>
    <w:rsid w:val="00500CDC"/>
    <w:rsid w:val="00501441"/>
    <w:rsid w:val="0050433C"/>
    <w:rsid w:val="005044F2"/>
    <w:rsid w:val="00504CCB"/>
    <w:rsid w:val="00505EA6"/>
    <w:rsid w:val="005114F0"/>
    <w:rsid w:val="0051390D"/>
    <w:rsid w:val="0051400B"/>
    <w:rsid w:val="00516C28"/>
    <w:rsid w:val="00516ECE"/>
    <w:rsid w:val="00517FDA"/>
    <w:rsid w:val="00521252"/>
    <w:rsid w:val="00524502"/>
    <w:rsid w:val="00525444"/>
    <w:rsid w:val="00526492"/>
    <w:rsid w:val="00527D8A"/>
    <w:rsid w:val="00533A9E"/>
    <w:rsid w:val="005350B3"/>
    <w:rsid w:val="00537A81"/>
    <w:rsid w:val="00537D29"/>
    <w:rsid w:val="00541922"/>
    <w:rsid w:val="00541DF3"/>
    <w:rsid w:val="00544688"/>
    <w:rsid w:val="005468C1"/>
    <w:rsid w:val="005552F1"/>
    <w:rsid w:val="005617D6"/>
    <w:rsid w:val="005655F7"/>
    <w:rsid w:val="005676B0"/>
    <w:rsid w:val="005747A7"/>
    <w:rsid w:val="005751D4"/>
    <w:rsid w:val="00576E26"/>
    <w:rsid w:val="005770C7"/>
    <w:rsid w:val="005840BF"/>
    <w:rsid w:val="005861F2"/>
    <w:rsid w:val="005862B4"/>
    <w:rsid w:val="005902C3"/>
    <w:rsid w:val="00590F08"/>
    <w:rsid w:val="0059282F"/>
    <w:rsid w:val="00592CF1"/>
    <w:rsid w:val="00594AE2"/>
    <w:rsid w:val="005962BE"/>
    <w:rsid w:val="005A005C"/>
    <w:rsid w:val="005A3043"/>
    <w:rsid w:val="005A365E"/>
    <w:rsid w:val="005B1C1A"/>
    <w:rsid w:val="005B505D"/>
    <w:rsid w:val="005C1BFF"/>
    <w:rsid w:val="005C35CE"/>
    <w:rsid w:val="005C626B"/>
    <w:rsid w:val="005C68EA"/>
    <w:rsid w:val="005C6FAE"/>
    <w:rsid w:val="005D5C28"/>
    <w:rsid w:val="005E0651"/>
    <w:rsid w:val="005E5D8E"/>
    <w:rsid w:val="005F3123"/>
    <w:rsid w:val="005F39A7"/>
    <w:rsid w:val="005F583B"/>
    <w:rsid w:val="00603EBB"/>
    <w:rsid w:val="0060496D"/>
    <w:rsid w:val="006059E0"/>
    <w:rsid w:val="0060692E"/>
    <w:rsid w:val="00611FC9"/>
    <w:rsid w:val="0061287C"/>
    <w:rsid w:val="006153FB"/>
    <w:rsid w:val="006228AF"/>
    <w:rsid w:val="006231B4"/>
    <w:rsid w:val="00623356"/>
    <w:rsid w:val="0062430E"/>
    <w:rsid w:val="00626A93"/>
    <w:rsid w:val="00627E81"/>
    <w:rsid w:val="00640099"/>
    <w:rsid w:val="00642D8D"/>
    <w:rsid w:val="00642FED"/>
    <w:rsid w:val="00646CD0"/>
    <w:rsid w:val="00646F39"/>
    <w:rsid w:val="00650E94"/>
    <w:rsid w:val="00653BA7"/>
    <w:rsid w:val="00656F47"/>
    <w:rsid w:val="00657592"/>
    <w:rsid w:val="0066078F"/>
    <w:rsid w:val="0066091E"/>
    <w:rsid w:val="00662A2D"/>
    <w:rsid w:val="00665FE6"/>
    <w:rsid w:val="0066753C"/>
    <w:rsid w:val="00670B04"/>
    <w:rsid w:val="0067664D"/>
    <w:rsid w:val="00676F0C"/>
    <w:rsid w:val="00685E6A"/>
    <w:rsid w:val="00685F75"/>
    <w:rsid w:val="00687575"/>
    <w:rsid w:val="006943BE"/>
    <w:rsid w:val="00695526"/>
    <w:rsid w:val="006A296F"/>
    <w:rsid w:val="006A3D6C"/>
    <w:rsid w:val="006A439A"/>
    <w:rsid w:val="006A5774"/>
    <w:rsid w:val="006A6465"/>
    <w:rsid w:val="006A6BB1"/>
    <w:rsid w:val="006A777D"/>
    <w:rsid w:val="006A7DF8"/>
    <w:rsid w:val="006B0671"/>
    <w:rsid w:val="006B2CEB"/>
    <w:rsid w:val="006B37C6"/>
    <w:rsid w:val="006B47B7"/>
    <w:rsid w:val="006B560C"/>
    <w:rsid w:val="006C1624"/>
    <w:rsid w:val="006C2C9C"/>
    <w:rsid w:val="006C5547"/>
    <w:rsid w:val="006C7754"/>
    <w:rsid w:val="006D014F"/>
    <w:rsid w:val="006D1D70"/>
    <w:rsid w:val="006D2AB2"/>
    <w:rsid w:val="006D2B95"/>
    <w:rsid w:val="006D7382"/>
    <w:rsid w:val="006D7D13"/>
    <w:rsid w:val="006E16E4"/>
    <w:rsid w:val="006E470B"/>
    <w:rsid w:val="006E795D"/>
    <w:rsid w:val="006F4BCD"/>
    <w:rsid w:val="007051B6"/>
    <w:rsid w:val="00705AB3"/>
    <w:rsid w:val="0070601E"/>
    <w:rsid w:val="00706C55"/>
    <w:rsid w:val="007074C1"/>
    <w:rsid w:val="00710178"/>
    <w:rsid w:val="007130BC"/>
    <w:rsid w:val="00717F25"/>
    <w:rsid w:val="00722653"/>
    <w:rsid w:val="007233D0"/>
    <w:rsid w:val="00724CB1"/>
    <w:rsid w:val="00725114"/>
    <w:rsid w:val="007271D5"/>
    <w:rsid w:val="007302C0"/>
    <w:rsid w:val="007379FF"/>
    <w:rsid w:val="00737B78"/>
    <w:rsid w:val="00741FFB"/>
    <w:rsid w:val="00743130"/>
    <w:rsid w:val="0074534D"/>
    <w:rsid w:val="00750B6B"/>
    <w:rsid w:val="0077291C"/>
    <w:rsid w:val="0078254B"/>
    <w:rsid w:val="00783F3E"/>
    <w:rsid w:val="007840DE"/>
    <w:rsid w:val="00785A92"/>
    <w:rsid w:val="00791218"/>
    <w:rsid w:val="00791E3D"/>
    <w:rsid w:val="00794733"/>
    <w:rsid w:val="0079771C"/>
    <w:rsid w:val="007A07F2"/>
    <w:rsid w:val="007A1214"/>
    <w:rsid w:val="007B0FD9"/>
    <w:rsid w:val="007B235A"/>
    <w:rsid w:val="007B349B"/>
    <w:rsid w:val="007B3964"/>
    <w:rsid w:val="007B4120"/>
    <w:rsid w:val="007B48D0"/>
    <w:rsid w:val="007B55B9"/>
    <w:rsid w:val="007B7F27"/>
    <w:rsid w:val="007D016F"/>
    <w:rsid w:val="007D24E7"/>
    <w:rsid w:val="007D398C"/>
    <w:rsid w:val="007D3AC5"/>
    <w:rsid w:val="007D4CB5"/>
    <w:rsid w:val="007E1358"/>
    <w:rsid w:val="007E30CE"/>
    <w:rsid w:val="007E3441"/>
    <w:rsid w:val="007E4D79"/>
    <w:rsid w:val="007E7CDC"/>
    <w:rsid w:val="007F0340"/>
    <w:rsid w:val="007F66B4"/>
    <w:rsid w:val="007F6912"/>
    <w:rsid w:val="007F7AA6"/>
    <w:rsid w:val="00802436"/>
    <w:rsid w:val="00806764"/>
    <w:rsid w:val="00814652"/>
    <w:rsid w:val="008155C6"/>
    <w:rsid w:val="008157F7"/>
    <w:rsid w:val="0082380E"/>
    <w:rsid w:val="008242ED"/>
    <w:rsid w:val="00831E8E"/>
    <w:rsid w:val="00832331"/>
    <w:rsid w:val="00833758"/>
    <w:rsid w:val="00837516"/>
    <w:rsid w:val="00840B99"/>
    <w:rsid w:val="008410EF"/>
    <w:rsid w:val="00847B01"/>
    <w:rsid w:val="00847B04"/>
    <w:rsid w:val="00847C00"/>
    <w:rsid w:val="008504A9"/>
    <w:rsid w:val="00851059"/>
    <w:rsid w:val="00854ADB"/>
    <w:rsid w:val="00854C01"/>
    <w:rsid w:val="008573DC"/>
    <w:rsid w:val="0086267C"/>
    <w:rsid w:val="00865A46"/>
    <w:rsid w:val="0086658B"/>
    <w:rsid w:val="00866703"/>
    <w:rsid w:val="00867BD7"/>
    <w:rsid w:val="00871866"/>
    <w:rsid w:val="00872BDD"/>
    <w:rsid w:val="008743BA"/>
    <w:rsid w:val="008751A0"/>
    <w:rsid w:val="00884EE0"/>
    <w:rsid w:val="00884EF6"/>
    <w:rsid w:val="00885E3D"/>
    <w:rsid w:val="00894D6B"/>
    <w:rsid w:val="008960D3"/>
    <w:rsid w:val="008A26BE"/>
    <w:rsid w:val="008A2AF9"/>
    <w:rsid w:val="008A4341"/>
    <w:rsid w:val="008A4F42"/>
    <w:rsid w:val="008A76B8"/>
    <w:rsid w:val="008B09B9"/>
    <w:rsid w:val="008B3EF4"/>
    <w:rsid w:val="008C0730"/>
    <w:rsid w:val="008C2E90"/>
    <w:rsid w:val="008C37D7"/>
    <w:rsid w:val="008C4240"/>
    <w:rsid w:val="008C4C98"/>
    <w:rsid w:val="008D6A58"/>
    <w:rsid w:val="008D7D33"/>
    <w:rsid w:val="008E0A1A"/>
    <w:rsid w:val="008E13DB"/>
    <w:rsid w:val="008E183B"/>
    <w:rsid w:val="008E4AC2"/>
    <w:rsid w:val="008E6C4A"/>
    <w:rsid w:val="008F48A0"/>
    <w:rsid w:val="009009D1"/>
    <w:rsid w:val="009015A0"/>
    <w:rsid w:val="00901B89"/>
    <w:rsid w:val="00915F64"/>
    <w:rsid w:val="009161E4"/>
    <w:rsid w:val="009235F7"/>
    <w:rsid w:val="00923629"/>
    <w:rsid w:val="009320AA"/>
    <w:rsid w:val="00932622"/>
    <w:rsid w:val="00937746"/>
    <w:rsid w:val="00941270"/>
    <w:rsid w:val="0094224A"/>
    <w:rsid w:val="00943B76"/>
    <w:rsid w:val="009511BF"/>
    <w:rsid w:val="0096347E"/>
    <w:rsid w:val="00966524"/>
    <w:rsid w:val="00967EA9"/>
    <w:rsid w:val="00970DA2"/>
    <w:rsid w:val="009715D4"/>
    <w:rsid w:val="00973965"/>
    <w:rsid w:val="00977A8C"/>
    <w:rsid w:val="00981413"/>
    <w:rsid w:val="00983999"/>
    <w:rsid w:val="00984F29"/>
    <w:rsid w:val="00985A57"/>
    <w:rsid w:val="00990F8A"/>
    <w:rsid w:val="00996668"/>
    <w:rsid w:val="00996E63"/>
    <w:rsid w:val="009A044A"/>
    <w:rsid w:val="009A7029"/>
    <w:rsid w:val="009B4C8C"/>
    <w:rsid w:val="009B6368"/>
    <w:rsid w:val="009B63CD"/>
    <w:rsid w:val="009B7936"/>
    <w:rsid w:val="009C095C"/>
    <w:rsid w:val="009C4AE5"/>
    <w:rsid w:val="009C5415"/>
    <w:rsid w:val="009C6FE4"/>
    <w:rsid w:val="009D063C"/>
    <w:rsid w:val="009E3B80"/>
    <w:rsid w:val="009F2BE5"/>
    <w:rsid w:val="009F3690"/>
    <w:rsid w:val="009F4613"/>
    <w:rsid w:val="009F6ABE"/>
    <w:rsid w:val="00A02971"/>
    <w:rsid w:val="00A06080"/>
    <w:rsid w:val="00A07BC9"/>
    <w:rsid w:val="00A1741B"/>
    <w:rsid w:val="00A216C7"/>
    <w:rsid w:val="00A2277E"/>
    <w:rsid w:val="00A2287C"/>
    <w:rsid w:val="00A26572"/>
    <w:rsid w:val="00A300AF"/>
    <w:rsid w:val="00A316F1"/>
    <w:rsid w:val="00A31FFC"/>
    <w:rsid w:val="00A3219F"/>
    <w:rsid w:val="00A3227C"/>
    <w:rsid w:val="00A351DB"/>
    <w:rsid w:val="00A37439"/>
    <w:rsid w:val="00A37834"/>
    <w:rsid w:val="00A42BD5"/>
    <w:rsid w:val="00A43514"/>
    <w:rsid w:val="00A43919"/>
    <w:rsid w:val="00A46B94"/>
    <w:rsid w:val="00A53C7C"/>
    <w:rsid w:val="00A55994"/>
    <w:rsid w:val="00A572B6"/>
    <w:rsid w:val="00A6029B"/>
    <w:rsid w:val="00A62016"/>
    <w:rsid w:val="00A649B2"/>
    <w:rsid w:val="00A72A0A"/>
    <w:rsid w:val="00A731A9"/>
    <w:rsid w:val="00A74DCA"/>
    <w:rsid w:val="00A76095"/>
    <w:rsid w:val="00A820E9"/>
    <w:rsid w:val="00A8463E"/>
    <w:rsid w:val="00A902D0"/>
    <w:rsid w:val="00A92914"/>
    <w:rsid w:val="00AA09DE"/>
    <w:rsid w:val="00AA572E"/>
    <w:rsid w:val="00AA7596"/>
    <w:rsid w:val="00AB0D36"/>
    <w:rsid w:val="00AB37CC"/>
    <w:rsid w:val="00AB5E07"/>
    <w:rsid w:val="00AB6488"/>
    <w:rsid w:val="00AB7A7D"/>
    <w:rsid w:val="00AB7EF9"/>
    <w:rsid w:val="00AC06A4"/>
    <w:rsid w:val="00AC0B27"/>
    <w:rsid w:val="00AC180C"/>
    <w:rsid w:val="00AC1E28"/>
    <w:rsid w:val="00AC3604"/>
    <w:rsid w:val="00AC3721"/>
    <w:rsid w:val="00AC4ECD"/>
    <w:rsid w:val="00AC6749"/>
    <w:rsid w:val="00AD0131"/>
    <w:rsid w:val="00AD16B9"/>
    <w:rsid w:val="00AD2C94"/>
    <w:rsid w:val="00AE2944"/>
    <w:rsid w:val="00AE2B0D"/>
    <w:rsid w:val="00AE3DE0"/>
    <w:rsid w:val="00AE6862"/>
    <w:rsid w:val="00AE7B32"/>
    <w:rsid w:val="00AF7628"/>
    <w:rsid w:val="00B12A7A"/>
    <w:rsid w:val="00B15E6E"/>
    <w:rsid w:val="00B27BC3"/>
    <w:rsid w:val="00B318E8"/>
    <w:rsid w:val="00B32375"/>
    <w:rsid w:val="00B34D00"/>
    <w:rsid w:val="00B40A33"/>
    <w:rsid w:val="00B41B37"/>
    <w:rsid w:val="00B4387E"/>
    <w:rsid w:val="00B464FE"/>
    <w:rsid w:val="00B47F02"/>
    <w:rsid w:val="00B50219"/>
    <w:rsid w:val="00B51718"/>
    <w:rsid w:val="00B54208"/>
    <w:rsid w:val="00B661B5"/>
    <w:rsid w:val="00B669A9"/>
    <w:rsid w:val="00B70058"/>
    <w:rsid w:val="00B736B1"/>
    <w:rsid w:val="00B76A63"/>
    <w:rsid w:val="00B87E85"/>
    <w:rsid w:val="00B91235"/>
    <w:rsid w:val="00B97060"/>
    <w:rsid w:val="00BA1A02"/>
    <w:rsid w:val="00BA2F20"/>
    <w:rsid w:val="00BA501C"/>
    <w:rsid w:val="00BA548B"/>
    <w:rsid w:val="00BA590C"/>
    <w:rsid w:val="00BA63BB"/>
    <w:rsid w:val="00BB2D16"/>
    <w:rsid w:val="00BB34CA"/>
    <w:rsid w:val="00BB37EA"/>
    <w:rsid w:val="00BB581F"/>
    <w:rsid w:val="00BC0D65"/>
    <w:rsid w:val="00BC7DB3"/>
    <w:rsid w:val="00BD065B"/>
    <w:rsid w:val="00BD15B7"/>
    <w:rsid w:val="00BD2D79"/>
    <w:rsid w:val="00BD3717"/>
    <w:rsid w:val="00BD6A9D"/>
    <w:rsid w:val="00BD73D1"/>
    <w:rsid w:val="00BD79A3"/>
    <w:rsid w:val="00BE0265"/>
    <w:rsid w:val="00BE40FB"/>
    <w:rsid w:val="00BE431A"/>
    <w:rsid w:val="00BE782C"/>
    <w:rsid w:val="00BF2021"/>
    <w:rsid w:val="00BF5A28"/>
    <w:rsid w:val="00BF6B0A"/>
    <w:rsid w:val="00C05376"/>
    <w:rsid w:val="00C07F78"/>
    <w:rsid w:val="00C10EF4"/>
    <w:rsid w:val="00C13994"/>
    <w:rsid w:val="00C14C3D"/>
    <w:rsid w:val="00C16B21"/>
    <w:rsid w:val="00C20B9B"/>
    <w:rsid w:val="00C20C81"/>
    <w:rsid w:val="00C22C7D"/>
    <w:rsid w:val="00C26910"/>
    <w:rsid w:val="00C31584"/>
    <w:rsid w:val="00C31C0B"/>
    <w:rsid w:val="00C3501B"/>
    <w:rsid w:val="00C37DDF"/>
    <w:rsid w:val="00C410C9"/>
    <w:rsid w:val="00C461B6"/>
    <w:rsid w:val="00C50A9B"/>
    <w:rsid w:val="00C52122"/>
    <w:rsid w:val="00C551D8"/>
    <w:rsid w:val="00C5572A"/>
    <w:rsid w:val="00C60EF7"/>
    <w:rsid w:val="00C611FF"/>
    <w:rsid w:val="00C61F91"/>
    <w:rsid w:val="00C64C2F"/>
    <w:rsid w:val="00C6542C"/>
    <w:rsid w:val="00C70D83"/>
    <w:rsid w:val="00C75814"/>
    <w:rsid w:val="00C75E92"/>
    <w:rsid w:val="00C76A7A"/>
    <w:rsid w:val="00C8334B"/>
    <w:rsid w:val="00C90702"/>
    <w:rsid w:val="00C91EBE"/>
    <w:rsid w:val="00C92551"/>
    <w:rsid w:val="00C9331C"/>
    <w:rsid w:val="00C95721"/>
    <w:rsid w:val="00C96337"/>
    <w:rsid w:val="00CA0767"/>
    <w:rsid w:val="00CA2DFE"/>
    <w:rsid w:val="00CB36CF"/>
    <w:rsid w:val="00CB693D"/>
    <w:rsid w:val="00CC0112"/>
    <w:rsid w:val="00CC6D54"/>
    <w:rsid w:val="00CC6D8C"/>
    <w:rsid w:val="00CC7C2E"/>
    <w:rsid w:val="00CD08D8"/>
    <w:rsid w:val="00CD1D1A"/>
    <w:rsid w:val="00CD2526"/>
    <w:rsid w:val="00CD380E"/>
    <w:rsid w:val="00CE03AD"/>
    <w:rsid w:val="00CE3636"/>
    <w:rsid w:val="00CE51C7"/>
    <w:rsid w:val="00CE74E6"/>
    <w:rsid w:val="00CE7AD2"/>
    <w:rsid w:val="00CE7C42"/>
    <w:rsid w:val="00CF020A"/>
    <w:rsid w:val="00CF08F4"/>
    <w:rsid w:val="00CF1566"/>
    <w:rsid w:val="00CF7EA8"/>
    <w:rsid w:val="00D04BFA"/>
    <w:rsid w:val="00D11FAC"/>
    <w:rsid w:val="00D16E8B"/>
    <w:rsid w:val="00D17E02"/>
    <w:rsid w:val="00D23908"/>
    <w:rsid w:val="00D26083"/>
    <w:rsid w:val="00D269B2"/>
    <w:rsid w:val="00D272D5"/>
    <w:rsid w:val="00D27FBD"/>
    <w:rsid w:val="00D3150A"/>
    <w:rsid w:val="00D3568F"/>
    <w:rsid w:val="00D373B6"/>
    <w:rsid w:val="00D43973"/>
    <w:rsid w:val="00D44E88"/>
    <w:rsid w:val="00D46D5F"/>
    <w:rsid w:val="00D47F52"/>
    <w:rsid w:val="00D546A3"/>
    <w:rsid w:val="00D66066"/>
    <w:rsid w:val="00D668B1"/>
    <w:rsid w:val="00D7118C"/>
    <w:rsid w:val="00D73C70"/>
    <w:rsid w:val="00D80DFC"/>
    <w:rsid w:val="00D8156A"/>
    <w:rsid w:val="00D82567"/>
    <w:rsid w:val="00D86341"/>
    <w:rsid w:val="00D900E8"/>
    <w:rsid w:val="00D934BF"/>
    <w:rsid w:val="00D935C0"/>
    <w:rsid w:val="00DA0E9D"/>
    <w:rsid w:val="00DA341F"/>
    <w:rsid w:val="00DA5706"/>
    <w:rsid w:val="00DA6289"/>
    <w:rsid w:val="00DA7872"/>
    <w:rsid w:val="00DA7BD2"/>
    <w:rsid w:val="00DA7D86"/>
    <w:rsid w:val="00DB0691"/>
    <w:rsid w:val="00DB435C"/>
    <w:rsid w:val="00DB781D"/>
    <w:rsid w:val="00DC17E0"/>
    <w:rsid w:val="00DC1AF0"/>
    <w:rsid w:val="00DC1B10"/>
    <w:rsid w:val="00DC2337"/>
    <w:rsid w:val="00DC4212"/>
    <w:rsid w:val="00DC5FA3"/>
    <w:rsid w:val="00DC657E"/>
    <w:rsid w:val="00DC7394"/>
    <w:rsid w:val="00DD350A"/>
    <w:rsid w:val="00DD5946"/>
    <w:rsid w:val="00DD6D7D"/>
    <w:rsid w:val="00DE0C40"/>
    <w:rsid w:val="00DE120A"/>
    <w:rsid w:val="00DE13B8"/>
    <w:rsid w:val="00DE351D"/>
    <w:rsid w:val="00DE3569"/>
    <w:rsid w:val="00DF0A31"/>
    <w:rsid w:val="00DF17C8"/>
    <w:rsid w:val="00DF2694"/>
    <w:rsid w:val="00DF7081"/>
    <w:rsid w:val="00E0037F"/>
    <w:rsid w:val="00E0100A"/>
    <w:rsid w:val="00E02901"/>
    <w:rsid w:val="00E040A5"/>
    <w:rsid w:val="00E04A3A"/>
    <w:rsid w:val="00E05A6C"/>
    <w:rsid w:val="00E1244E"/>
    <w:rsid w:val="00E137C3"/>
    <w:rsid w:val="00E2005D"/>
    <w:rsid w:val="00E216F0"/>
    <w:rsid w:val="00E22789"/>
    <w:rsid w:val="00E236CD"/>
    <w:rsid w:val="00E27FAE"/>
    <w:rsid w:val="00E31135"/>
    <w:rsid w:val="00E317DE"/>
    <w:rsid w:val="00E3692E"/>
    <w:rsid w:val="00E50CD4"/>
    <w:rsid w:val="00E53734"/>
    <w:rsid w:val="00E547D6"/>
    <w:rsid w:val="00E56DBE"/>
    <w:rsid w:val="00E606E3"/>
    <w:rsid w:val="00E62E88"/>
    <w:rsid w:val="00E62F75"/>
    <w:rsid w:val="00E72244"/>
    <w:rsid w:val="00E72EC5"/>
    <w:rsid w:val="00E73D31"/>
    <w:rsid w:val="00E74D01"/>
    <w:rsid w:val="00E8656E"/>
    <w:rsid w:val="00E86CC7"/>
    <w:rsid w:val="00E8725B"/>
    <w:rsid w:val="00E91EAC"/>
    <w:rsid w:val="00E94C0D"/>
    <w:rsid w:val="00E96731"/>
    <w:rsid w:val="00E96A75"/>
    <w:rsid w:val="00E97908"/>
    <w:rsid w:val="00EA2D0A"/>
    <w:rsid w:val="00EA39C8"/>
    <w:rsid w:val="00EA44AC"/>
    <w:rsid w:val="00EA5365"/>
    <w:rsid w:val="00EB0AB7"/>
    <w:rsid w:val="00EB20B8"/>
    <w:rsid w:val="00EB353D"/>
    <w:rsid w:val="00EC01D4"/>
    <w:rsid w:val="00EC3017"/>
    <w:rsid w:val="00EC3BBD"/>
    <w:rsid w:val="00EC77E8"/>
    <w:rsid w:val="00ED139C"/>
    <w:rsid w:val="00ED33DD"/>
    <w:rsid w:val="00ED3452"/>
    <w:rsid w:val="00EE1AEF"/>
    <w:rsid w:val="00EE1DEF"/>
    <w:rsid w:val="00EE226E"/>
    <w:rsid w:val="00EE4DB2"/>
    <w:rsid w:val="00EE4E5D"/>
    <w:rsid w:val="00EE6E34"/>
    <w:rsid w:val="00F04BB9"/>
    <w:rsid w:val="00F04EE6"/>
    <w:rsid w:val="00F06077"/>
    <w:rsid w:val="00F1128F"/>
    <w:rsid w:val="00F125DB"/>
    <w:rsid w:val="00F14895"/>
    <w:rsid w:val="00F1695C"/>
    <w:rsid w:val="00F241AF"/>
    <w:rsid w:val="00F25B67"/>
    <w:rsid w:val="00F26E46"/>
    <w:rsid w:val="00F26F55"/>
    <w:rsid w:val="00F335D0"/>
    <w:rsid w:val="00F33827"/>
    <w:rsid w:val="00F343EB"/>
    <w:rsid w:val="00F36D0C"/>
    <w:rsid w:val="00F37279"/>
    <w:rsid w:val="00F42286"/>
    <w:rsid w:val="00F437F2"/>
    <w:rsid w:val="00F449C1"/>
    <w:rsid w:val="00F45D9B"/>
    <w:rsid w:val="00F50680"/>
    <w:rsid w:val="00F56383"/>
    <w:rsid w:val="00F568C1"/>
    <w:rsid w:val="00F576E9"/>
    <w:rsid w:val="00F60C17"/>
    <w:rsid w:val="00F628D0"/>
    <w:rsid w:val="00F6620C"/>
    <w:rsid w:val="00F66D25"/>
    <w:rsid w:val="00F670D9"/>
    <w:rsid w:val="00F75C8F"/>
    <w:rsid w:val="00F77059"/>
    <w:rsid w:val="00F8011D"/>
    <w:rsid w:val="00F835B5"/>
    <w:rsid w:val="00F8481B"/>
    <w:rsid w:val="00F94AA0"/>
    <w:rsid w:val="00F957D8"/>
    <w:rsid w:val="00FA5977"/>
    <w:rsid w:val="00FA6869"/>
    <w:rsid w:val="00FA7FF2"/>
    <w:rsid w:val="00FB05F1"/>
    <w:rsid w:val="00FB1327"/>
    <w:rsid w:val="00FB477B"/>
    <w:rsid w:val="00FB599D"/>
    <w:rsid w:val="00FC4CF9"/>
    <w:rsid w:val="00FC5E6E"/>
    <w:rsid w:val="00FC67BC"/>
    <w:rsid w:val="00FD2431"/>
    <w:rsid w:val="00FD4704"/>
    <w:rsid w:val="00FD507A"/>
    <w:rsid w:val="00FD71A9"/>
    <w:rsid w:val="00FE4D25"/>
    <w:rsid w:val="00FE4FC7"/>
    <w:rsid w:val="00FE6DC8"/>
    <w:rsid w:val="00FF24A1"/>
    <w:rsid w:val="00FF7BE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0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D934BF"/>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qFormat/>
    <w:rsid w:val="001424FB"/>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rsid w:val="001424F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locked/>
    <w:rsid w:val="00D934BF"/>
    <w:rPr>
      <w:rFonts w:ascii="Arial" w:hAnsi="Arial" w:cs="Arial"/>
      <w:b/>
      <w:kern w:val="32"/>
      <w:sz w:val="32"/>
    </w:rPr>
  </w:style>
  <w:style w:type="character" w:styleId="CommentReference">
    <w:name w:val="annotation reference"/>
    <w:uiPriority w:val="99"/>
    <w:semiHidden/>
    <w:unhideWhenUsed/>
    <w:rsid w:val="00107DE0"/>
    <w:rPr>
      <w:sz w:val="16"/>
    </w:rPr>
  </w:style>
  <w:style w:type="paragraph" w:styleId="CommentText">
    <w:name w:val="annotation text"/>
    <w:basedOn w:val="Normal"/>
    <w:link w:val="CommentTextChar"/>
    <w:uiPriority w:val="99"/>
    <w:semiHidden/>
    <w:unhideWhenUsed/>
    <w:rsid w:val="00107DE0"/>
    <w:pPr>
      <w:jc w:val="left"/>
    </w:pPr>
    <w:rPr>
      <w:sz w:val="20"/>
      <w:szCs w:val="20"/>
    </w:rPr>
  </w:style>
  <w:style w:type="character" w:customStyle="1" w:styleId="CommentTextChar">
    <w:name w:val="Comment Text Char"/>
    <w:link w:val="CommentText"/>
    <w:uiPriority w:val="99"/>
    <w:semiHidden/>
    <w:locked/>
    <w:rsid w:val="00107DE0"/>
    <w:rPr>
      <w:lang w:val="sk-SK" w:eastAsia="sk-SK"/>
    </w:rPr>
  </w:style>
  <w:style w:type="paragraph" w:styleId="CommentSubject">
    <w:name w:val="annotation subject"/>
    <w:basedOn w:val="CommentText"/>
    <w:next w:val="CommentText"/>
    <w:link w:val="CommentSubjectChar"/>
    <w:uiPriority w:val="99"/>
    <w:semiHidden/>
    <w:unhideWhenUsed/>
    <w:rsid w:val="00107DE0"/>
    <w:pPr>
      <w:jc w:val="left"/>
    </w:pPr>
    <w:rPr>
      <w:b/>
      <w:bCs/>
    </w:rPr>
  </w:style>
  <w:style w:type="character" w:customStyle="1" w:styleId="CommentSubjectChar">
    <w:name w:val="Comment Subject Char"/>
    <w:link w:val="CommentSubject"/>
    <w:uiPriority w:val="99"/>
    <w:semiHidden/>
    <w:locked/>
    <w:rsid w:val="00107DE0"/>
    <w:rPr>
      <w:b/>
      <w:lang w:val="sk-SK" w:eastAsia="sk-SK"/>
    </w:rPr>
  </w:style>
  <w:style w:type="paragraph" w:styleId="BalloonText">
    <w:name w:val="Balloon Text"/>
    <w:basedOn w:val="Normal"/>
    <w:link w:val="BalloonTextChar"/>
    <w:uiPriority w:val="99"/>
    <w:semiHidden/>
    <w:unhideWhenUsed/>
    <w:rsid w:val="00107DE0"/>
    <w:pPr>
      <w:jc w:val="left"/>
    </w:pPr>
    <w:rPr>
      <w:rFonts w:ascii="Tahoma" w:hAnsi="Tahoma" w:cs="Tahoma"/>
      <w:sz w:val="16"/>
      <w:szCs w:val="16"/>
    </w:rPr>
  </w:style>
  <w:style w:type="character" w:customStyle="1" w:styleId="BalloonTextChar">
    <w:name w:val="Balloon Text Char"/>
    <w:link w:val="BalloonText"/>
    <w:uiPriority w:val="99"/>
    <w:semiHidden/>
    <w:locked/>
    <w:rsid w:val="00107DE0"/>
    <w:rPr>
      <w:rFonts w:ascii="Tahoma" w:hAnsi="Tahoma" w:cs="Tahoma"/>
      <w:sz w:val="16"/>
      <w:lang w:val="sk-SK" w:eastAsia="sk-SK"/>
    </w:rPr>
  </w:style>
  <w:style w:type="paragraph" w:styleId="Header">
    <w:name w:val="header"/>
    <w:basedOn w:val="Normal"/>
    <w:link w:val="HeaderChar"/>
    <w:uiPriority w:val="99"/>
    <w:rsid w:val="00BD065B"/>
    <w:pPr>
      <w:tabs>
        <w:tab w:val="center" w:pos="4536"/>
        <w:tab w:val="right" w:pos="9072"/>
      </w:tabs>
      <w:spacing w:after="240"/>
      <w:ind w:firstLine="284"/>
      <w:jc w:val="both"/>
    </w:pPr>
    <w:rPr>
      <w:rFonts w:ascii="Arial Narrow" w:hAnsi="Arial Narrow" w:cs="Arial Narrow"/>
      <w:sz w:val="22"/>
      <w:szCs w:val="22"/>
    </w:rPr>
  </w:style>
  <w:style w:type="character" w:customStyle="1" w:styleId="HeaderChar">
    <w:name w:val="Header Char"/>
    <w:link w:val="Header"/>
    <w:uiPriority w:val="99"/>
    <w:locked/>
    <w:rsid w:val="00BD065B"/>
    <w:rPr>
      <w:rFonts w:ascii="Arial Narrow" w:hAnsi="Arial Narrow" w:cs="Arial Narrow"/>
      <w:sz w:val="22"/>
    </w:rPr>
  </w:style>
  <w:style w:type="paragraph" w:customStyle="1" w:styleId="CharCharChar2CharCharCharCharCharCharCharCharCharCharCharCharCharCharCharCharCharCharCharCharCharCharCharCharCharCharCharCharCharCharCharCharCharCharCharChar1CharCharCharChar">
    <w:name w:val="Char Char Char2 Char Char Char Char Char Char Char Char Char Char Char Char Char Char Char Char Char Char Char Char Char Char Char Char Char Char Char Char Char Char Char Char Char Char Char Char1 Char Char Char Char"/>
    <w:basedOn w:val="Normal"/>
    <w:uiPriority w:val="99"/>
    <w:rsid w:val="00BD065B"/>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1859B0"/>
    <w:pPr>
      <w:ind w:left="708"/>
      <w:jc w:val="left"/>
    </w:pPr>
  </w:style>
  <w:style w:type="paragraph" w:styleId="TOC2">
    <w:name w:val="toc 2"/>
    <w:basedOn w:val="Normal"/>
    <w:next w:val="Normal"/>
    <w:autoRedefine/>
    <w:uiPriority w:val="39"/>
    <w:unhideWhenUsed/>
    <w:rsid w:val="004869EF"/>
    <w:pPr>
      <w:tabs>
        <w:tab w:val="right" w:leader="dot" w:pos="9062"/>
      </w:tabs>
      <w:jc w:val="left"/>
    </w:pPr>
  </w:style>
  <w:style w:type="paragraph" w:styleId="TOC3">
    <w:name w:val="toc 3"/>
    <w:basedOn w:val="Normal"/>
    <w:next w:val="Normal"/>
    <w:autoRedefine/>
    <w:uiPriority w:val="39"/>
    <w:unhideWhenUsed/>
    <w:rsid w:val="001163C6"/>
    <w:pPr>
      <w:ind w:left="480"/>
      <w:jc w:val="left"/>
    </w:pPr>
  </w:style>
  <w:style w:type="paragraph" w:styleId="TOC1">
    <w:name w:val="toc 1"/>
    <w:basedOn w:val="Normal"/>
    <w:next w:val="Normal"/>
    <w:autoRedefine/>
    <w:uiPriority w:val="39"/>
    <w:unhideWhenUsed/>
    <w:rsid w:val="005350B3"/>
    <w:pPr>
      <w:tabs>
        <w:tab w:val="left" w:pos="660"/>
        <w:tab w:val="right" w:leader="dot" w:pos="9062"/>
      </w:tabs>
      <w:spacing w:before="120" w:after="120"/>
      <w:jc w:val="left"/>
    </w:pPr>
  </w:style>
  <w:style w:type="character" w:styleId="Hyperlink">
    <w:name w:val="Hyperlink"/>
    <w:uiPriority w:val="99"/>
    <w:unhideWhenUsed/>
    <w:rsid w:val="001163C6"/>
    <w:rPr>
      <w:color w:val="0000FF"/>
      <w:u w:val="single"/>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unhideWhenUsed/>
    <w:rsid w:val="00F449C1"/>
    <w:pPr>
      <w:jc w:val="left"/>
    </w:pPr>
    <w:rPr>
      <w:sz w:val="20"/>
      <w:szCs w:val="20"/>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basedOn w:val="DefaultParagraphFont"/>
    <w:link w:val="FootnoteText"/>
    <w:uiPriority w:val="99"/>
    <w:semiHidden/>
    <w:locked/>
    <w:rsid w:val="00F449C1"/>
    <w:rPr>
      <w:rFonts w:cs="Times New Roman"/>
      <w:rtl w:val="0"/>
      <w:cs w:val="0"/>
    </w:rPr>
  </w:style>
  <w:style w:type="character" w:styleId="FootnoteReference">
    <w:name w:val="footnote reference"/>
    <w:uiPriority w:val="99"/>
    <w:semiHidden/>
    <w:unhideWhenUsed/>
    <w:rsid w:val="00F449C1"/>
    <w:rPr>
      <w:vertAlign w:val="superscript"/>
    </w:rPr>
  </w:style>
  <w:style w:type="character" w:customStyle="1" w:styleId="Heading3Char">
    <w:name w:val="Heading 3 Char"/>
    <w:link w:val="Heading3"/>
    <w:locked/>
    <w:rsid w:val="009E3B80"/>
    <w:rPr>
      <w:rFonts w:ascii="Arial" w:hAnsi="Arial" w:cs="Arial"/>
      <w:b/>
      <w:sz w:val="26"/>
    </w:rPr>
  </w:style>
  <w:style w:type="paragraph" w:customStyle="1" w:styleId="Char">
    <w:name w:val="Char"/>
    <w:basedOn w:val="Normal"/>
    <w:uiPriority w:val="99"/>
    <w:rsid w:val="00BB581F"/>
    <w:pPr>
      <w:spacing w:after="160" w:line="240" w:lineRule="exact"/>
      <w:jc w:val="left"/>
    </w:pPr>
    <w:rPr>
      <w:rFonts w:ascii="Tahoma" w:hAnsi="Tahoma" w:cs="Tahoma"/>
      <w:sz w:val="20"/>
      <w:szCs w:val="20"/>
      <w:lang w:val="en-US" w:eastAsia="en-US"/>
    </w:rPr>
  </w:style>
  <w:style w:type="paragraph" w:styleId="Footer">
    <w:name w:val="footer"/>
    <w:basedOn w:val="Normal"/>
    <w:link w:val="FooterChar"/>
    <w:unhideWhenUsed/>
    <w:rsid w:val="006F4BCD"/>
    <w:pPr>
      <w:tabs>
        <w:tab w:val="center" w:pos="4536"/>
        <w:tab w:val="right" w:pos="9072"/>
      </w:tabs>
      <w:jc w:val="left"/>
    </w:pPr>
  </w:style>
  <w:style w:type="character" w:customStyle="1" w:styleId="FooterChar">
    <w:name w:val="Footer Char"/>
    <w:link w:val="Footer"/>
    <w:uiPriority w:val="99"/>
    <w:locked/>
    <w:rsid w:val="006F4BCD"/>
    <w:rPr>
      <w:sz w:val="24"/>
    </w:rPr>
  </w:style>
  <w:style w:type="paragraph" w:styleId="Revision">
    <w:name w:val="Revision"/>
    <w:hidden/>
    <w:uiPriority w:val="99"/>
    <w:semiHidden/>
    <w:rsid w:val="00C64C2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Heading2Char">
    <w:name w:val="Heading 2 Char"/>
    <w:link w:val="Heading2"/>
    <w:locked/>
    <w:rsid w:val="003E43C1"/>
    <w:rPr>
      <w:rFonts w:ascii="Arial" w:hAnsi="Arial" w:cs="Arial"/>
      <w:b/>
      <w:i/>
      <w:sz w:val="28"/>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image" Target="cid:image001.png@01CFE160.26EF9820" TargetMode="External"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jpeg" /><Relationship Id="rId17" Type="http://schemas.openxmlformats.org/officeDocument/2006/relationships/image" Target="media/image11.jpeg"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A1BDA4D-72AD-4006-851B-FBA695D7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6762</Words>
  <Characters>38546</Characters>
  <Application>Microsoft Office Word</Application>
  <DocSecurity>0</DocSecurity>
  <Lines>0</Lines>
  <Paragraphs>0</Paragraphs>
  <ScaleCrop>false</ScaleCrop>
  <Company>MFSR</Company>
  <LinksUpToDate>false</LinksUpToDate>
  <CharactersWithSpaces>45218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Komentovaný návrh obsahu Aktualizácie stratégie riadenia štátneho dlhu</dc:title>
  <dc:creator>ARDAL</dc:creator>
  <cp:lastModifiedBy>Gašparíková, Jarmila</cp:lastModifiedBy>
  <cp:revision>2</cp:revision>
  <cp:lastPrinted>2014-10-10T10:40:00Z</cp:lastPrinted>
  <dcterms:created xsi:type="dcterms:W3CDTF">2014-10-15T16:29:00Z</dcterms:created>
  <dcterms:modified xsi:type="dcterms:W3CDTF">2014-10-15T16:29:00Z</dcterms:modified>
</cp:coreProperties>
</file>