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1700F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1700F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Príloha č. 5</w:t>
      </w:r>
    </w:p>
    <w:p w:rsidR="00C3001A" w:rsidP="00C3001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C3001A" w:rsidP="00C3001A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Implicitné záväzky</w:t>
      </w: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C3001A" w:rsidP="00C3001A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A8025E" w:rsidRPr="00C33068" w:rsidP="00627A2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068" w:rsidR="00627A2A">
        <w:rPr>
          <w:rFonts w:ascii="Times New Roman" w:hAnsi="Times New Roman" w:hint="default"/>
          <w:b/>
          <w:sz w:val="24"/>
          <w:szCs w:val="24"/>
        </w:rPr>
        <w:t>Implicitné</w:t>
      </w:r>
      <w:r w:rsidRPr="00C33068" w:rsidR="00627A2A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C33068" w:rsidR="00627A2A">
        <w:rPr>
          <w:rFonts w:ascii="Times New Roman" w:hAnsi="Times New Roman" w:hint="default"/>
          <w:b/>
          <w:sz w:val="24"/>
          <w:szCs w:val="24"/>
        </w:rPr>
        <w:t>vä</w:t>
      </w:r>
      <w:r w:rsidRPr="00C33068" w:rsidR="00627A2A">
        <w:rPr>
          <w:rFonts w:ascii="Times New Roman" w:hAnsi="Times New Roman" w:hint="default"/>
          <w:b/>
          <w:sz w:val="24"/>
          <w:szCs w:val="24"/>
        </w:rPr>
        <w:t>zky</w:t>
      </w:r>
    </w:p>
    <w:p w:rsidR="00627A2A" w:rsidRPr="00C33068" w:rsidP="00627A2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E0E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 w:hint="default"/>
          <w:sz w:val="24"/>
          <w:szCs w:val="24"/>
        </w:rPr>
        <w:t>Implicitné</w:t>
      </w:r>
      <w:r w:rsidRPr="00C33068">
        <w:rPr>
          <w:rFonts w:ascii="Times New Roman" w:hAnsi="Times New Roman" w:hint="default"/>
          <w:sz w:val="24"/>
          <w:szCs w:val="24"/>
        </w:rPr>
        <w:t xml:space="preserve"> zá</w:t>
      </w:r>
      <w:r w:rsidRPr="00C33068">
        <w:rPr>
          <w:rFonts w:ascii="Times New Roman" w:hAnsi="Times New Roman" w:hint="default"/>
          <w:sz w:val="24"/>
          <w:szCs w:val="24"/>
        </w:rPr>
        <w:t>vä</w:t>
      </w:r>
      <w:r w:rsidRPr="00C33068">
        <w:rPr>
          <w:rFonts w:ascii="Times New Roman" w:hAnsi="Times New Roman" w:hint="default"/>
          <w:sz w:val="24"/>
          <w:szCs w:val="24"/>
        </w:rPr>
        <w:t>zky sú</w:t>
      </w:r>
      <w:r w:rsidRPr="00C33068">
        <w:rPr>
          <w:rFonts w:ascii="Times New Roman" w:hAnsi="Times New Roman" w:hint="default"/>
          <w:sz w:val="24"/>
          <w:szCs w:val="24"/>
        </w:rPr>
        <w:t xml:space="preserve"> podľ</w:t>
      </w:r>
      <w:r w:rsidRPr="00C33068">
        <w:rPr>
          <w:rFonts w:ascii="Times New Roman" w:hAnsi="Times New Roman" w:hint="default"/>
          <w:sz w:val="24"/>
          <w:szCs w:val="24"/>
        </w:rPr>
        <w:t>a ú</w:t>
      </w:r>
      <w:r w:rsidRPr="00C33068">
        <w:rPr>
          <w:rFonts w:ascii="Times New Roman" w:hAnsi="Times New Roman" w:hint="default"/>
          <w:sz w:val="24"/>
          <w:szCs w:val="24"/>
        </w:rPr>
        <w:t>stavné</w:t>
      </w:r>
      <w:r w:rsidRPr="00C33068">
        <w:rPr>
          <w:rFonts w:ascii="Times New Roman" w:hAnsi="Times New Roman" w:hint="default"/>
          <w:sz w:val="24"/>
          <w:szCs w:val="24"/>
        </w:rPr>
        <w:t>ho zá</w:t>
      </w:r>
      <w:r w:rsidRPr="00C33068">
        <w:rPr>
          <w:rFonts w:ascii="Times New Roman" w:hAnsi="Times New Roman" w:hint="default"/>
          <w:sz w:val="24"/>
          <w:szCs w:val="24"/>
        </w:rPr>
        <w:t>kona č</w:t>
      </w:r>
      <w:r w:rsidRPr="00C33068">
        <w:rPr>
          <w:rFonts w:ascii="Times New Roman" w:hAnsi="Times New Roman" w:hint="default"/>
          <w:sz w:val="24"/>
          <w:szCs w:val="24"/>
        </w:rPr>
        <w:t>. 493/2011 Z.</w:t>
      </w:r>
      <w:r w:rsidR="001F141E">
        <w:rPr>
          <w:rFonts w:ascii="Times New Roman" w:hAnsi="Times New Roman"/>
          <w:sz w:val="24"/>
          <w:szCs w:val="24"/>
        </w:rPr>
        <w:t xml:space="preserve"> </w:t>
      </w:r>
      <w:r w:rsidRPr="00C33068">
        <w:rPr>
          <w:rFonts w:ascii="Times New Roman" w:hAnsi="Times New Roman" w:hint="default"/>
          <w:sz w:val="24"/>
          <w:szCs w:val="24"/>
        </w:rPr>
        <w:t>z. o rozpoč</w:t>
      </w:r>
      <w:r w:rsidRPr="00C33068">
        <w:rPr>
          <w:rFonts w:ascii="Times New Roman" w:hAnsi="Times New Roman" w:hint="default"/>
          <w:sz w:val="24"/>
          <w:szCs w:val="24"/>
        </w:rPr>
        <w:t>tovej zodpovednosti definované</w:t>
      </w:r>
      <w:r w:rsidRPr="00C33068">
        <w:rPr>
          <w:rFonts w:ascii="Times New Roman" w:hAnsi="Times New Roman" w:hint="default"/>
          <w:sz w:val="24"/>
          <w:szCs w:val="24"/>
        </w:rPr>
        <w:t xml:space="preserve"> ako „</w:t>
      </w:r>
      <w:r w:rsidRPr="00C33068">
        <w:rPr>
          <w:rFonts w:ascii="Times New Roman" w:hAnsi="Times New Roman" w:hint="default"/>
          <w:sz w:val="24"/>
          <w:szCs w:val="24"/>
        </w:rPr>
        <w:t>rozdiel medzi oč</w:t>
      </w:r>
      <w:r w:rsidRPr="00C33068">
        <w:rPr>
          <w:rFonts w:ascii="Times New Roman" w:hAnsi="Times New Roman" w:hint="default"/>
          <w:sz w:val="24"/>
          <w:szCs w:val="24"/>
        </w:rPr>
        <w:t>aká</w:t>
      </w:r>
      <w:r w:rsidRPr="00C33068">
        <w:rPr>
          <w:rFonts w:ascii="Times New Roman" w:hAnsi="Times New Roman" w:hint="default"/>
          <w:sz w:val="24"/>
          <w:szCs w:val="24"/>
        </w:rPr>
        <w:t>vaný</w:t>
      </w:r>
      <w:r w:rsidRPr="00C33068">
        <w:rPr>
          <w:rFonts w:ascii="Times New Roman" w:hAnsi="Times New Roman" w:hint="default"/>
          <w:sz w:val="24"/>
          <w:szCs w:val="24"/>
        </w:rPr>
        <w:t>mi budú</w:t>
      </w:r>
      <w:r w:rsidRPr="00C33068">
        <w:rPr>
          <w:rFonts w:ascii="Times New Roman" w:hAnsi="Times New Roman" w:hint="default"/>
          <w:sz w:val="24"/>
          <w:szCs w:val="24"/>
        </w:rPr>
        <w:t>cimi vý</w:t>
      </w:r>
      <w:r w:rsidRPr="00C33068">
        <w:rPr>
          <w:rFonts w:ascii="Times New Roman" w:hAnsi="Times New Roman" w:hint="default"/>
          <w:sz w:val="24"/>
          <w:szCs w:val="24"/>
        </w:rPr>
        <w:t>davkami subjek</w:t>
      </w:r>
      <w:r w:rsidRPr="00C33068">
        <w:rPr>
          <w:rFonts w:ascii="Times New Roman" w:hAnsi="Times New Roman" w:hint="default"/>
          <w:sz w:val="24"/>
          <w:szCs w:val="24"/>
        </w:rPr>
        <w:t>tov verejnej sprá</w:t>
      </w:r>
      <w:r w:rsidRPr="00C33068">
        <w:rPr>
          <w:rFonts w:ascii="Times New Roman" w:hAnsi="Times New Roman" w:hint="default"/>
          <w:sz w:val="24"/>
          <w:szCs w:val="24"/>
        </w:rPr>
        <w:t>vy a oč</w:t>
      </w:r>
      <w:r w:rsidRPr="00C33068">
        <w:rPr>
          <w:rFonts w:ascii="Times New Roman" w:hAnsi="Times New Roman" w:hint="default"/>
          <w:sz w:val="24"/>
          <w:szCs w:val="24"/>
        </w:rPr>
        <w:t>aká</w:t>
      </w:r>
      <w:r w:rsidRPr="00C33068">
        <w:rPr>
          <w:rFonts w:ascii="Times New Roman" w:hAnsi="Times New Roman" w:hint="default"/>
          <w:sz w:val="24"/>
          <w:szCs w:val="24"/>
        </w:rPr>
        <w:t>vaný</w:t>
      </w:r>
      <w:r w:rsidRPr="00C33068">
        <w:rPr>
          <w:rFonts w:ascii="Times New Roman" w:hAnsi="Times New Roman" w:hint="default"/>
          <w:sz w:val="24"/>
          <w:szCs w:val="24"/>
        </w:rPr>
        <w:t>mi budú</w:t>
      </w:r>
      <w:r w:rsidRPr="00C33068">
        <w:rPr>
          <w:rFonts w:ascii="Times New Roman" w:hAnsi="Times New Roman" w:hint="default"/>
          <w:sz w:val="24"/>
          <w:szCs w:val="24"/>
        </w:rPr>
        <w:t>cimi prí</w:t>
      </w:r>
      <w:r w:rsidRPr="00C33068">
        <w:rPr>
          <w:rFonts w:ascii="Times New Roman" w:hAnsi="Times New Roman" w:hint="default"/>
          <w:sz w:val="24"/>
          <w:szCs w:val="24"/>
        </w:rPr>
        <w:t>jmami subjektov verejnej sprá</w:t>
      </w:r>
      <w:r w:rsidRPr="00C33068">
        <w:rPr>
          <w:rFonts w:ascii="Times New Roman" w:hAnsi="Times New Roman" w:hint="default"/>
          <w:sz w:val="24"/>
          <w:szCs w:val="24"/>
        </w:rPr>
        <w:t>vy, ktoré</w:t>
      </w:r>
      <w:r w:rsidRPr="00C33068">
        <w:rPr>
          <w:rFonts w:ascii="Times New Roman" w:hAnsi="Times New Roman" w:hint="default"/>
          <w:sz w:val="24"/>
          <w:szCs w:val="24"/>
        </w:rPr>
        <w:t xml:space="preserve"> vyplý</w:t>
      </w:r>
      <w:r w:rsidRPr="00C33068">
        <w:rPr>
          <w:rFonts w:ascii="Times New Roman" w:hAnsi="Times New Roman" w:hint="default"/>
          <w:sz w:val="24"/>
          <w:szCs w:val="24"/>
        </w:rPr>
        <w:t>vajú</w:t>
      </w:r>
      <w:r w:rsidRPr="00C33068">
        <w:rPr>
          <w:rFonts w:ascii="Times New Roman" w:hAnsi="Times New Roman" w:hint="default"/>
          <w:sz w:val="24"/>
          <w:szCs w:val="24"/>
        </w:rPr>
        <w:t xml:space="preserve"> z finanč</w:t>
      </w:r>
      <w:r w:rsidRPr="00C33068">
        <w:rPr>
          <w:rFonts w:ascii="Times New Roman" w:hAnsi="Times New Roman" w:hint="default"/>
          <w:sz w:val="24"/>
          <w:szCs w:val="24"/>
        </w:rPr>
        <w:t>ný</w:t>
      </w:r>
      <w:r w:rsidRPr="00C33068">
        <w:rPr>
          <w:rFonts w:ascii="Times New Roman" w:hAnsi="Times New Roman" w:hint="default"/>
          <w:sz w:val="24"/>
          <w:szCs w:val="24"/>
        </w:rPr>
        <w:t>ch dô</w:t>
      </w:r>
      <w:r w:rsidRPr="00C33068">
        <w:rPr>
          <w:rFonts w:ascii="Times New Roman" w:hAnsi="Times New Roman" w:hint="default"/>
          <w:sz w:val="24"/>
          <w:szCs w:val="24"/>
        </w:rPr>
        <w:t>sledkov spô</w:t>
      </w:r>
      <w:r w:rsidRPr="00C33068">
        <w:rPr>
          <w:rFonts w:ascii="Times New Roman" w:hAnsi="Times New Roman" w:hint="default"/>
          <w:sz w:val="24"/>
          <w:szCs w:val="24"/>
        </w:rPr>
        <w:t>sobený</w:t>
      </w:r>
      <w:r w:rsidRPr="00C33068">
        <w:rPr>
          <w:rFonts w:ascii="Times New Roman" w:hAnsi="Times New Roman" w:hint="default"/>
          <w:sz w:val="24"/>
          <w:szCs w:val="24"/>
        </w:rPr>
        <w:t>ch budú</w:t>
      </w:r>
      <w:r w:rsidRPr="00C33068">
        <w:rPr>
          <w:rFonts w:ascii="Times New Roman" w:hAnsi="Times New Roman" w:hint="default"/>
          <w:sz w:val="24"/>
          <w:szCs w:val="24"/>
        </w:rPr>
        <w:t>cim uplatň</w:t>
      </w:r>
      <w:r w:rsidRPr="00C33068">
        <w:rPr>
          <w:rFonts w:ascii="Times New Roman" w:hAnsi="Times New Roman" w:hint="default"/>
          <w:sz w:val="24"/>
          <w:szCs w:val="24"/>
        </w:rPr>
        <w:t>ovaní</w:t>
      </w:r>
      <w:r w:rsidRPr="00C33068">
        <w:rPr>
          <w:rFonts w:ascii="Times New Roman" w:hAnsi="Times New Roman" w:hint="default"/>
          <w:sz w:val="24"/>
          <w:szCs w:val="24"/>
        </w:rPr>
        <w:t>m prá</w:t>
      </w:r>
      <w:r w:rsidRPr="00C33068">
        <w:rPr>
          <w:rFonts w:ascii="Times New Roman" w:hAnsi="Times New Roman" w:hint="default"/>
          <w:sz w:val="24"/>
          <w:szCs w:val="24"/>
        </w:rPr>
        <w:t>v a povinností</w:t>
      </w:r>
      <w:r w:rsidRPr="00C33068">
        <w:rPr>
          <w:rFonts w:ascii="Times New Roman" w:hAnsi="Times New Roman" w:hint="default"/>
          <w:sz w:val="24"/>
          <w:szCs w:val="24"/>
        </w:rPr>
        <w:t xml:space="preserve"> ustanovený</w:t>
      </w:r>
      <w:r w:rsidRPr="00C33068">
        <w:rPr>
          <w:rFonts w:ascii="Times New Roman" w:hAnsi="Times New Roman" w:hint="default"/>
          <w:sz w:val="24"/>
          <w:szCs w:val="24"/>
        </w:rPr>
        <w:t>ch prá</w:t>
      </w:r>
      <w:r w:rsidRPr="00C33068">
        <w:rPr>
          <w:rFonts w:ascii="Times New Roman" w:hAnsi="Times New Roman" w:hint="default"/>
          <w:sz w:val="24"/>
          <w:szCs w:val="24"/>
        </w:rPr>
        <w:t>vnym poriadkom Slovenskej republiky, ak tieto nie sú</w:t>
      </w:r>
      <w:r w:rsidRPr="00C33068">
        <w:rPr>
          <w:rFonts w:ascii="Times New Roman" w:hAnsi="Times New Roman" w:hint="default"/>
          <w:sz w:val="24"/>
          <w:szCs w:val="24"/>
        </w:rPr>
        <w:t xml:space="preserve"> súč</w:t>
      </w:r>
      <w:r w:rsidRPr="00C33068">
        <w:rPr>
          <w:rFonts w:ascii="Times New Roman" w:hAnsi="Times New Roman" w:hint="default"/>
          <w:sz w:val="24"/>
          <w:szCs w:val="24"/>
        </w:rPr>
        <w:t>asť</w:t>
      </w:r>
      <w:r w:rsidRPr="00C33068">
        <w:rPr>
          <w:rFonts w:ascii="Times New Roman" w:hAnsi="Times New Roman" w:hint="default"/>
          <w:sz w:val="24"/>
          <w:szCs w:val="24"/>
        </w:rPr>
        <w:t>ou dlhu ver</w:t>
      </w:r>
      <w:r w:rsidRPr="00C33068">
        <w:rPr>
          <w:rFonts w:ascii="Times New Roman" w:hAnsi="Times New Roman" w:hint="default"/>
          <w:sz w:val="24"/>
          <w:szCs w:val="24"/>
        </w:rPr>
        <w:t>e</w:t>
      </w:r>
      <w:r w:rsidRPr="00C33068">
        <w:rPr>
          <w:rFonts w:ascii="Times New Roman" w:hAnsi="Times New Roman" w:hint="default"/>
          <w:sz w:val="24"/>
          <w:szCs w:val="24"/>
        </w:rPr>
        <w:t>jnej sprá</w:t>
      </w:r>
      <w:r w:rsidRPr="00C33068">
        <w:rPr>
          <w:rFonts w:ascii="Times New Roman" w:hAnsi="Times New Roman" w:hint="default"/>
          <w:sz w:val="24"/>
          <w:szCs w:val="24"/>
        </w:rPr>
        <w:t>vy“</w:t>
      </w:r>
      <w:r w:rsidRPr="00C33068">
        <w:rPr>
          <w:rFonts w:ascii="Times New Roman" w:hAnsi="Times New Roman" w:hint="default"/>
          <w:sz w:val="24"/>
          <w:szCs w:val="24"/>
        </w:rPr>
        <w:t xml:space="preserve">. </w:t>
      </w:r>
      <w:r w:rsidRPr="00C33068" w:rsidR="007110B3">
        <w:rPr>
          <w:rFonts w:ascii="Times New Roman" w:hAnsi="Times New Roman"/>
          <w:sz w:val="24"/>
          <w:szCs w:val="24"/>
        </w:rPr>
        <w:t>Ide o</w:t>
      </w:r>
      <w:r w:rsidRPr="00C33068">
        <w:rPr>
          <w:rFonts w:ascii="Times New Roman" w:hAnsi="Times New Roman" w:hint="default"/>
          <w:sz w:val="24"/>
          <w:szCs w:val="24"/>
        </w:rPr>
        <w:t xml:space="preserve"> č</w:t>
      </w:r>
      <w:r w:rsidRPr="00C33068">
        <w:rPr>
          <w:rFonts w:ascii="Times New Roman" w:hAnsi="Times New Roman" w:hint="default"/>
          <w:sz w:val="24"/>
          <w:szCs w:val="24"/>
        </w:rPr>
        <w:t>isté</w:t>
      </w:r>
      <w:r w:rsidRPr="00C33068">
        <w:rPr>
          <w:rFonts w:ascii="Times New Roman" w:hAnsi="Times New Roman" w:hint="default"/>
          <w:sz w:val="24"/>
          <w:szCs w:val="24"/>
        </w:rPr>
        <w:t xml:space="preserve"> zá</w:t>
      </w:r>
      <w:r w:rsidRPr="00C33068">
        <w:rPr>
          <w:rFonts w:ascii="Times New Roman" w:hAnsi="Times New Roman" w:hint="default"/>
          <w:sz w:val="24"/>
          <w:szCs w:val="24"/>
        </w:rPr>
        <w:t>vä</w:t>
      </w:r>
      <w:r w:rsidRPr="00C33068">
        <w:rPr>
          <w:rFonts w:ascii="Times New Roman" w:hAnsi="Times New Roman" w:hint="default"/>
          <w:sz w:val="24"/>
          <w:szCs w:val="24"/>
        </w:rPr>
        <w:t>zky v sektore sociá</w:t>
      </w:r>
      <w:r w:rsidRPr="00C33068">
        <w:rPr>
          <w:rFonts w:ascii="Times New Roman" w:hAnsi="Times New Roman" w:hint="default"/>
          <w:sz w:val="24"/>
          <w:szCs w:val="24"/>
        </w:rPr>
        <w:t>lnych vecí</w:t>
      </w:r>
      <w:r w:rsidRPr="00C33068">
        <w:rPr>
          <w:rFonts w:ascii="Times New Roman" w:hAnsi="Times New Roman" w:hint="default"/>
          <w:sz w:val="24"/>
          <w:szCs w:val="24"/>
        </w:rPr>
        <w:t>, zdravotní</w:t>
      </w:r>
      <w:r w:rsidRPr="00C33068">
        <w:rPr>
          <w:rFonts w:ascii="Times New Roman" w:hAnsi="Times New Roman" w:hint="default"/>
          <w:sz w:val="24"/>
          <w:szCs w:val="24"/>
        </w:rPr>
        <w:t>ctva a š</w:t>
      </w:r>
      <w:r w:rsidRPr="00C33068">
        <w:rPr>
          <w:rFonts w:ascii="Times New Roman" w:hAnsi="Times New Roman" w:hint="default"/>
          <w:sz w:val="24"/>
          <w:szCs w:val="24"/>
        </w:rPr>
        <w:t>kolstva spojené</w:t>
      </w:r>
      <w:r w:rsidRPr="00C33068">
        <w:rPr>
          <w:rFonts w:ascii="Times New Roman" w:hAnsi="Times New Roman" w:hint="default"/>
          <w:sz w:val="24"/>
          <w:szCs w:val="24"/>
        </w:rPr>
        <w:t xml:space="preserve"> so st</w:t>
      </w:r>
      <w:r w:rsidRPr="00C33068" w:rsidR="00F979FA">
        <w:rPr>
          <w:rFonts w:ascii="Times New Roman" w:hAnsi="Times New Roman" w:hint="default"/>
          <w:sz w:val="24"/>
          <w:szCs w:val="24"/>
        </w:rPr>
        <w:t>arnutí</w:t>
      </w:r>
      <w:r w:rsidRPr="00C33068" w:rsidR="00F979FA">
        <w:rPr>
          <w:rFonts w:ascii="Times New Roman" w:hAnsi="Times New Roman" w:hint="default"/>
          <w:sz w:val="24"/>
          <w:szCs w:val="24"/>
        </w:rPr>
        <w:t>m populá</w:t>
      </w:r>
      <w:r w:rsidRPr="00C33068" w:rsidR="00F979FA">
        <w:rPr>
          <w:rFonts w:ascii="Times New Roman" w:hAnsi="Times New Roman" w:hint="default"/>
          <w:sz w:val="24"/>
          <w:szCs w:val="24"/>
        </w:rPr>
        <w:t xml:space="preserve">cie a </w:t>
      </w:r>
      <w:r w:rsidRPr="00C33068" w:rsidR="003D49CE">
        <w:rPr>
          <w:rFonts w:ascii="Times New Roman" w:hAnsi="Times New Roman" w:hint="default"/>
          <w:sz w:val="24"/>
          <w:szCs w:val="24"/>
        </w:rPr>
        <w:t>ď</w:t>
      </w:r>
      <w:r w:rsidRPr="00C33068" w:rsidR="003D49CE">
        <w:rPr>
          <w:rFonts w:ascii="Times New Roman" w:hAnsi="Times New Roman" w:hint="default"/>
          <w:sz w:val="24"/>
          <w:szCs w:val="24"/>
        </w:rPr>
        <w:t>alš</w:t>
      </w:r>
      <w:r w:rsidRPr="00C33068" w:rsidR="003D49CE">
        <w:rPr>
          <w:rFonts w:ascii="Times New Roman" w:hAnsi="Times New Roman" w:hint="default"/>
          <w:sz w:val="24"/>
          <w:szCs w:val="24"/>
        </w:rPr>
        <w:t>ie</w:t>
      </w:r>
      <w:r w:rsidRPr="00C33068" w:rsidR="00F979FA">
        <w:rPr>
          <w:rFonts w:ascii="Times New Roman" w:hAnsi="Times New Roman" w:hint="default"/>
          <w:sz w:val="24"/>
          <w:szCs w:val="24"/>
        </w:rPr>
        <w:t xml:space="preserve"> typy zá</w:t>
      </w:r>
      <w:r w:rsidRPr="00C33068" w:rsidR="00F979FA">
        <w:rPr>
          <w:rFonts w:ascii="Times New Roman" w:hAnsi="Times New Roman" w:hint="default"/>
          <w:sz w:val="24"/>
          <w:szCs w:val="24"/>
        </w:rPr>
        <w:t>vä</w:t>
      </w:r>
      <w:r w:rsidRPr="00C33068" w:rsidR="00F979FA">
        <w:rPr>
          <w:rFonts w:ascii="Times New Roman" w:hAnsi="Times New Roman" w:hint="default"/>
          <w:sz w:val="24"/>
          <w:szCs w:val="24"/>
        </w:rPr>
        <w:t>zkov</w:t>
      </w:r>
      <w:r w:rsidRPr="00C33068" w:rsidR="003D49CE">
        <w:rPr>
          <w:rFonts w:ascii="Times New Roman" w:hAnsi="Times New Roman"/>
          <w:sz w:val="24"/>
          <w:szCs w:val="24"/>
        </w:rPr>
        <w:t xml:space="preserve">, ako </w:t>
      </w:r>
      <w:r w:rsidRPr="00C33068" w:rsidR="00F979FA">
        <w:rPr>
          <w:rFonts w:ascii="Times New Roman" w:hAnsi="Times New Roman" w:hint="default"/>
          <w:sz w:val="24"/>
          <w:szCs w:val="24"/>
        </w:rPr>
        <w:t>naprí</w:t>
      </w:r>
      <w:r w:rsidRPr="00C33068" w:rsidR="00F979FA">
        <w:rPr>
          <w:rFonts w:ascii="Times New Roman" w:hAnsi="Times New Roman" w:hint="default"/>
          <w:sz w:val="24"/>
          <w:szCs w:val="24"/>
        </w:rPr>
        <w:t xml:space="preserve">klad </w:t>
      </w:r>
      <w:r w:rsidRPr="00C33068" w:rsidR="003D49CE">
        <w:rPr>
          <w:rFonts w:ascii="Times New Roman" w:hAnsi="Times New Roman"/>
          <w:sz w:val="24"/>
          <w:szCs w:val="24"/>
        </w:rPr>
        <w:t>v </w:t>
      </w:r>
      <w:r w:rsidRPr="00C33068" w:rsidR="003D49CE">
        <w:rPr>
          <w:rFonts w:ascii="Times New Roman" w:hAnsi="Times New Roman" w:hint="default"/>
          <w:sz w:val="24"/>
          <w:szCs w:val="24"/>
        </w:rPr>
        <w:t>sú</w:t>
      </w:r>
      <w:r w:rsidRPr="00C33068" w:rsidR="003D49CE">
        <w:rPr>
          <w:rFonts w:ascii="Times New Roman" w:hAnsi="Times New Roman" w:hint="default"/>
          <w:sz w:val="24"/>
          <w:szCs w:val="24"/>
        </w:rPr>
        <w:t xml:space="preserve">vislosti s </w:t>
      </w:r>
      <w:r w:rsidRPr="00C33068" w:rsidR="00F979FA">
        <w:rPr>
          <w:rFonts w:ascii="Times New Roman" w:hAnsi="Times New Roman"/>
          <w:sz w:val="24"/>
          <w:szCs w:val="24"/>
        </w:rPr>
        <w:t>PPP projekt</w:t>
      </w:r>
      <w:r w:rsidRPr="00C33068" w:rsidR="003D49CE">
        <w:rPr>
          <w:rFonts w:ascii="Times New Roman" w:hAnsi="Times New Roman"/>
          <w:sz w:val="24"/>
          <w:szCs w:val="24"/>
        </w:rPr>
        <w:t>mi</w:t>
      </w:r>
      <w:r w:rsidRPr="00C33068" w:rsidR="00F979FA">
        <w:rPr>
          <w:rFonts w:ascii="Times New Roman" w:hAnsi="Times New Roman" w:hint="default"/>
          <w:sz w:val="24"/>
          <w:szCs w:val="24"/>
        </w:rPr>
        <w:t xml:space="preserve"> a ná</w:t>
      </w:r>
      <w:r w:rsidRPr="00C33068" w:rsidR="00F979FA">
        <w:rPr>
          <w:rFonts w:ascii="Times New Roman" w:hAnsi="Times New Roman" w:hint="default"/>
          <w:sz w:val="24"/>
          <w:szCs w:val="24"/>
        </w:rPr>
        <w:t>klad</w:t>
      </w:r>
      <w:r w:rsidRPr="00C33068" w:rsidR="003D49CE">
        <w:rPr>
          <w:rFonts w:ascii="Times New Roman" w:hAnsi="Times New Roman"/>
          <w:sz w:val="24"/>
          <w:szCs w:val="24"/>
        </w:rPr>
        <w:t>mi</w:t>
      </w:r>
      <w:r w:rsidRPr="00C33068" w:rsidR="00F979FA">
        <w:rPr>
          <w:rFonts w:ascii="Times New Roman" w:hAnsi="Times New Roman" w:hint="default"/>
          <w:sz w:val="24"/>
          <w:szCs w:val="24"/>
        </w:rPr>
        <w:t xml:space="preserve"> na odstavenie jadrový</w:t>
      </w:r>
      <w:r w:rsidRPr="00C33068" w:rsidR="00F979FA">
        <w:rPr>
          <w:rFonts w:ascii="Times New Roman" w:hAnsi="Times New Roman" w:hint="default"/>
          <w:sz w:val="24"/>
          <w:szCs w:val="24"/>
        </w:rPr>
        <w:t>ch elektrá</w:t>
      </w:r>
      <w:r w:rsidRPr="00C33068" w:rsidR="00F979FA">
        <w:rPr>
          <w:rFonts w:ascii="Times New Roman" w:hAnsi="Times New Roman" w:hint="default"/>
          <w:sz w:val="24"/>
          <w:szCs w:val="24"/>
        </w:rPr>
        <w:t>rní.</w:t>
      </w:r>
    </w:p>
    <w:p w:rsidR="00C53E0E" w:rsidRP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B7C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t>Z </w:t>
      </w:r>
      <w:r w:rsidRPr="00C33068">
        <w:rPr>
          <w:rFonts w:ascii="Times New Roman" w:hAnsi="Times New Roman" w:hint="default"/>
          <w:sz w:val="24"/>
          <w:szCs w:val="24"/>
        </w:rPr>
        <w:t>uvedené</w:t>
      </w:r>
      <w:r w:rsidRPr="00C33068">
        <w:rPr>
          <w:rFonts w:ascii="Times New Roman" w:hAnsi="Times New Roman" w:hint="default"/>
          <w:sz w:val="24"/>
          <w:szCs w:val="24"/>
        </w:rPr>
        <w:t>ho vyplý</w:t>
      </w:r>
      <w:r w:rsidRPr="00C33068">
        <w:rPr>
          <w:rFonts w:ascii="Times New Roman" w:hAnsi="Times New Roman" w:hint="default"/>
          <w:sz w:val="24"/>
          <w:szCs w:val="24"/>
        </w:rPr>
        <w:t>va, ž</w:t>
      </w:r>
      <w:r w:rsidRPr="00C33068">
        <w:rPr>
          <w:rFonts w:ascii="Times New Roman" w:hAnsi="Times New Roman" w:hint="default"/>
          <w:sz w:val="24"/>
          <w:szCs w:val="24"/>
        </w:rPr>
        <w:t xml:space="preserve">e </w:t>
      </w:r>
      <w:r w:rsidRPr="00C33068">
        <w:rPr>
          <w:rFonts w:ascii="Times New Roman" w:hAnsi="Times New Roman" w:hint="default"/>
          <w:sz w:val="24"/>
          <w:szCs w:val="24"/>
        </w:rPr>
        <w:t>nejde o </w:t>
      </w:r>
      <w:r w:rsidRPr="00C33068">
        <w:rPr>
          <w:rFonts w:ascii="Times New Roman" w:hAnsi="Times New Roman" w:hint="default"/>
          <w:sz w:val="24"/>
          <w:szCs w:val="24"/>
        </w:rPr>
        <w:t>zá</w:t>
      </w:r>
      <w:r w:rsidRPr="00C33068">
        <w:rPr>
          <w:rFonts w:ascii="Times New Roman" w:hAnsi="Times New Roman" w:hint="default"/>
          <w:sz w:val="24"/>
          <w:szCs w:val="24"/>
        </w:rPr>
        <w:t>vä</w:t>
      </w:r>
      <w:r w:rsidRPr="00C33068">
        <w:rPr>
          <w:rFonts w:ascii="Times New Roman" w:hAnsi="Times New Roman" w:hint="default"/>
          <w:sz w:val="24"/>
          <w:szCs w:val="24"/>
        </w:rPr>
        <w:t>zky vyká</w:t>
      </w:r>
      <w:r w:rsidRPr="00C33068">
        <w:rPr>
          <w:rFonts w:ascii="Times New Roman" w:hAnsi="Times New Roman" w:hint="default"/>
          <w:sz w:val="24"/>
          <w:szCs w:val="24"/>
        </w:rPr>
        <w:t>zané</w:t>
      </w:r>
      <w:r w:rsidRPr="00C33068">
        <w:rPr>
          <w:rFonts w:ascii="Times New Roman" w:hAnsi="Times New Roman" w:hint="default"/>
          <w:sz w:val="24"/>
          <w:szCs w:val="24"/>
        </w:rPr>
        <w:t xml:space="preserve"> v </w:t>
      </w:r>
      <w:r w:rsidRPr="00C33068">
        <w:rPr>
          <w:rFonts w:ascii="Times New Roman" w:hAnsi="Times New Roman" w:hint="default"/>
          <w:sz w:val="24"/>
          <w:szCs w:val="24"/>
        </w:rPr>
        <w:t>sú</w:t>
      </w:r>
      <w:r w:rsidRPr="00C33068">
        <w:rPr>
          <w:rFonts w:ascii="Times New Roman" w:hAnsi="Times New Roman" w:hint="default"/>
          <w:sz w:val="24"/>
          <w:szCs w:val="24"/>
        </w:rPr>
        <w:t>vahe úč</w:t>
      </w:r>
      <w:r w:rsidRPr="00C33068">
        <w:rPr>
          <w:rFonts w:ascii="Times New Roman" w:hAnsi="Times New Roman" w:hint="default"/>
          <w:sz w:val="24"/>
          <w:szCs w:val="24"/>
        </w:rPr>
        <w:t>tovný</w:t>
      </w:r>
      <w:r w:rsidRPr="00C33068">
        <w:rPr>
          <w:rFonts w:ascii="Times New Roman" w:hAnsi="Times New Roman" w:hint="default"/>
          <w:sz w:val="24"/>
          <w:szCs w:val="24"/>
        </w:rPr>
        <w:t>ch zá</w:t>
      </w:r>
      <w:r w:rsidRPr="00C33068">
        <w:rPr>
          <w:rFonts w:ascii="Times New Roman" w:hAnsi="Times New Roman" w:hint="default"/>
          <w:sz w:val="24"/>
          <w:szCs w:val="24"/>
        </w:rPr>
        <w:t>vierok subjektov verejnej sprá</w:t>
      </w:r>
      <w:r w:rsidRPr="00C33068">
        <w:rPr>
          <w:rFonts w:ascii="Times New Roman" w:hAnsi="Times New Roman" w:hint="default"/>
          <w:sz w:val="24"/>
          <w:szCs w:val="24"/>
        </w:rPr>
        <w:t>vy, keďž</w:t>
      </w:r>
      <w:r w:rsidRPr="00C33068">
        <w:rPr>
          <w:rFonts w:ascii="Times New Roman" w:hAnsi="Times New Roman" w:hint="default"/>
          <w:sz w:val="24"/>
          <w:szCs w:val="24"/>
        </w:rPr>
        <w:t>e ich ocenenie môž</w:t>
      </w:r>
      <w:r w:rsidRPr="00C33068">
        <w:rPr>
          <w:rFonts w:ascii="Times New Roman" w:hAnsi="Times New Roman" w:hint="default"/>
          <w:sz w:val="24"/>
          <w:szCs w:val="24"/>
        </w:rPr>
        <w:t>e byť</w:t>
      </w:r>
      <w:r w:rsidRPr="00C33068">
        <w:rPr>
          <w:rFonts w:ascii="Times New Roman" w:hAnsi="Times New Roman" w:hint="default"/>
          <w:sz w:val="24"/>
          <w:szCs w:val="24"/>
        </w:rPr>
        <w:t xml:space="preserve"> problematické</w:t>
      </w:r>
      <w:r w:rsidRPr="00C33068">
        <w:rPr>
          <w:rFonts w:ascii="Times New Roman" w:hAnsi="Times New Roman" w:hint="default"/>
          <w:sz w:val="24"/>
          <w:szCs w:val="24"/>
        </w:rPr>
        <w:t>. Napriek tomu vš</w:t>
      </w:r>
      <w:r w:rsidRPr="00C33068">
        <w:rPr>
          <w:rFonts w:ascii="Times New Roman" w:hAnsi="Times New Roman" w:hint="default"/>
          <w:sz w:val="24"/>
          <w:szCs w:val="24"/>
        </w:rPr>
        <w:t>ak mož</w:t>
      </w:r>
      <w:r w:rsidRPr="00C33068">
        <w:rPr>
          <w:rFonts w:ascii="Times New Roman" w:hAnsi="Times New Roman" w:hint="default"/>
          <w:sz w:val="24"/>
          <w:szCs w:val="24"/>
        </w:rPr>
        <w:t xml:space="preserve">no </w:t>
      </w:r>
      <w:r w:rsidRPr="00C33068" w:rsidR="003D49CE">
        <w:rPr>
          <w:rFonts w:ascii="Times New Roman" w:hAnsi="Times New Roman" w:hint="default"/>
          <w:sz w:val="24"/>
          <w:szCs w:val="24"/>
        </w:rPr>
        <w:t>pri zohľ</w:t>
      </w:r>
      <w:r w:rsidRPr="00C33068" w:rsidR="003D49CE">
        <w:rPr>
          <w:rFonts w:ascii="Times New Roman" w:hAnsi="Times New Roman" w:hint="default"/>
          <w:sz w:val="24"/>
          <w:szCs w:val="24"/>
        </w:rPr>
        <w:t>adnení</w:t>
      </w:r>
      <w:r w:rsidRPr="00C33068" w:rsidR="003D49CE">
        <w:rPr>
          <w:rFonts w:ascii="Times New Roman" w:hAnsi="Times New Roman" w:hint="default"/>
          <w:sz w:val="24"/>
          <w:szCs w:val="24"/>
        </w:rPr>
        <w:t xml:space="preserve"> aktuá</w:t>
      </w:r>
      <w:r w:rsidRPr="00C33068" w:rsidR="003D49CE">
        <w:rPr>
          <w:rFonts w:ascii="Times New Roman" w:hAnsi="Times New Roman" w:hint="default"/>
          <w:sz w:val="24"/>
          <w:szCs w:val="24"/>
        </w:rPr>
        <w:t>lneho legislatí</w:t>
      </w:r>
      <w:r w:rsidRPr="00C33068" w:rsidR="003D49CE">
        <w:rPr>
          <w:rFonts w:ascii="Times New Roman" w:hAnsi="Times New Roman" w:hint="default"/>
          <w:sz w:val="24"/>
          <w:szCs w:val="24"/>
        </w:rPr>
        <w:t xml:space="preserve">vneho stavu </w:t>
      </w:r>
      <w:r w:rsidRPr="00C33068">
        <w:rPr>
          <w:rFonts w:ascii="Times New Roman" w:hAnsi="Times New Roman" w:hint="default"/>
          <w:sz w:val="24"/>
          <w:szCs w:val="24"/>
        </w:rPr>
        <w:t>odhadnúť</w:t>
      </w:r>
      <w:r w:rsidRPr="00C33068">
        <w:rPr>
          <w:rFonts w:ascii="Times New Roman" w:hAnsi="Times New Roman" w:hint="default"/>
          <w:sz w:val="24"/>
          <w:szCs w:val="24"/>
        </w:rPr>
        <w:t xml:space="preserve"> ich výš</w:t>
      </w:r>
      <w:r w:rsidRPr="00C33068">
        <w:rPr>
          <w:rFonts w:ascii="Times New Roman" w:hAnsi="Times New Roman" w:hint="default"/>
          <w:sz w:val="24"/>
          <w:szCs w:val="24"/>
        </w:rPr>
        <w:t>ku</w:t>
      </w:r>
      <w:r w:rsidRPr="00C33068" w:rsidR="00F979FA">
        <w:rPr>
          <w:rFonts w:ascii="Times New Roman" w:hAnsi="Times New Roman"/>
          <w:sz w:val="24"/>
          <w:szCs w:val="24"/>
        </w:rPr>
        <w:t xml:space="preserve">. </w:t>
      </w:r>
      <w:r w:rsidRPr="00C33068">
        <w:rPr>
          <w:rFonts w:ascii="Times New Roman" w:hAnsi="Times New Roman"/>
          <w:sz w:val="24"/>
          <w:szCs w:val="24"/>
        </w:rPr>
        <w:t xml:space="preserve"> </w:t>
      </w:r>
    </w:p>
    <w:p w:rsidR="00CB12EE" w:rsidRPr="00C33068" w:rsidP="00CB12EE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2EE" w:rsidRPr="00C33068" w:rsidP="00CB12EE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C33068">
        <w:rPr>
          <w:rFonts w:ascii="Times New Roman" w:hAnsi="Times New Roman" w:hint="default"/>
          <w:b/>
          <w:sz w:val="24"/>
          <w:szCs w:val="24"/>
        </w:rPr>
        <w:t>1. Celkové</w:t>
      </w:r>
      <w:r w:rsidRPr="00C33068">
        <w:rPr>
          <w:rFonts w:ascii="Times New Roman" w:hAnsi="Times New Roman" w:hint="default"/>
          <w:b/>
          <w:sz w:val="24"/>
          <w:szCs w:val="24"/>
        </w:rPr>
        <w:t xml:space="preserve"> implicitné</w:t>
      </w:r>
      <w:r w:rsidRPr="00C33068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C33068">
        <w:rPr>
          <w:rFonts w:ascii="Times New Roman" w:hAnsi="Times New Roman" w:hint="default"/>
          <w:b/>
          <w:sz w:val="24"/>
          <w:szCs w:val="24"/>
        </w:rPr>
        <w:t>vä</w:t>
      </w:r>
      <w:r w:rsidRPr="00C33068">
        <w:rPr>
          <w:rFonts w:ascii="Times New Roman" w:hAnsi="Times New Roman" w:hint="default"/>
          <w:b/>
          <w:sz w:val="24"/>
          <w:szCs w:val="24"/>
        </w:rPr>
        <w:t>zky</w:t>
      </w:r>
    </w:p>
    <w:p w:rsidR="00C33068" w:rsidP="00CB12E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2EE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068">
        <w:rPr>
          <w:rFonts w:ascii="Times New Roman" w:hAnsi="Times New Roman"/>
          <w:sz w:val="24"/>
          <w:szCs w:val="24"/>
        </w:rPr>
        <w:t>Implicit</w:t>
      </w:r>
      <w:r w:rsidRPr="00C33068">
        <w:rPr>
          <w:rFonts w:ascii="Times New Roman" w:hAnsi="Times New Roman" w:hint="default"/>
          <w:sz w:val="24"/>
          <w:szCs w:val="24"/>
        </w:rPr>
        <w:t>né</w:t>
      </w:r>
      <w:r w:rsidRPr="00C33068">
        <w:rPr>
          <w:rFonts w:ascii="Times New Roman" w:hAnsi="Times New Roman" w:hint="default"/>
          <w:sz w:val="24"/>
          <w:szCs w:val="24"/>
        </w:rPr>
        <w:t xml:space="preserve"> zá</w:t>
      </w:r>
      <w:r w:rsidRPr="00C33068">
        <w:rPr>
          <w:rFonts w:ascii="Times New Roman" w:hAnsi="Times New Roman" w:hint="default"/>
          <w:sz w:val="24"/>
          <w:szCs w:val="24"/>
        </w:rPr>
        <w:t>vä</w:t>
      </w:r>
      <w:r w:rsidRPr="00C33068">
        <w:rPr>
          <w:rFonts w:ascii="Times New Roman" w:hAnsi="Times New Roman" w:hint="default"/>
          <w:sz w:val="24"/>
          <w:szCs w:val="24"/>
        </w:rPr>
        <w:t>zky sú</w:t>
      </w:r>
      <w:r w:rsidRPr="00C33068">
        <w:rPr>
          <w:rFonts w:ascii="Times New Roman" w:hAnsi="Times New Roman" w:hint="default"/>
          <w:sz w:val="24"/>
          <w:szCs w:val="24"/>
        </w:rPr>
        <w:t xml:space="preserve"> odhadnuté</w:t>
      </w:r>
      <w:r w:rsidRPr="00C33068">
        <w:rPr>
          <w:rFonts w:ascii="Times New Roman" w:hAnsi="Times New Roman" w:hint="default"/>
          <w:sz w:val="24"/>
          <w:szCs w:val="24"/>
        </w:rPr>
        <w:t xml:space="preserve"> ako súč</w:t>
      </w:r>
      <w:r w:rsidRPr="00C33068">
        <w:rPr>
          <w:rFonts w:ascii="Times New Roman" w:hAnsi="Times New Roman" w:hint="default"/>
          <w:sz w:val="24"/>
          <w:szCs w:val="24"/>
        </w:rPr>
        <w:t>asná</w:t>
      </w:r>
      <w:r w:rsidRPr="00C33068">
        <w:rPr>
          <w:rFonts w:ascii="Times New Roman" w:hAnsi="Times New Roman" w:hint="default"/>
          <w:sz w:val="24"/>
          <w:szCs w:val="24"/>
        </w:rPr>
        <w:t xml:space="preserve"> hodnota budú</w:t>
      </w:r>
      <w:r w:rsidRPr="00C33068">
        <w:rPr>
          <w:rFonts w:ascii="Times New Roman" w:hAnsi="Times New Roman" w:hint="default"/>
          <w:sz w:val="24"/>
          <w:szCs w:val="24"/>
        </w:rPr>
        <w:t>cich zá</w:t>
      </w:r>
      <w:r w:rsidRPr="00C33068">
        <w:rPr>
          <w:rFonts w:ascii="Times New Roman" w:hAnsi="Times New Roman" w:hint="default"/>
          <w:sz w:val="24"/>
          <w:szCs w:val="24"/>
        </w:rPr>
        <w:t>vä</w:t>
      </w:r>
      <w:r w:rsidRPr="00C33068">
        <w:rPr>
          <w:rFonts w:ascii="Times New Roman" w:hAnsi="Times New Roman" w:hint="default"/>
          <w:sz w:val="24"/>
          <w:szCs w:val="24"/>
        </w:rPr>
        <w:t>zkov vyplý</w:t>
      </w:r>
      <w:r w:rsidRPr="00C33068">
        <w:rPr>
          <w:rFonts w:ascii="Times New Roman" w:hAnsi="Times New Roman" w:hint="default"/>
          <w:sz w:val="24"/>
          <w:szCs w:val="24"/>
        </w:rPr>
        <w:t>vajú</w:t>
      </w:r>
      <w:r w:rsidRPr="00C33068">
        <w:rPr>
          <w:rFonts w:ascii="Times New Roman" w:hAnsi="Times New Roman" w:hint="default"/>
          <w:sz w:val="24"/>
          <w:szCs w:val="24"/>
        </w:rPr>
        <w:t>cich zo starnutia populá</w:t>
      </w:r>
      <w:r w:rsidRPr="00C33068">
        <w:rPr>
          <w:rFonts w:ascii="Times New Roman" w:hAnsi="Times New Roman" w:hint="default"/>
          <w:sz w:val="24"/>
          <w:szCs w:val="24"/>
        </w:rPr>
        <w:t>cie, </w:t>
      </w:r>
      <w:r w:rsidRPr="00C33068">
        <w:rPr>
          <w:rFonts w:ascii="Times New Roman" w:hAnsi="Times New Roman" w:hint="default"/>
          <w:sz w:val="24"/>
          <w:szCs w:val="24"/>
        </w:rPr>
        <w:t>zá</w:t>
      </w:r>
      <w:r w:rsidRPr="00C33068">
        <w:rPr>
          <w:rFonts w:ascii="Times New Roman" w:hAnsi="Times New Roman" w:hint="default"/>
          <w:sz w:val="24"/>
          <w:szCs w:val="24"/>
        </w:rPr>
        <w:t>vä</w:t>
      </w:r>
      <w:r w:rsidRPr="00C33068">
        <w:rPr>
          <w:rFonts w:ascii="Times New Roman" w:hAnsi="Times New Roman" w:hint="default"/>
          <w:sz w:val="24"/>
          <w:szCs w:val="24"/>
        </w:rPr>
        <w:t>zkov z PPP projektov a </w:t>
      </w:r>
      <w:r w:rsidRPr="00C33068">
        <w:rPr>
          <w:rFonts w:ascii="Times New Roman" w:hAnsi="Times New Roman" w:hint="default"/>
          <w:sz w:val="24"/>
          <w:szCs w:val="24"/>
        </w:rPr>
        <w:t>Ná</w:t>
      </w:r>
      <w:r w:rsidRPr="00C33068">
        <w:rPr>
          <w:rFonts w:ascii="Times New Roman" w:hAnsi="Times New Roman" w:hint="default"/>
          <w:sz w:val="24"/>
          <w:szCs w:val="24"/>
        </w:rPr>
        <w:t>rodné</w:t>
      </w:r>
      <w:r w:rsidRPr="00C33068">
        <w:rPr>
          <w:rFonts w:ascii="Times New Roman" w:hAnsi="Times New Roman" w:hint="default"/>
          <w:sz w:val="24"/>
          <w:szCs w:val="24"/>
        </w:rPr>
        <w:t>ho jadrové</w:t>
      </w:r>
      <w:r w:rsidRPr="00C33068">
        <w:rPr>
          <w:rFonts w:ascii="Times New Roman" w:hAnsi="Times New Roman" w:hint="default"/>
          <w:sz w:val="24"/>
          <w:szCs w:val="24"/>
        </w:rPr>
        <w:t>ho fondu v </w:t>
      </w:r>
      <w:r w:rsidRPr="00C33068">
        <w:rPr>
          <w:rFonts w:ascii="Times New Roman" w:hAnsi="Times New Roman" w:hint="default"/>
          <w:sz w:val="24"/>
          <w:szCs w:val="24"/>
        </w:rPr>
        <w:t>nekoneč</w:t>
      </w:r>
      <w:r w:rsidRPr="00C33068">
        <w:rPr>
          <w:rFonts w:ascii="Times New Roman" w:hAnsi="Times New Roman" w:hint="default"/>
          <w:sz w:val="24"/>
          <w:szCs w:val="24"/>
        </w:rPr>
        <w:t>nom horizonte vyjadrené</w:t>
      </w:r>
      <w:r w:rsidRPr="00C33068">
        <w:rPr>
          <w:rFonts w:ascii="Times New Roman" w:hAnsi="Times New Roman" w:hint="default"/>
          <w:sz w:val="24"/>
          <w:szCs w:val="24"/>
        </w:rPr>
        <w:t xml:space="preserve"> ako percento aktuá</w:t>
      </w:r>
      <w:r w:rsidRPr="00C33068">
        <w:rPr>
          <w:rFonts w:ascii="Times New Roman" w:hAnsi="Times New Roman" w:hint="default"/>
          <w:sz w:val="24"/>
          <w:szCs w:val="24"/>
        </w:rPr>
        <w:t xml:space="preserve">lneho HDP roku 2014. </w:t>
      </w:r>
      <w:r w:rsidRPr="00C33068" w:rsidR="00F2433E">
        <w:rPr>
          <w:rFonts w:ascii="Times New Roman" w:hAnsi="Times New Roman"/>
          <w:sz w:val="24"/>
          <w:szCs w:val="24"/>
        </w:rPr>
        <w:t>J</w:t>
      </w:r>
      <w:r w:rsidRPr="00C33068">
        <w:rPr>
          <w:rFonts w:ascii="Times New Roman" w:hAnsi="Times New Roman" w:hint="default"/>
          <w:sz w:val="24"/>
          <w:szCs w:val="24"/>
        </w:rPr>
        <w:t>ednotlivý</w:t>
      </w:r>
      <w:r w:rsidRPr="00C33068">
        <w:rPr>
          <w:rFonts w:ascii="Times New Roman" w:hAnsi="Times New Roman" w:hint="default"/>
          <w:sz w:val="24"/>
          <w:szCs w:val="24"/>
        </w:rPr>
        <w:t xml:space="preserve">m oblastiam </w:t>
      </w:r>
      <w:r w:rsidRPr="00C33068" w:rsidR="00F2433E">
        <w:rPr>
          <w:rFonts w:ascii="Times New Roman" w:hAnsi="Times New Roman"/>
          <w:sz w:val="24"/>
          <w:szCs w:val="24"/>
        </w:rPr>
        <w:t xml:space="preserve">sa </w:t>
      </w:r>
      <w:r w:rsidRPr="00C33068">
        <w:rPr>
          <w:rFonts w:ascii="Times New Roman" w:hAnsi="Times New Roman" w:hint="default"/>
          <w:sz w:val="24"/>
          <w:szCs w:val="24"/>
        </w:rPr>
        <w:t>venujú</w:t>
      </w:r>
      <w:r w:rsidRPr="00C33068">
        <w:rPr>
          <w:rFonts w:ascii="Times New Roman" w:hAnsi="Times New Roman" w:hint="default"/>
          <w:sz w:val="24"/>
          <w:szCs w:val="24"/>
        </w:rPr>
        <w:t xml:space="preserve"> nasledujú</w:t>
      </w:r>
      <w:r w:rsidRPr="00C33068">
        <w:rPr>
          <w:rFonts w:ascii="Times New Roman" w:hAnsi="Times New Roman" w:hint="default"/>
          <w:sz w:val="24"/>
          <w:szCs w:val="24"/>
        </w:rPr>
        <w:t xml:space="preserve">ce sekcie tejto </w:t>
      </w:r>
      <w:r w:rsidRPr="00C33068" w:rsidR="0040053A">
        <w:rPr>
          <w:rFonts w:ascii="Times New Roman" w:hAnsi="Times New Roman" w:hint="default"/>
          <w:sz w:val="24"/>
          <w:szCs w:val="24"/>
        </w:rPr>
        <w:t>prí</w:t>
      </w:r>
      <w:r w:rsidRPr="00C33068" w:rsidR="0040053A">
        <w:rPr>
          <w:rFonts w:ascii="Times New Roman" w:hAnsi="Times New Roman" w:hint="default"/>
          <w:sz w:val="24"/>
          <w:szCs w:val="24"/>
        </w:rPr>
        <w:t>lohy</w:t>
      </w:r>
      <w:r w:rsidRPr="00C33068">
        <w:rPr>
          <w:rFonts w:ascii="Times New Roman" w:hAnsi="Times New Roman"/>
          <w:sz w:val="24"/>
          <w:szCs w:val="24"/>
        </w:rPr>
        <w:t>.</w:t>
      </w:r>
      <w:r w:rsidRPr="00C33068" w:rsidR="00F2433E">
        <w:rPr>
          <w:rFonts w:ascii="Times New Roman" w:hAnsi="Times New Roman" w:hint="default"/>
          <w:sz w:val="24"/>
          <w:szCs w:val="24"/>
        </w:rPr>
        <w:t xml:space="preserve"> Manuá</w:t>
      </w:r>
      <w:r w:rsidRPr="00C33068" w:rsidR="00F2433E">
        <w:rPr>
          <w:rFonts w:ascii="Times New Roman" w:hAnsi="Times New Roman" w:hint="default"/>
          <w:sz w:val="24"/>
          <w:szCs w:val="24"/>
        </w:rPr>
        <w:t>l k </w:t>
      </w:r>
      <w:r w:rsidRPr="00C33068" w:rsidR="00F2433E">
        <w:rPr>
          <w:rFonts w:ascii="Times New Roman" w:hAnsi="Times New Roman" w:hint="default"/>
          <w:sz w:val="24"/>
          <w:szCs w:val="24"/>
        </w:rPr>
        <w:t>implicitný</w:t>
      </w:r>
      <w:r w:rsidRPr="00C33068" w:rsidR="00F2433E">
        <w:rPr>
          <w:rFonts w:ascii="Times New Roman" w:hAnsi="Times New Roman" w:hint="default"/>
          <w:sz w:val="24"/>
          <w:szCs w:val="24"/>
        </w:rPr>
        <w:t>m zá</w:t>
      </w:r>
      <w:r w:rsidRPr="00C33068" w:rsidR="00F2433E">
        <w:rPr>
          <w:rFonts w:ascii="Times New Roman" w:hAnsi="Times New Roman" w:hint="default"/>
          <w:sz w:val="24"/>
          <w:szCs w:val="24"/>
        </w:rPr>
        <w:t>vä</w:t>
      </w:r>
      <w:r w:rsidRPr="00C33068" w:rsidR="00F2433E">
        <w:rPr>
          <w:rFonts w:ascii="Times New Roman" w:hAnsi="Times New Roman" w:hint="default"/>
          <w:sz w:val="24"/>
          <w:szCs w:val="24"/>
        </w:rPr>
        <w:t>zkom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C33068" w:rsidR="00F2433E">
        <w:rPr>
          <w:rFonts w:ascii="Times New Roman" w:hAnsi="Times New Roman"/>
          <w:sz w:val="24"/>
          <w:szCs w:val="24"/>
        </w:rPr>
        <w:t xml:space="preserve"> popisuje </w:t>
      </w:r>
      <w:r w:rsidRPr="00C33068" w:rsidR="005211E9">
        <w:rPr>
          <w:rFonts w:ascii="Times New Roman" w:hAnsi="Times New Roman" w:hint="default"/>
          <w:sz w:val="24"/>
          <w:szCs w:val="24"/>
        </w:rPr>
        <w:t>podrobnejš</w:t>
      </w:r>
      <w:r w:rsidRPr="00C33068" w:rsidR="005211E9">
        <w:rPr>
          <w:rFonts w:ascii="Times New Roman" w:hAnsi="Times New Roman" w:hint="default"/>
          <w:sz w:val="24"/>
          <w:szCs w:val="24"/>
        </w:rPr>
        <w:t xml:space="preserve">ie </w:t>
      </w:r>
      <w:r w:rsidRPr="00C33068" w:rsidR="00F2433E">
        <w:rPr>
          <w:rFonts w:ascii="Times New Roman" w:hAnsi="Times New Roman" w:hint="default"/>
          <w:sz w:val="24"/>
          <w:szCs w:val="24"/>
        </w:rPr>
        <w:t>postup vý</w:t>
      </w:r>
      <w:r w:rsidRPr="00C33068" w:rsidR="00F2433E">
        <w:rPr>
          <w:rFonts w:ascii="Times New Roman" w:hAnsi="Times New Roman" w:hint="default"/>
          <w:sz w:val="24"/>
          <w:szCs w:val="24"/>
        </w:rPr>
        <w:t>poč</w:t>
      </w:r>
      <w:r w:rsidRPr="00C33068" w:rsidR="00F2433E">
        <w:rPr>
          <w:rFonts w:ascii="Times New Roman" w:hAnsi="Times New Roman" w:hint="default"/>
          <w:sz w:val="24"/>
          <w:szCs w:val="24"/>
        </w:rPr>
        <w:t>tu</w:t>
      </w:r>
      <w:r w:rsidRPr="00C33068" w:rsidR="0040053A">
        <w:rPr>
          <w:rFonts w:ascii="Times New Roman" w:hAnsi="Times New Roman"/>
          <w:sz w:val="24"/>
          <w:szCs w:val="24"/>
        </w:rPr>
        <w:t>.</w:t>
      </w:r>
      <w:r w:rsidRPr="00C33068" w:rsidR="00F2433E">
        <w:rPr>
          <w:rFonts w:ascii="Times New Roman" w:hAnsi="Times New Roman"/>
          <w:sz w:val="24"/>
          <w:szCs w:val="24"/>
        </w:rPr>
        <w:t xml:space="preserve"> </w:t>
      </w:r>
    </w:p>
    <w:p w:rsidR="00CB12EE" w:rsidRPr="00C33068" w:rsidP="00CB12EE">
      <w:pPr>
        <w:bidi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71"/>
        <w:gridCol w:w="1701"/>
      </w:tblGrid>
      <w:tr>
        <w:tblPrEx>
          <w:tblW w:w="90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CB12EE" w:rsidRPr="00C33068" w:rsidP="00DB6BE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Implicitné záväzky – scenár nezmenených politík (hodnota k roku 2014, v % HDP)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bottom"/>
            <w:hideMark/>
          </w:tcPr>
          <w:p w:rsidR="00CB12EE" w:rsidRPr="00C33068" w:rsidP="00DB6B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B12EE" w:rsidRPr="00C33068" w:rsidP="00DB6B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B12EE" w:rsidRPr="00C33068" w:rsidP="00DB6BE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1. Vplyv starnutia populácie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B12EE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 w:rsidR="004005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</w:t>
            </w:r>
            <w:r w:rsidRPr="00C33068" w:rsidR="004F7E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30</w:t>
            </w:r>
            <w:r w:rsidRPr="00C33068" w:rsidR="00512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,</w:t>
            </w:r>
            <w:r w:rsidRPr="00C33068" w:rsidR="004F7E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B12EE" w:rsidRPr="00C33068" w:rsidP="00DB6BE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2. Vplyv PPP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B12EE" w:rsidRPr="00C33068" w:rsidP="00B415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 w:rsidR="00512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2,</w:t>
            </w:r>
            <w:r w:rsidRPr="00C33068" w:rsidR="00B415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7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B12EE" w:rsidRPr="00C33068" w:rsidP="00DB6BE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3. Vplyv Národného jadrového fondu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B12EE" w:rsidRPr="00C33068" w:rsidP="00B415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 w:rsidR="005633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  <w:r w:rsidRPr="00C33068" w:rsidR="00512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3,</w:t>
            </w:r>
            <w:r w:rsidRPr="00C33068" w:rsidR="00B4156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5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B12EE" w:rsidRPr="00C33068" w:rsidP="00DB6BE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4. Celková výška implicitných záväzkov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B12EE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 w:rsidR="00512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22</w:t>
            </w:r>
            <w:r w:rsidRPr="00C33068" w:rsidR="004F7E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9</w:t>
            </w:r>
            <w:r w:rsidRPr="00C33068" w:rsidR="00512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,</w:t>
            </w:r>
            <w:r w:rsidRPr="00C33068" w:rsidR="004F7E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>
        <w:tblPrEx>
          <w:tblW w:w="907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7"/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B12EE" w:rsidRPr="00C33068" w:rsidP="00DB6BE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* (-) pokles a (+) nárast implicitných záväzkov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B12EE" w:rsidRPr="00C33068" w:rsidP="00DB6BE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Zdroj: MF SR</w:t>
            </w:r>
          </w:p>
        </w:tc>
      </w:tr>
    </w:tbl>
    <w:p w:rsidR="00CB12EE" w:rsidRPr="00C33068" w:rsidP="00CB12EE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52219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33068" w:rsidR="00CB12EE">
        <w:rPr>
          <w:rFonts w:ascii="Times New Roman" w:hAnsi="Times New Roman" w:hint="default"/>
          <w:sz w:val="24"/>
        </w:rPr>
        <w:t>Celkové</w:t>
      </w:r>
      <w:r w:rsidRPr="00C33068" w:rsidR="00CB12EE">
        <w:rPr>
          <w:rFonts w:ascii="Times New Roman" w:hAnsi="Times New Roman" w:hint="default"/>
          <w:sz w:val="24"/>
        </w:rPr>
        <w:t xml:space="preserve"> implicitné</w:t>
      </w:r>
      <w:r w:rsidRPr="00C33068" w:rsidR="00CB12EE">
        <w:rPr>
          <w:rFonts w:ascii="Times New Roman" w:hAnsi="Times New Roman" w:hint="default"/>
          <w:sz w:val="24"/>
        </w:rPr>
        <w:t xml:space="preserve"> zá</w:t>
      </w:r>
      <w:r w:rsidRPr="00C33068" w:rsidR="00CB12EE">
        <w:rPr>
          <w:rFonts w:ascii="Times New Roman" w:hAnsi="Times New Roman" w:hint="default"/>
          <w:sz w:val="24"/>
        </w:rPr>
        <w:t>vä</w:t>
      </w:r>
      <w:r w:rsidRPr="00C33068" w:rsidR="00CB12EE">
        <w:rPr>
          <w:rFonts w:ascii="Times New Roman" w:hAnsi="Times New Roman" w:hint="default"/>
          <w:sz w:val="24"/>
        </w:rPr>
        <w:t>zky dosiahli 2</w:t>
      </w:r>
      <w:r w:rsidRPr="00C33068" w:rsidR="005124E5">
        <w:rPr>
          <w:rFonts w:ascii="Times New Roman" w:hAnsi="Times New Roman"/>
          <w:sz w:val="24"/>
        </w:rPr>
        <w:t>2</w:t>
      </w:r>
      <w:r w:rsidRPr="00C33068" w:rsidR="004F7E82">
        <w:rPr>
          <w:rFonts w:ascii="Times New Roman" w:hAnsi="Times New Roman"/>
          <w:sz w:val="24"/>
        </w:rPr>
        <w:t>9</w:t>
      </w:r>
      <w:r w:rsidRPr="00C33068" w:rsidR="005124E5">
        <w:rPr>
          <w:rFonts w:ascii="Times New Roman" w:hAnsi="Times New Roman"/>
          <w:sz w:val="24"/>
        </w:rPr>
        <w:t>,</w:t>
      </w:r>
      <w:r w:rsidRPr="00C33068" w:rsidR="004F7E82">
        <w:rPr>
          <w:rFonts w:ascii="Times New Roman" w:hAnsi="Times New Roman"/>
          <w:sz w:val="24"/>
        </w:rPr>
        <w:t>2</w:t>
      </w:r>
      <w:r w:rsidRPr="00C33068" w:rsidR="00CB12EE">
        <w:rPr>
          <w:rFonts w:ascii="Times New Roman" w:hAnsi="Times New Roman"/>
          <w:sz w:val="24"/>
        </w:rPr>
        <w:t xml:space="preserve"> % HDP </w:t>
      </w:r>
      <w:r w:rsidRPr="00C33068" w:rsidR="00563367">
        <w:rPr>
          <w:rFonts w:ascii="Times New Roman" w:hAnsi="Times New Roman"/>
          <w:sz w:val="24"/>
        </w:rPr>
        <w:t>k</w:t>
      </w:r>
      <w:r w:rsidRPr="00C33068" w:rsidR="00CB12EE">
        <w:rPr>
          <w:rFonts w:ascii="Times New Roman" w:hAnsi="Times New Roman"/>
          <w:sz w:val="24"/>
        </w:rPr>
        <w:t> </w:t>
      </w:r>
      <w:r w:rsidRPr="00C33068" w:rsidR="00CB12EE">
        <w:rPr>
          <w:rFonts w:ascii="Times New Roman" w:hAnsi="Times New Roman"/>
          <w:sz w:val="24"/>
        </w:rPr>
        <w:t>roku 2014. V </w:t>
      </w:r>
      <w:r w:rsidRPr="00C33068" w:rsidR="00CB12EE">
        <w:rPr>
          <w:rFonts w:ascii="Times New Roman" w:hAnsi="Times New Roman" w:hint="default"/>
          <w:sz w:val="24"/>
        </w:rPr>
        <w:t>porovnaní</w:t>
      </w:r>
      <w:r w:rsidRPr="00C33068" w:rsidR="00CB12EE">
        <w:rPr>
          <w:rFonts w:ascii="Times New Roman" w:hAnsi="Times New Roman" w:hint="default"/>
          <w:sz w:val="24"/>
        </w:rPr>
        <w:t xml:space="preserve"> s </w:t>
      </w:r>
      <w:r w:rsidRPr="00C33068" w:rsidR="00CB12EE">
        <w:rPr>
          <w:rFonts w:ascii="Times New Roman" w:hAnsi="Times New Roman" w:hint="default"/>
          <w:sz w:val="24"/>
        </w:rPr>
        <w:t>ú</w:t>
      </w:r>
      <w:r w:rsidRPr="00C33068" w:rsidR="00CB12EE">
        <w:rPr>
          <w:rFonts w:ascii="Times New Roman" w:hAnsi="Times New Roman" w:hint="default"/>
          <w:sz w:val="24"/>
        </w:rPr>
        <w:t>dajmi prezentovaný</w:t>
      </w:r>
      <w:r w:rsidRPr="00C33068" w:rsidR="00CB12EE">
        <w:rPr>
          <w:rFonts w:ascii="Times New Roman" w:hAnsi="Times New Roman" w:hint="default"/>
          <w:sz w:val="24"/>
        </w:rPr>
        <w:t>mi v rozp</w:t>
      </w:r>
      <w:r w:rsidRPr="00C33068" w:rsidR="00CB12EE">
        <w:rPr>
          <w:rFonts w:ascii="Times New Roman" w:hAnsi="Times New Roman" w:hint="default"/>
          <w:sz w:val="24"/>
        </w:rPr>
        <w:t>oč</w:t>
      </w:r>
      <w:r w:rsidRPr="00C33068" w:rsidR="00CB12EE">
        <w:rPr>
          <w:rFonts w:ascii="Times New Roman" w:hAnsi="Times New Roman" w:hint="default"/>
          <w:sz w:val="24"/>
        </w:rPr>
        <w:t>te verejnej sprá</w:t>
      </w:r>
      <w:r w:rsidRPr="00C33068" w:rsidR="00CB12EE">
        <w:rPr>
          <w:rFonts w:ascii="Times New Roman" w:hAnsi="Times New Roman" w:hint="default"/>
          <w:sz w:val="24"/>
        </w:rPr>
        <w:t>vy na roky 2014 až</w:t>
      </w:r>
      <w:r w:rsidRPr="00C33068" w:rsidR="00CB12EE">
        <w:rPr>
          <w:rFonts w:ascii="Times New Roman" w:hAnsi="Times New Roman" w:hint="default"/>
          <w:sz w:val="24"/>
        </w:rPr>
        <w:t xml:space="preserve"> 2016 (implicitné</w:t>
      </w:r>
      <w:r w:rsidRPr="00C33068" w:rsidR="00CB12EE">
        <w:rPr>
          <w:rFonts w:ascii="Times New Roman" w:hAnsi="Times New Roman" w:hint="default"/>
          <w:sz w:val="24"/>
        </w:rPr>
        <w:t xml:space="preserve"> zá</w:t>
      </w:r>
      <w:r w:rsidRPr="00C33068" w:rsidR="00CB12EE">
        <w:rPr>
          <w:rFonts w:ascii="Times New Roman" w:hAnsi="Times New Roman" w:hint="default"/>
          <w:sz w:val="24"/>
        </w:rPr>
        <w:t>vä</w:t>
      </w:r>
      <w:r w:rsidRPr="00C33068" w:rsidR="00CB12EE">
        <w:rPr>
          <w:rFonts w:ascii="Times New Roman" w:hAnsi="Times New Roman" w:hint="default"/>
          <w:sz w:val="24"/>
        </w:rPr>
        <w:t>zky vo výš</w:t>
      </w:r>
      <w:r w:rsidRPr="00C33068" w:rsidR="00CB12EE">
        <w:rPr>
          <w:rFonts w:ascii="Times New Roman" w:hAnsi="Times New Roman" w:hint="default"/>
          <w:sz w:val="24"/>
        </w:rPr>
        <w:t>ke 229</w:t>
      </w:r>
      <w:r w:rsidRPr="00C33068" w:rsidR="005124E5">
        <w:rPr>
          <w:rFonts w:ascii="Times New Roman" w:hAnsi="Times New Roman"/>
          <w:sz w:val="24"/>
        </w:rPr>
        <w:t>,3</w:t>
      </w:r>
      <w:r w:rsidRPr="00C33068" w:rsidR="00CB12EE">
        <w:rPr>
          <w:rFonts w:ascii="Times New Roman" w:hAnsi="Times New Roman" w:hint="default"/>
          <w:sz w:val="24"/>
        </w:rPr>
        <w:t xml:space="preserve"> % HDP) doš</w:t>
      </w:r>
      <w:r w:rsidRPr="00C33068" w:rsidR="00CB12EE">
        <w:rPr>
          <w:rFonts w:ascii="Times New Roman" w:hAnsi="Times New Roman" w:hint="default"/>
          <w:sz w:val="24"/>
        </w:rPr>
        <w:t>lo k</w:t>
      </w:r>
      <w:r w:rsidRPr="00C33068" w:rsidR="005211E9">
        <w:rPr>
          <w:rFonts w:ascii="Times New Roman" w:hAnsi="Times New Roman"/>
          <w:sz w:val="24"/>
        </w:rPr>
        <w:t> </w:t>
      </w:r>
      <w:r w:rsidRPr="00C33068" w:rsidR="005211E9">
        <w:rPr>
          <w:rFonts w:ascii="Times New Roman" w:hAnsi="Times New Roman" w:hint="default"/>
          <w:sz w:val="24"/>
        </w:rPr>
        <w:t>malý</w:t>
      </w:r>
      <w:r w:rsidRPr="00C33068" w:rsidR="005211E9">
        <w:rPr>
          <w:rFonts w:ascii="Times New Roman" w:hAnsi="Times New Roman" w:hint="default"/>
          <w:sz w:val="24"/>
        </w:rPr>
        <w:t xml:space="preserve">m </w:t>
      </w:r>
      <w:r w:rsidRPr="00C33068" w:rsidR="00CB12EE">
        <w:rPr>
          <w:rFonts w:ascii="Times New Roman" w:hAnsi="Times New Roman" w:hint="default"/>
          <w:sz w:val="24"/>
        </w:rPr>
        <w:t>zmená</w:t>
      </w:r>
      <w:r w:rsidRPr="00C33068" w:rsidR="00CB12EE">
        <w:rPr>
          <w:rFonts w:ascii="Times New Roman" w:hAnsi="Times New Roman" w:hint="default"/>
          <w:sz w:val="24"/>
        </w:rPr>
        <w:t>m, ktoré</w:t>
      </w:r>
      <w:r w:rsidRPr="00C33068" w:rsidR="00CB12EE">
        <w:rPr>
          <w:rFonts w:ascii="Times New Roman" w:hAnsi="Times New Roman" w:hint="default"/>
          <w:sz w:val="24"/>
        </w:rPr>
        <w:t xml:space="preserve"> </w:t>
      </w:r>
      <w:r w:rsidRPr="00C33068" w:rsidR="005211E9">
        <w:rPr>
          <w:rFonts w:ascii="Times New Roman" w:hAnsi="Times New Roman" w:hint="default"/>
          <w:sz w:val="24"/>
        </w:rPr>
        <w:t>zanedbateľ</w:t>
      </w:r>
      <w:r w:rsidRPr="00C33068" w:rsidR="005211E9">
        <w:rPr>
          <w:rFonts w:ascii="Times New Roman" w:hAnsi="Times New Roman" w:hint="default"/>
          <w:sz w:val="24"/>
        </w:rPr>
        <w:t xml:space="preserve">ne </w:t>
      </w:r>
      <w:r w:rsidRPr="00C33068" w:rsidR="00CB12EE">
        <w:rPr>
          <w:rFonts w:ascii="Times New Roman" w:hAnsi="Times New Roman" w:hint="default"/>
          <w:sz w:val="24"/>
        </w:rPr>
        <w:t>ovplyvnili vý</w:t>
      </w:r>
      <w:r w:rsidRPr="00C33068" w:rsidR="00CB12EE">
        <w:rPr>
          <w:rFonts w:ascii="Times New Roman" w:hAnsi="Times New Roman" w:hint="default"/>
          <w:sz w:val="24"/>
        </w:rPr>
        <w:t>slednú</w:t>
      </w:r>
      <w:r w:rsidRPr="00C33068" w:rsidR="00CB12EE">
        <w:rPr>
          <w:rFonts w:ascii="Times New Roman" w:hAnsi="Times New Roman" w:hint="default"/>
          <w:sz w:val="24"/>
        </w:rPr>
        <w:t xml:space="preserve"> hodnotu implicitný</w:t>
      </w:r>
      <w:r w:rsidRPr="00C33068" w:rsidR="00CB12EE">
        <w:rPr>
          <w:rFonts w:ascii="Times New Roman" w:hAnsi="Times New Roman" w:hint="default"/>
          <w:sz w:val="24"/>
        </w:rPr>
        <w:t>ch zá</w:t>
      </w:r>
      <w:r w:rsidRPr="00C33068" w:rsidR="00CB12EE">
        <w:rPr>
          <w:rFonts w:ascii="Times New Roman" w:hAnsi="Times New Roman" w:hint="default"/>
          <w:sz w:val="24"/>
        </w:rPr>
        <w:t>vä</w:t>
      </w:r>
      <w:r w:rsidRPr="00C33068" w:rsidR="00CB12EE">
        <w:rPr>
          <w:rFonts w:ascii="Times New Roman" w:hAnsi="Times New Roman" w:hint="default"/>
          <w:sz w:val="24"/>
        </w:rPr>
        <w:t xml:space="preserve">zkov. </w:t>
      </w:r>
      <w:r w:rsidRPr="00C33068">
        <w:rPr>
          <w:rFonts w:ascii="Times New Roman" w:hAnsi="Times New Roman"/>
          <w:sz w:val="24"/>
        </w:rPr>
        <w:t>Zmeny z </w:t>
      </w:r>
      <w:r w:rsidRPr="00C33068">
        <w:rPr>
          <w:rFonts w:ascii="Times New Roman" w:hAnsi="Times New Roman" w:hint="default"/>
          <w:sz w:val="24"/>
        </w:rPr>
        <w:t>dô</w:t>
      </w:r>
      <w:r w:rsidRPr="00C33068">
        <w:rPr>
          <w:rFonts w:ascii="Times New Roman" w:hAnsi="Times New Roman" w:hint="default"/>
          <w:sz w:val="24"/>
        </w:rPr>
        <w:t>vodu aktualizá</w:t>
      </w:r>
      <w:r w:rsidRPr="00C33068">
        <w:rPr>
          <w:rFonts w:ascii="Times New Roman" w:hAnsi="Times New Roman" w:hint="default"/>
          <w:sz w:val="24"/>
        </w:rPr>
        <w:t>cie scená</w:t>
      </w:r>
      <w:r w:rsidRPr="00C33068">
        <w:rPr>
          <w:rFonts w:ascii="Times New Roman" w:hAnsi="Times New Roman" w:hint="default"/>
          <w:sz w:val="24"/>
        </w:rPr>
        <w:t>ra nezmenený</w:t>
      </w:r>
      <w:r w:rsidRPr="00C33068">
        <w:rPr>
          <w:rFonts w:ascii="Times New Roman" w:hAnsi="Times New Roman" w:hint="default"/>
          <w:sz w:val="24"/>
        </w:rPr>
        <w:t>ch polití</w:t>
      </w:r>
      <w:r w:rsidRPr="00C33068">
        <w:rPr>
          <w:rFonts w:ascii="Times New Roman" w:hAnsi="Times New Roman" w:hint="default"/>
          <w:sz w:val="24"/>
        </w:rPr>
        <w:t>k nastá</w:t>
      </w:r>
      <w:r w:rsidRPr="00C33068">
        <w:rPr>
          <w:rFonts w:ascii="Times New Roman" w:hAnsi="Times New Roman" w:hint="default"/>
          <w:sz w:val="24"/>
        </w:rPr>
        <w:t>vajú</w:t>
      </w:r>
      <w:r w:rsidRPr="00C33068">
        <w:rPr>
          <w:rFonts w:ascii="Times New Roman" w:hAnsi="Times New Roman" w:hint="default"/>
          <w:sz w:val="24"/>
        </w:rPr>
        <w:t xml:space="preserve"> kaž</w:t>
      </w:r>
      <w:r w:rsidRPr="00C33068">
        <w:rPr>
          <w:rFonts w:ascii="Times New Roman" w:hAnsi="Times New Roman" w:hint="default"/>
          <w:sz w:val="24"/>
        </w:rPr>
        <w:t>doroč</w:t>
      </w:r>
      <w:r w:rsidRPr="00C33068">
        <w:rPr>
          <w:rFonts w:ascii="Times New Roman" w:hAnsi="Times New Roman" w:hint="default"/>
          <w:sz w:val="24"/>
        </w:rPr>
        <w:t xml:space="preserve">ne aj </w:t>
      </w:r>
      <w:r w:rsidRPr="00C33068">
        <w:rPr>
          <w:rFonts w:ascii="Times New Roman" w:hAnsi="Times New Roman" w:hint="default"/>
          <w:sz w:val="24"/>
        </w:rPr>
        <w:t>bez legislatí</w:t>
      </w:r>
      <w:r w:rsidRPr="00C33068">
        <w:rPr>
          <w:rFonts w:ascii="Times New Roman" w:hAnsi="Times New Roman" w:hint="default"/>
          <w:sz w:val="24"/>
        </w:rPr>
        <w:t>vnych zmien ovplyvň</w:t>
      </w:r>
      <w:r w:rsidRPr="00C33068">
        <w:rPr>
          <w:rFonts w:ascii="Times New Roman" w:hAnsi="Times New Roman" w:hint="default"/>
          <w:sz w:val="24"/>
        </w:rPr>
        <w:t>ujú</w:t>
      </w:r>
      <w:r w:rsidRPr="00C33068">
        <w:rPr>
          <w:rFonts w:ascii="Times New Roman" w:hAnsi="Times New Roman" w:hint="default"/>
          <w:sz w:val="24"/>
        </w:rPr>
        <w:t>cich dlhdodobú</w:t>
      </w:r>
      <w:r w:rsidRPr="00C33068">
        <w:rPr>
          <w:rFonts w:ascii="Times New Roman" w:hAnsi="Times New Roman" w:hint="default"/>
          <w:sz w:val="24"/>
        </w:rPr>
        <w:t xml:space="preserve"> udrž</w:t>
      </w:r>
      <w:r w:rsidRPr="00C33068">
        <w:rPr>
          <w:rFonts w:ascii="Times New Roman" w:hAnsi="Times New Roman" w:hint="default"/>
          <w:sz w:val="24"/>
        </w:rPr>
        <w:t>ateľ</w:t>
      </w:r>
      <w:r w:rsidRPr="00C33068">
        <w:rPr>
          <w:rFonts w:ascii="Times New Roman" w:hAnsi="Times New Roman" w:hint="default"/>
          <w:sz w:val="24"/>
        </w:rPr>
        <w:t>nosť.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3"/>
      </w:r>
      <w:r w:rsidRPr="00C33068">
        <w:rPr>
          <w:rFonts w:ascii="Times New Roman" w:hAnsi="Times New Roman"/>
          <w:sz w:val="24"/>
        </w:rPr>
        <w:t xml:space="preserve"> </w:t>
      </w:r>
    </w:p>
    <w:p w:rsidR="00E30C89" w:rsidRPr="00C33068" w:rsidP="00CB12EE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2EE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33068" w:rsidR="00842968">
        <w:rPr>
          <w:rFonts w:ascii="Times New Roman" w:hAnsi="Times New Roman"/>
          <w:sz w:val="24"/>
        </w:rPr>
        <w:t>V </w:t>
      </w:r>
      <w:r w:rsidRPr="00C33068" w:rsidR="00842968">
        <w:rPr>
          <w:rFonts w:ascii="Times New Roman" w:hAnsi="Times New Roman" w:hint="default"/>
          <w:sz w:val="24"/>
        </w:rPr>
        <w:t>aktuá</w:t>
      </w:r>
      <w:r w:rsidRPr="00C33068" w:rsidR="00842968">
        <w:rPr>
          <w:rFonts w:ascii="Times New Roman" w:hAnsi="Times New Roman" w:hint="default"/>
          <w:sz w:val="24"/>
        </w:rPr>
        <w:t>lnej verzi</w:t>
      </w:r>
      <w:r w:rsidRPr="00C33068" w:rsidR="00247489">
        <w:rPr>
          <w:rFonts w:ascii="Times New Roman" w:hAnsi="Times New Roman"/>
          <w:sz w:val="24"/>
        </w:rPr>
        <w:t>i</w:t>
      </w:r>
      <w:r w:rsidRPr="00C33068" w:rsidR="00842968">
        <w:rPr>
          <w:rFonts w:ascii="Times New Roman" w:hAnsi="Times New Roman"/>
          <w:sz w:val="24"/>
        </w:rPr>
        <w:t xml:space="preserve"> </w:t>
      </w:r>
      <w:r w:rsidRPr="00C33068" w:rsidR="00563367">
        <w:rPr>
          <w:rFonts w:ascii="Times New Roman" w:hAnsi="Times New Roman"/>
          <w:sz w:val="24"/>
        </w:rPr>
        <w:t xml:space="preserve">pribudla aj </w:t>
      </w:r>
      <w:r w:rsidRPr="00C33068">
        <w:rPr>
          <w:rFonts w:ascii="Times New Roman" w:hAnsi="Times New Roman" w:hint="default"/>
          <w:sz w:val="24"/>
        </w:rPr>
        <w:t>kvantifiká</w:t>
      </w:r>
      <w:r w:rsidRPr="00C33068">
        <w:rPr>
          <w:rFonts w:ascii="Times New Roman" w:hAnsi="Times New Roman" w:hint="default"/>
          <w:sz w:val="24"/>
        </w:rPr>
        <w:t>cia vplyvu zá</w:t>
      </w:r>
      <w:r w:rsidRPr="00C33068">
        <w:rPr>
          <w:rFonts w:ascii="Times New Roman" w:hAnsi="Times New Roman" w:hint="default"/>
          <w:sz w:val="24"/>
        </w:rPr>
        <w:t>vä</w:t>
      </w:r>
      <w:r w:rsidRPr="00C33068">
        <w:rPr>
          <w:rFonts w:ascii="Times New Roman" w:hAnsi="Times New Roman" w:hint="default"/>
          <w:sz w:val="24"/>
        </w:rPr>
        <w:t>zkov Ná</w:t>
      </w:r>
      <w:r w:rsidRPr="00C33068">
        <w:rPr>
          <w:rFonts w:ascii="Times New Roman" w:hAnsi="Times New Roman" w:hint="default"/>
          <w:sz w:val="24"/>
        </w:rPr>
        <w:t>rodné</w:t>
      </w:r>
      <w:r w:rsidRPr="00C33068">
        <w:rPr>
          <w:rFonts w:ascii="Times New Roman" w:hAnsi="Times New Roman" w:hint="default"/>
          <w:sz w:val="24"/>
        </w:rPr>
        <w:t>ho jadrové</w:t>
      </w:r>
      <w:r w:rsidRPr="00C33068">
        <w:rPr>
          <w:rFonts w:ascii="Times New Roman" w:hAnsi="Times New Roman" w:hint="default"/>
          <w:sz w:val="24"/>
        </w:rPr>
        <w:t xml:space="preserve">ho fondu. </w:t>
      </w:r>
      <w:r w:rsidRPr="00C33068" w:rsidR="00E30C89">
        <w:rPr>
          <w:rFonts w:ascii="Times New Roman" w:hAnsi="Times New Roman"/>
          <w:sz w:val="24"/>
        </w:rPr>
        <w:t>Ide o </w:t>
      </w:r>
      <w:r w:rsidRPr="00C33068" w:rsidR="00E30C89">
        <w:rPr>
          <w:rFonts w:ascii="Times New Roman" w:hAnsi="Times New Roman" w:hint="default"/>
          <w:sz w:val="24"/>
        </w:rPr>
        <w:t>systé</w:t>
      </w:r>
      <w:r w:rsidRPr="00C33068" w:rsidR="00E30C89">
        <w:rPr>
          <w:rFonts w:ascii="Times New Roman" w:hAnsi="Times New Roman" w:hint="default"/>
          <w:sz w:val="24"/>
        </w:rPr>
        <w:t>m financovania vyraď</w:t>
      </w:r>
      <w:r w:rsidRPr="00C33068" w:rsidR="00E30C89">
        <w:rPr>
          <w:rFonts w:ascii="Times New Roman" w:hAnsi="Times New Roman" w:hint="default"/>
          <w:sz w:val="24"/>
        </w:rPr>
        <w:t>ovania jadrový</w:t>
      </w:r>
      <w:r w:rsidRPr="00C33068" w:rsidR="00E30C89">
        <w:rPr>
          <w:rFonts w:ascii="Times New Roman" w:hAnsi="Times New Roman" w:hint="default"/>
          <w:sz w:val="24"/>
        </w:rPr>
        <w:t>ch zariadení</w:t>
      </w:r>
      <w:r w:rsidRPr="00C33068" w:rsidR="00E30C89">
        <w:rPr>
          <w:rFonts w:ascii="Times New Roman" w:hAnsi="Times New Roman" w:hint="default"/>
          <w:sz w:val="24"/>
        </w:rPr>
        <w:t>, prič</w:t>
      </w:r>
      <w:r w:rsidRPr="00C33068" w:rsidR="00E30C89">
        <w:rPr>
          <w:rFonts w:ascii="Times New Roman" w:hAnsi="Times New Roman" w:hint="default"/>
          <w:sz w:val="24"/>
        </w:rPr>
        <w:t>om veľ</w:t>
      </w:r>
      <w:r w:rsidRPr="00C33068" w:rsidR="00E30C89">
        <w:rPr>
          <w:rFonts w:ascii="Times New Roman" w:hAnsi="Times New Roman" w:hint="default"/>
          <w:sz w:val="24"/>
        </w:rPr>
        <w:t>kosť</w:t>
      </w:r>
      <w:r w:rsidRPr="00C33068" w:rsidR="00E30C89">
        <w:rPr>
          <w:rFonts w:ascii="Times New Roman" w:hAnsi="Times New Roman" w:hint="default"/>
          <w:sz w:val="24"/>
        </w:rPr>
        <w:t xml:space="preserve"> budú</w:t>
      </w:r>
      <w:r w:rsidRPr="00C33068" w:rsidR="00E30C89">
        <w:rPr>
          <w:rFonts w:ascii="Times New Roman" w:hAnsi="Times New Roman" w:hint="default"/>
          <w:sz w:val="24"/>
        </w:rPr>
        <w:t>cich ná</w:t>
      </w:r>
      <w:r w:rsidRPr="00C33068" w:rsidR="00E30C89">
        <w:rPr>
          <w:rFonts w:ascii="Times New Roman" w:hAnsi="Times New Roman" w:hint="default"/>
          <w:sz w:val="24"/>
        </w:rPr>
        <w:t>kladov vý</w:t>
      </w:r>
      <w:r w:rsidRPr="00C33068" w:rsidR="00E30C89">
        <w:rPr>
          <w:rFonts w:ascii="Times New Roman" w:hAnsi="Times New Roman" w:hint="default"/>
          <w:sz w:val="24"/>
        </w:rPr>
        <w:t>raznejš</w:t>
      </w:r>
      <w:r w:rsidRPr="00C33068" w:rsidR="00E30C89">
        <w:rPr>
          <w:rFonts w:ascii="Times New Roman" w:hAnsi="Times New Roman" w:hint="default"/>
          <w:sz w:val="24"/>
        </w:rPr>
        <w:t>ie porastie kvô</w:t>
      </w:r>
      <w:r w:rsidRPr="00C33068" w:rsidR="00E30C89">
        <w:rPr>
          <w:rFonts w:ascii="Times New Roman" w:hAnsi="Times New Roman" w:hint="default"/>
          <w:sz w:val="24"/>
        </w:rPr>
        <w:t>li zvyš</w:t>
      </w:r>
      <w:r w:rsidRPr="00C33068" w:rsidR="00E30C89">
        <w:rPr>
          <w:rFonts w:ascii="Times New Roman" w:hAnsi="Times New Roman" w:hint="default"/>
          <w:sz w:val="24"/>
        </w:rPr>
        <w:t>ujú</w:t>
      </w:r>
      <w:r w:rsidRPr="00C33068" w:rsidR="00E30C89">
        <w:rPr>
          <w:rFonts w:ascii="Times New Roman" w:hAnsi="Times New Roman" w:hint="default"/>
          <w:sz w:val="24"/>
        </w:rPr>
        <w:t>cim sa ná</w:t>
      </w:r>
      <w:r w:rsidRPr="00C33068" w:rsidR="00E30C89">
        <w:rPr>
          <w:rFonts w:ascii="Times New Roman" w:hAnsi="Times New Roman" w:hint="default"/>
          <w:sz w:val="24"/>
        </w:rPr>
        <w:t>kladom na skladovanie a </w:t>
      </w:r>
      <w:r w:rsidRPr="00C33068" w:rsidR="00E30C89">
        <w:rPr>
          <w:rFonts w:ascii="Times New Roman" w:hAnsi="Times New Roman" w:hint="default"/>
          <w:sz w:val="24"/>
        </w:rPr>
        <w:t>likvidá</w:t>
      </w:r>
      <w:r w:rsidRPr="00C33068" w:rsidR="00E30C89">
        <w:rPr>
          <w:rFonts w:ascii="Times New Roman" w:hAnsi="Times New Roman" w:hint="default"/>
          <w:sz w:val="24"/>
        </w:rPr>
        <w:t>ciu jadrové</w:t>
      </w:r>
      <w:r w:rsidRPr="00C33068" w:rsidR="00E30C89">
        <w:rPr>
          <w:rFonts w:ascii="Times New Roman" w:hAnsi="Times New Roman" w:hint="default"/>
          <w:sz w:val="24"/>
        </w:rPr>
        <w:t>ho odpadu. V </w:t>
      </w:r>
      <w:r w:rsidRPr="00C33068" w:rsidR="00E30C89">
        <w:rPr>
          <w:rFonts w:ascii="Times New Roman" w:hAnsi="Times New Roman" w:hint="default"/>
          <w:sz w:val="24"/>
        </w:rPr>
        <w:t>celom horizonte, najmä</w:t>
      </w:r>
      <w:r w:rsidRPr="00C33068" w:rsidR="00E30C89">
        <w:rPr>
          <w:rFonts w:ascii="Times New Roman" w:hAnsi="Times New Roman" w:hint="default"/>
          <w:sz w:val="24"/>
        </w:rPr>
        <w:t xml:space="preserve"> vď</w:t>
      </w:r>
      <w:r w:rsidRPr="00C33068" w:rsidR="00E30C89">
        <w:rPr>
          <w:rFonts w:ascii="Times New Roman" w:hAnsi="Times New Roman" w:hint="default"/>
          <w:sz w:val="24"/>
        </w:rPr>
        <w:t>aka kladný</w:t>
      </w:r>
      <w:r w:rsidRPr="00C33068" w:rsidR="00E30C89">
        <w:rPr>
          <w:rFonts w:ascii="Times New Roman" w:hAnsi="Times New Roman" w:hint="default"/>
          <w:sz w:val="24"/>
        </w:rPr>
        <w:t>m schodkom systé</w:t>
      </w:r>
      <w:r w:rsidRPr="00C33068" w:rsidR="00E30C89">
        <w:rPr>
          <w:rFonts w:ascii="Times New Roman" w:hAnsi="Times New Roman" w:hint="default"/>
          <w:sz w:val="24"/>
        </w:rPr>
        <w:t>mu v </w:t>
      </w:r>
      <w:r w:rsidRPr="00C33068" w:rsidR="00E30C89">
        <w:rPr>
          <w:rFonts w:ascii="Times New Roman" w:hAnsi="Times New Roman" w:hint="default"/>
          <w:sz w:val="24"/>
        </w:rPr>
        <w:t>prvý</w:t>
      </w:r>
      <w:r w:rsidRPr="00C33068" w:rsidR="00E30C89">
        <w:rPr>
          <w:rFonts w:ascii="Times New Roman" w:hAnsi="Times New Roman" w:hint="default"/>
          <w:sz w:val="24"/>
        </w:rPr>
        <w:t xml:space="preserve">ch </w:t>
      </w:r>
      <w:r w:rsidRPr="00C33068" w:rsidR="00C1232F">
        <w:rPr>
          <w:rFonts w:ascii="Times New Roman" w:hAnsi="Times New Roman" w:hint="default"/>
          <w:sz w:val="24"/>
        </w:rPr>
        <w:t>deká</w:t>
      </w:r>
      <w:r w:rsidRPr="00C33068" w:rsidR="00C1232F">
        <w:rPr>
          <w:rFonts w:ascii="Times New Roman" w:hAnsi="Times New Roman" w:hint="default"/>
          <w:sz w:val="24"/>
        </w:rPr>
        <w:t>dach, je vplyv zahrnutia Ná</w:t>
      </w:r>
      <w:r w:rsidRPr="00C33068" w:rsidR="00C1232F">
        <w:rPr>
          <w:rFonts w:ascii="Times New Roman" w:hAnsi="Times New Roman" w:hint="default"/>
          <w:sz w:val="24"/>
        </w:rPr>
        <w:t>rodné</w:t>
      </w:r>
      <w:r w:rsidRPr="00C33068" w:rsidR="00C1232F">
        <w:rPr>
          <w:rFonts w:ascii="Times New Roman" w:hAnsi="Times New Roman" w:hint="default"/>
          <w:sz w:val="24"/>
        </w:rPr>
        <w:t>ho jadrové</w:t>
      </w:r>
      <w:r w:rsidRPr="00C33068" w:rsidR="00C1232F">
        <w:rPr>
          <w:rFonts w:ascii="Times New Roman" w:hAnsi="Times New Roman" w:hint="default"/>
          <w:sz w:val="24"/>
        </w:rPr>
        <w:t>ho fondu kladný</w:t>
      </w:r>
      <w:r w:rsidRPr="00C33068" w:rsidR="00C1232F">
        <w:rPr>
          <w:rFonts w:ascii="Times New Roman" w:hAnsi="Times New Roman" w:hint="default"/>
          <w:sz w:val="24"/>
        </w:rPr>
        <w:t xml:space="preserve"> a </w:t>
      </w:r>
      <w:r w:rsidRPr="00C33068" w:rsidR="00C1232F">
        <w:rPr>
          <w:rFonts w:ascii="Times New Roman" w:hAnsi="Times New Roman" w:hint="default"/>
          <w:sz w:val="24"/>
        </w:rPr>
        <w:t>zniž</w:t>
      </w:r>
      <w:r w:rsidRPr="00C33068" w:rsidR="00C1232F">
        <w:rPr>
          <w:rFonts w:ascii="Times New Roman" w:hAnsi="Times New Roman" w:hint="default"/>
          <w:sz w:val="24"/>
        </w:rPr>
        <w:t>uje celkové</w:t>
      </w:r>
      <w:r w:rsidRPr="00C33068" w:rsidR="00C1232F">
        <w:rPr>
          <w:rFonts w:ascii="Times New Roman" w:hAnsi="Times New Roman" w:hint="default"/>
          <w:sz w:val="24"/>
        </w:rPr>
        <w:t xml:space="preserve"> implicitné</w:t>
      </w:r>
      <w:r w:rsidRPr="00C33068" w:rsidR="00C1232F">
        <w:rPr>
          <w:rFonts w:ascii="Times New Roman" w:hAnsi="Times New Roman" w:hint="default"/>
          <w:sz w:val="24"/>
        </w:rPr>
        <w:t xml:space="preserve"> zá</w:t>
      </w:r>
      <w:r w:rsidRPr="00C33068" w:rsidR="00C1232F">
        <w:rPr>
          <w:rFonts w:ascii="Times New Roman" w:hAnsi="Times New Roman" w:hint="default"/>
          <w:sz w:val="24"/>
        </w:rPr>
        <w:t>vä</w:t>
      </w:r>
      <w:r w:rsidRPr="00C33068" w:rsidR="00C1232F">
        <w:rPr>
          <w:rFonts w:ascii="Times New Roman" w:hAnsi="Times New Roman" w:hint="default"/>
          <w:sz w:val="24"/>
        </w:rPr>
        <w:t>zky.</w:t>
      </w:r>
      <w:r w:rsidRPr="00C33068" w:rsidR="00E30C89">
        <w:rPr>
          <w:rFonts w:ascii="Times New Roman" w:hAnsi="Times New Roman"/>
          <w:sz w:val="24"/>
        </w:rPr>
        <w:t xml:space="preserve">  </w:t>
      </w:r>
    </w:p>
    <w:p w:rsidR="00CB12EE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068" w:rsidRP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C7715" w:rsidRPr="00C33068" w:rsidP="00DC771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33068" w:rsidR="00F2433E">
        <w:rPr>
          <w:rFonts w:ascii="Times New Roman" w:hAnsi="Times New Roman"/>
          <w:b/>
          <w:sz w:val="24"/>
        </w:rPr>
        <w:t>2</w:t>
      </w:r>
      <w:r w:rsidRPr="00C33068" w:rsidR="007F6022">
        <w:rPr>
          <w:rFonts w:ascii="Times New Roman" w:hAnsi="Times New Roman"/>
          <w:b/>
          <w:sz w:val="24"/>
        </w:rPr>
        <w:t xml:space="preserve">.  </w:t>
      </w:r>
      <w:r w:rsidRPr="00C33068" w:rsidR="00F979FA">
        <w:rPr>
          <w:rFonts w:ascii="Times New Roman" w:hAnsi="Times New Roman" w:hint="default"/>
          <w:b/>
          <w:sz w:val="24"/>
        </w:rPr>
        <w:t>Zá</w:t>
      </w:r>
      <w:r w:rsidRPr="00C33068" w:rsidR="00F979FA">
        <w:rPr>
          <w:rFonts w:ascii="Times New Roman" w:hAnsi="Times New Roman" w:hint="default"/>
          <w:b/>
          <w:sz w:val="24"/>
        </w:rPr>
        <w:t>vä</w:t>
      </w:r>
      <w:r w:rsidRPr="00C33068" w:rsidR="00F979FA">
        <w:rPr>
          <w:rFonts w:ascii="Times New Roman" w:hAnsi="Times New Roman" w:hint="default"/>
          <w:b/>
          <w:sz w:val="24"/>
        </w:rPr>
        <w:t>zky spojené</w:t>
      </w:r>
      <w:r w:rsidRPr="00C33068" w:rsidR="00F979FA">
        <w:rPr>
          <w:rFonts w:ascii="Times New Roman" w:hAnsi="Times New Roman" w:hint="default"/>
          <w:b/>
          <w:sz w:val="24"/>
        </w:rPr>
        <w:t xml:space="preserve"> so starnutí</w:t>
      </w:r>
      <w:r w:rsidRPr="00C33068" w:rsidR="00F979FA">
        <w:rPr>
          <w:rFonts w:ascii="Times New Roman" w:hAnsi="Times New Roman" w:hint="default"/>
          <w:b/>
          <w:sz w:val="24"/>
        </w:rPr>
        <w:t>m populá</w:t>
      </w:r>
      <w:r w:rsidRPr="00C33068" w:rsidR="00F979FA">
        <w:rPr>
          <w:rFonts w:ascii="Times New Roman" w:hAnsi="Times New Roman" w:hint="default"/>
          <w:b/>
          <w:sz w:val="24"/>
        </w:rPr>
        <w:t>cie</w:t>
      </w:r>
      <w:r w:rsidRPr="00C33068">
        <w:rPr>
          <w:rFonts w:ascii="Times New Roman" w:hAnsi="Times New Roman"/>
          <w:b/>
          <w:sz w:val="24"/>
        </w:rPr>
        <w:t xml:space="preserve"> </w:t>
      </w:r>
    </w:p>
    <w:p w:rsidR="00C33068" w:rsidP="00DC771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979FA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33068" w:rsidR="00DC7715">
        <w:rPr>
          <w:rFonts w:ascii="Times New Roman" w:hAnsi="Times New Roman" w:hint="default"/>
          <w:sz w:val="24"/>
        </w:rPr>
        <w:t>Zá</w:t>
      </w:r>
      <w:r w:rsidRPr="00C33068" w:rsidR="00DC7715">
        <w:rPr>
          <w:rFonts w:ascii="Times New Roman" w:hAnsi="Times New Roman" w:hint="default"/>
          <w:sz w:val="24"/>
        </w:rPr>
        <w:t>kladom kvantifiká</w:t>
      </w:r>
      <w:r w:rsidRPr="00C33068" w:rsidR="00DC7715">
        <w:rPr>
          <w:rFonts w:ascii="Times New Roman" w:hAnsi="Times New Roman" w:hint="default"/>
          <w:sz w:val="24"/>
        </w:rPr>
        <w:t>cie sú</w:t>
      </w:r>
      <w:r w:rsidRPr="00C33068" w:rsidR="00DC7715">
        <w:rPr>
          <w:rFonts w:ascii="Times New Roman" w:hAnsi="Times New Roman" w:hint="default"/>
          <w:sz w:val="24"/>
        </w:rPr>
        <w:t xml:space="preserve"> predpoklady a projekcie pracovnej skupiny AWG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4"/>
      </w:r>
      <w:r w:rsidRPr="00C33068" w:rsidR="00DC7715">
        <w:rPr>
          <w:rFonts w:ascii="Times New Roman" w:hAnsi="Times New Roman" w:hint="default"/>
          <w:sz w:val="24"/>
        </w:rPr>
        <w:t xml:space="preserve"> zaoberajú</w:t>
      </w:r>
      <w:r w:rsidRPr="00C33068" w:rsidR="00DC7715">
        <w:rPr>
          <w:rFonts w:ascii="Times New Roman" w:hAnsi="Times New Roman" w:hint="default"/>
          <w:sz w:val="24"/>
        </w:rPr>
        <w:t>cej sa vplyvmi starnutia populá</w:t>
      </w:r>
      <w:r w:rsidRPr="00C33068" w:rsidR="00DC7715">
        <w:rPr>
          <w:rFonts w:ascii="Times New Roman" w:hAnsi="Times New Roman" w:hint="default"/>
          <w:sz w:val="24"/>
        </w:rPr>
        <w:t>cie na verejné</w:t>
      </w:r>
      <w:r w:rsidRPr="00C33068" w:rsidR="00DC7715">
        <w:rPr>
          <w:rFonts w:ascii="Times New Roman" w:hAnsi="Times New Roman" w:hint="default"/>
          <w:sz w:val="24"/>
        </w:rPr>
        <w:t xml:space="preserve"> financie č</w:t>
      </w:r>
      <w:r w:rsidRPr="00C33068" w:rsidR="00DC7715">
        <w:rPr>
          <w:rFonts w:ascii="Times New Roman" w:hAnsi="Times New Roman" w:hint="default"/>
          <w:sz w:val="24"/>
        </w:rPr>
        <w:t>lenský</w:t>
      </w:r>
      <w:r w:rsidRPr="00C33068" w:rsidR="00DC7715">
        <w:rPr>
          <w:rFonts w:ascii="Times New Roman" w:hAnsi="Times New Roman" w:hint="default"/>
          <w:sz w:val="24"/>
        </w:rPr>
        <w:t>ch krají</w:t>
      </w:r>
      <w:r w:rsidRPr="00C33068" w:rsidR="00DC7715">
        <w:rPr>
          <w:rFonts w:ascii="Times New Roman" w:hAnsi="Times New Roman" w:hint="default"/>
          <w:sz w:val="24"/>
        </w:rPr>
        <w:t>n</w:t>
      </w:r>
      <w:r w:rsidRPr="00C33068" w:rsidR="003D49CE">
        <w:rPr>
          <w:rFonts w:ascii="Times New Roman" w:hAnsi="Times New Roman" w:hint="default"/>
          <w:sz w:val="24"/>
        </w:rPr>
        <w:t xml:space="preserve"> EÚ</w:t>
      </w:r>
      <w:r w:rsidRPr="00C33068" w:rsidR="00DC7715">
        <w:rPr>
          <w:rFonts w:ascii="Times New Roman" w:hAnsi="Times New Roman" w:hint="default"/>
          <w:sz w:val="24"/>
        </w:rPr>
        <w:t>. Tá</w:t>
      </w:r>
      <w:r w:rsidRPr="00C33068" w:rsidR="00DC7715">
        <w:rPr>
          <w:rFonts w:ascii="Times New Roman" w:hAnsi="Times New Roman" w:hint="default"/>
          <w:sz w:val="24"/>
        </w:rPr>
        <w:t>to pracovná</w:t>
      </w:r>
      <w:r w:rsidRPr="00C33068" w:rsidR="00DC7715">
        <w:rPr>
          <w:rFonts w:ascii="Times New Roman" w:hAnsi="Times New Roman" w:hint="default"/>
          <w:sz w:val="24"/>
        </w:rPr>
        <w:t xml:space="preserve"> skupina publikuje kaž</w:t>
      </w:r>
      <w:r w:rsidRPr="00C33068" w:rsidR="00DC7715">
        <w:rPr>
          <w:rFonts w:ascii="Times New Roman" w:hAnsi="Times New Roman" w:hint="default"/>
          <w:sz w:val="24"/>
        </w:rPr>
        <w:t>dé</w:t>
      </w:r>
      <w:r w:rsidRPr="00C33068" w:rsidR="00DC7715">
        <w:rPr>
          <w:rFonts w:ascii="Times New Roman" w:hAnsi="Times New Roman" w:hint="default"/>
          <w:sz w:val="24"/>
        </w:rPr>
        <w:t xml:space="preserve"> tri roky (nap</w:t>
      </w:r>
      <w:r w:rsidRPr="00C33068" w:rsidR="00DC7715">
        <w:rPr>
          <w:rFonts w:ascii="Times New Roman" w:hAnsi="Times New Roman" w:hint="default"/>
          <w:sz w:val="24"/>
        </w:rPr>
        <w:t xml:space="preserve">osledy v roku 2012) </w:t>
      </w:r>
      <w:r w:rsidRPr="00C33068" w:rsidR="00DC7715">
        <w:rPr>
          <w:rFonts w:ascii="Times New Roman" w:hAnsi="Times New Roman" w:hint="default"/>
          <w:color w:val="000000"/>
          <w:sz w:val="24"/>
        </w:rPr>
        <w:t>dlhodobé</w:t>
      </w:r>
      <w:r w:rsidRPr="00C33068" w:rsidR="00DC7715">
        <w:rPr>
          <w:rFonts w:ascii="Times New Roman" w:hAnsi="Times New Roman" w:hint="default"/>
          <w:color w:val="000000"/>
          <w:sz w:val="24"/>
        </w:rPr>
        <w:t xml:space="preserve"> projekcie prí</w:t>
      </w:r>
      <w:r w:rsidRPr="00C33068" w:rsidR="00DC7715">
        <w:rPr>
          <w:rFonts w:ascii="Times New Roman" w:hAnsi="Times New Roman" w:hint="default"/>
          <w:color w:val="000000"/>
          <w:sz w:val="24"/>
        </w:rPr>
        <w:t>jmov a vý</w:t>
      </w:r>
      <w:r w:rsidRPr="00C33068" w:rsidR="00DC7715">
        <w:rPr>
          <w:rFonts w:ascii="Times New Roman" w:hAnsi="Times New Roman" w:hint="default"/>
          <w:color w:val="000000"/>
          <w:sz w:val="24"/>
        </w:rPr>
        <w:t>davkov citlivý</w:t>
      </w:r>
      <w:r w:rsidRPr="00C33068" w:rsidR="00DC7715">
        <w:rPr>
          <w:rFonts w:ascii="Times New Roman" w:hAnsi="Times New Roman" w:hint="default"/>
          <w:color w:val="000000"/>
          <w:sz w:val="24"/>
        </w:rPr>
        <w:t>ch na starnutie populá</w:t>
      </w:r>
      <w:r w:rsidRPr="00C33068" w:rsidR="00DC7715">
        <w:rPr>
          <w:rFonts w:ascii="Times New Roman" w:hAnsi="Times New Roman" w:hint="default"/>
          <w:color w:val="000000"/>
          <w:sz w:val="24"/>
        </w:rPr>
        <w:t>cie do roku 2060 na zá</w:t>
      </w:r>
      <w:r w:rsidRPr="00C33068" w:rsidR="00DC7715">
        <w:rPr>
          <w:rFonts w:ascii="Times New Roman" w:hAnsi="Times New Roman" w:hint="default"/>
          <w:color w:val="000000"/>
          <w:sz w:val="24"/>
        </w:rPr>
        <w:t>klade projekcií</w:t>
      </w:r>
      <w:r w:rsidRPr="00C33068" w:rsidR="00DC7715">
        <w:rPr>
          <w:rFonts w:ascii="Times New Roman" w:hAnsi="Times New Roman" w:hint="default"/>
          <w:color w:val="000000"/>
          <w:sz w:val="24"/>
        </w:rPr>
        <w:t xml:space="preserve"> demografické</w:t>
      </w:r>
      <w:r w:rsidRPr="00C33068" w:rsidR="00DC7715">
        <w:rPr>
          <w:rFonts w:ascii="Times New Roman" w:hAnsi="Times New Roman" w:hint="default"/>
          <w:color w:val="000000"/>
          <w:sz w:val="24"/>
        </w:rPr>
        <w:t>ho vý</w:t>
      </w:r>
      <w:r w:rsidRPr="00C33068" w:rsidR="00DC7715">
        <w:rPr>
          <w:rFonts w:ascii="Times New Roman" w:hAnsi="Times New Roman" w:hint="default"/>
          <w:color w:val="000000"/>
          <w:sz w:val="24"/>
        </w:rPr>
        <w:t>voja Eurostatu a </w:t>
      </w:r>
      <w:r w:rsidRPr="00C33068" w:rsidR="00DC7715">
        <w:rPr>
          <w:rFonts w:ascii="Times New Roman" w:hAnsi="Times New Roman" w:hint="default"/>
          <w:color w:val="000000"/>
          <w:sz w:val="24"/>
        </w:rPr>
        <w:t>dlhodobý</w:t>
      </w:r>
      <w:r w:rsidRPr="00C33068" w:rsidR="00DC7715">
        <w:rPr>
          <w:rFonts w:ascii="Times New Roman" w:hAnsi="Times New Roman" w:hint="default"/>
          <w:color w:val="000000"/>
          <w:sz w:val="24"/>
        </w:rPr>
        <w:t>ch makroekonomický</w:t>
      </w:r>
      <w:r w:rsidRPr="00C33068" w:rsidR="00DC7715">
        <w:rPr>
          <w:rFonts w:ascii="Times New Roman" w:hAnsi="Times New Roman" w:hint="default"/>
          <w:color w:val="000000"/>
          <w:sz w:val="24"/>
        </w:rPr>
        <w:t>ch projekcií</w:t>
      </w:r>
      <w:r w:rsidRPr="00C33068" w:rsidR="00DC7715">
        <w:rPr>
          <w:rFonts w:ascii="Times New Roman" w:hAnsi="Times New Roman" w:hint="default"/>
          <w:color w:val="000000"/>
          <w:sz w:val="24"/>
        </w:rPr>
        <w:t xml:space="preserve"> Euró</w:t>
      </w:r>
      <w:r w:rsidRPr="00C33068" w:rsidR="00DC7715">
        <w:rPr>
          <w:rFonts w:ascii="Times New Roman" w:hAnsi="Times New Roman" w:hint="default"/>
          <w:color w:val="000000"/>
          <w:sz w:val="24"/>
        </w:rPr>
        <w:t>pskej komisie (EK)</w:t>
      </w:r>
      <w:r>
        <w:rPr>
          <w:rStyle w:val="FootnoteReference"/>
          <w:rFonts w:ascii="Times New Roman" w:hAnsi="Times New Roman"/>
          <w:color w:val="000000"/>
          <w:sz w:val="24"/>
          <w:rtl w:val="0"/>
        </w:rPr>
        <w:footnoteReference w:id="5"/>
      </w:r>
      <w:r w:rsidRPr="00C33068" w:rsidR="00DC7715">
        <w:rPr>
          <w:rFonts w:ascii="Times New Roman" w:hAnsi="Times New Roman"/>
          <w:color w:val="000000"/>
          <w:sz w:val="24"/>
        </w:rPr>
        <w:t xml:space="preserve">. </w:t>
      </w:r>
    </w:p>
    <w:p w:rsidR="00F979FA" w:rsidRPr="00C33068" w:rsidP="00DC771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979FA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33068">
        <w:rPr>
          <w:rFonts w:ascii="Times New Roman" w:hAnsi="Times New Roman"/>
          <w:sz w:val="24"/>
        </w:rPr>
        <w:t xml:space="preserve">Slovensko </w:t>
      </w:r>
      <w:r w:rsidRPr="00C33068" w:rsidR="002630F2">
        <w:rPr>
          <w:rFonts w:ascii="Times New Roman" w:hAnsi="Times New Roman"/>
          <w:sz w:val="24"/>
        </w:rPr>
        <w:t xml:space="preserve">pripravilo </w:t>
      </w:r>
      <w:r w:rsidRPr="00C33068">
        <w:rPr>
          <w:rFonts w:ascii="Times New Roman" w:hAnsi="Times New Roman"/>
          <w:sz w:val="24"/>
        </w:rPr>
        <w:t>v roku 201</w:t>
      </w:r>
      <w:r w:rsidRPr="00C33068">
        <w:rPr>
          <w:rFonts w:ascii="Times New Roman" w:hAnsi="Times New Roman" w:hint="default"/>
          <w:sz w:val="24"/>
        </w:rPr>
        <w:t>2 vý</w:t>
      </w:r>
      <w:r w:rsidRPr="00C33068">
        <w:rPr>
          <w:rFonts w:ascii="Times New Roman" w:hAnsi="Times New Roman" w:hint="default"/>
          <w:sz w:val="24"/>
        </w:rPr>
        <w:t>znamnú</w:t>
      </w:r>
      <w:r w:rsidRPr="00C33068">
        <w:rPr>
          <w:rFonts w:ascii="Times New Roman" w:hAnsi="Times New Roman" w:hint="default"/>
          <w:sz w:val="24"/>
        </w:rPr>
        <w:t xml:space="preserve"> dô</w:t>
      </w:r>
      <w:r w:rsidRPr="00C33068">
        <w:rPr>
          <w:rFonts w:ascii="Times New Roman" w:hAnsi="Times New Roman" w:hint="default"/>
          <w:sz w:val="24"/>
        </w:rPr>
        <w:t>chodkovú</w:t>
      </w:r>
      <w:r w:rsidRPr="00C33068">
        <w:rPr>
          <w:rFonts w:ascii="Times New Roman" w:hAnsi="Times New Roman" w:hint="default"/>
          <w:sz w:val="24"/>
        </w:rPr>
        <w:t xml:space="preserve"> reformu, ktorá</w:t>
      </w:r>
      <w:r w:rsidRPr="00C33068">
        <w:rPr>
          <w:rFonts w:ascii="Times New Roman" w:hAnsi="Times New Roman" w:hint="default"/>
          <w:sz w:val="24"/>
        </w:rPr>
        <w:t xml:space="preserve"> bola definití</w:t>
      </w:r>
      <w:r w:rsidRPr="00C33068">
        <w:rPr>
          <w:rFonts w:ascii="Times New Roman" w:hAnsi="Times New Roman" w:hint="default"/>
          <w:sz w:val="24"/>
        </w:rPr>
        <w:t xml:space="preserve">vne </w:t>
      </w:r>
      <w:r w:rsidRPr="00C33068" w:rsidR="00A52219">
        <w:rPr>
          <w:rFonts w:ascii="Times New Roman" w:hAnsi="Times New Roman" w:hint="default"/>
          <w:sz w:val="24"/>
        </w:rPr>
        <w:t>schvá</w:t>
      </w:r>
      <w:r w:rsidRPr="00C33068" w:rsidR="00A52219">
        <w:rPr>
          <w:rFonts w:ascii="Times New Roman" w:hAnsi="Times New Roman" w:hint="default"/>
          <w:sz w:val="24"/>
        </w:rPr>
        <w:t>lená</w:t>
      </w:r>
      <w:r w:rsidRPr="00C33068">
        <w:rPr>
          <w:rFonts w:ascii="Times New Roman" w:hAnsi="Times New Roman"/>
          <w:sz w:val="24"/>
        </w:rPr>
        <w:t xml:space="preserve"> v </w:t>
      </w:r>
      <w:r w:rsidRPr="00C33068">
        <w:rPr>
          <w:rFonts w:ascii="Times New Roman" w:hAnsi="Times New Roman" w:hint="default"/>
          <w:sz w:val="24"/>
        </w:rPr>
        <w:t>aprí</w:t>
      </w:r>
      <w:r w:rsidRPr="00C33068">
        <w:rPr>
          <w:rFonts w:ascii="Times New Roman" w:hAnsi="Times New Roman" w:hint="default"/>
          <w:sz w:val="24"/>
        </w:rPr>
        <w:t>li 2013.</w:t>
      </w:r>
      <w:r w:rsidRPr="00C33068" w:rsidR="00D11B80">
        <w:rPr>
          <w:rFonts w:ascii="Times New Roman" w:hAnsi="Times New Roman" w:hint="default"/>
          <w:sz w:val="24"/>
        </w:rPr>
        <w:t xml:space="preserve"> Odhad implicitný</w:t>
      </w:r>
      <w:r w:rsidRPr="00C33068" w:rsidR="00D11B80">
        <w:rPr>
          <w:rFonts w:ascii="Times New Roman" w:hAnsi="Times New Roman" w:hint="default"/>
          <w:sz w:val="24"/>
        </w:rPr>
        <w:t>ch zá</w:t>
      </w:r>
      <w:r w:rsidRPr="00C33068" w:rsidR="00D11B80">
        <w:rPr>
          <w:rFonts w:ascii="Times New Roman" w:hAnsi="Times New Roman" w:hint="default"/>
          <w:sz w:val="24"/>
        </w:rPr>
        <w:t>vä</w:t>
      </w:r>
      <w:r w:rsidRPr="00C33068" w:rsidR="00D11B80">
        <w:rPr>
          <w:rFonts w:ascii="Times New Roman" w:hAnsi="Times New Roman" w:hint="default"/>
          <w:sz w:val="24"/>
        </w:rPr>
        <w:t>zkov spojený</w:t>
      </w:r>
      <w:r w:rsidRPr="00C33068" w:rsidR="00D11B80">
        <w:rPr>
          <w:rFonts w:ascii="Times New Roman" w:hAnsi="Times New Roman" w:hint="default"/>
          <w:sz w:val="24"/>
        </w:rPr>
        <w:t>ch so starnutí</w:t>
      </w:r>
      <w:r w:rsidRPr="00C33068" w:rsidR="00D11B80">
        <w:rPr>
          <w:rFonts w:ascii="Times New Roman" w:hAnsi="Times New Roman" w:hint="default"/>
          <w:sz w:val="24"/>
        </w:rPr>
        <w:t>m populá</w:t>
      </w:r>
      <w:r w:rsidRPr="00C33068" w:rsidR="00D11B80">
        <w:rPr>
          <w:rFonts w:ascii="Times New Roman" w:hAnsi="Times New Roman" w:hint="default"/>
          <w:sz w:val="24"/>
        </w:rPr>
        <w:t>cie</w:t>
      </w:r>
      <w:r w:rsidRPr="00C33068" w:rsidR="004C1B5F">
        <w:rPr>
          <w:rFonts w:ascii="Times New Roman" w:hAnsi="Times New Roman"/>
          <w:sz w:val="24"/>
        </w:rPr>
        <w:t xml:space="preserve"> v </w:t>
      </w:r>
      <w:r w:rsidRPr="00C33068" w:rsidR="004C1B5F">
        <w:rPr>
          <w:rFonts w:ascii="Times New Roman" w:hAnsi="Times New Roman" w:hint="default"/>
          <w:sz w:val="24"/>
        </w:rPr>
        <w:t>scená</w:t>
      </w:r>
      <w:r w:rsidRPr="00C33068" w:rsidR="004C1B5F">
        <w:rPr>
          <w:rFonts w:ascii="Times New Roman" w:hAnsi="Times New Roman" w:hint="default"/>
          <w:sz w:val="24"/>
        </w:rPr>
        <w:t>ri nezmenený</w:t>
      </w:r>
      <w:r w:rsidRPr="00C33068" w:rsidR="004C1B5F">
        <w:rPr>
          <w:rFonts w:ascii="Times New Roman" w:hAnsi="Times New Roman" w:hint="default"/>
          <w:sz w:val="24"/>
        </w:rPr>
        <w:t>ch polití</w:t>
      </w:r>
      <w:r w:rsidRPr="00C33068" w:rsidR="004C1B5F">
        <w:rPr>
          <w:rFonts w:ascii="Times New Roman" w:hAnsi="Times New Roman" w:hint="default"/>
          <w:sz w:val="24"/>
        </w:rPr>
        <w:t>k</w:t>
      </w:r>
      <w:r w:rsidRPr="00C33068" w:rsidR="00D11B80">
        <w:rPr>
          <w:rFonts w:ascii="Times New Roman" w:hAnsi="Times New Roman" w:hint="default"/>
          <w:sz w:val="24"/>
        </w:rPr>
        <w:t xml:space="preserve"> je založ</w:t>
      </w:r>
      <w:r w:rsidRPr="00C33068" w:rsidR="00D11B80">
        <w:rPr>
          <w:rFonts w:ascii="Times New Roman" w:hAnsi="Times New Roman" w:hint="default"/>
          <w:sz w:val="24"/>
        </w:rPr>
        <w:t>ený</w:t>
      </w:r>
      <w:r w:rsidRPr="00C33068" w:rsidR="00D11B80">
        <w:rPr>
          <w:rFonts w:ascii="Times New Roman" w:hAnsi="Times New Roman" w:hint="default"/>
          <w:sz w:val="24"/>
        </w:rPr>
        <w:t xml:space="preserve"> </w:t>
      </w:r>
      <w:r w:rsidRPr="00C33068" w:rsidR="003D49CE">
        <w:rPr>
          <w:rFonts w:ascii="Times New Roman" w:hAnsi="Times New Roman" w:hint="default"/>
          <w:sz w:val="24"/>
        </w:rPr>
        <w:t>prá</w:t>
      </w:r>
      <w:r w:rsidRPr="00C33068" w:rsidR="003D49CE">
        <w:rPr>
          <w:rFonts w:ascii="Times New Roman" w:hAnsi="Times New Roman" w:hint="default"/>
          <w:sz w:val="24"/>
        </w:rPr>
        <w:t xml:space="preserve">ve </w:t>
      </w:r>
      <w:r w:rsidRPr="00C33068" w:rsidR="00D11B80">
        <w:rPr>
          <w:rFonts w:ascii="Times New Roman" w:hAnsi="Times New Roman" w:hint="default"/>
          <w:sz w:val="24"/>
        </w:rPr>
        <w:t>na tý</w:t>
      </w:r>
      <w:r w:rsidRPr="00C33068" w:rsidR="00D11B80">
        <w:rPr>
          <w:rFonts w:ascii="Times New Roman" w:hAnsi="Times New Roman" w:hint="default"/>
          <w:sz w:val="24"/>
        </w:rPr>
        <w:t>chto projekciá</w:t>
      </w:r>
      <w:r w:rsidRPr="00C33068" w:rsidR="00D11B80">
        <w:rPr>
          <w:rFonts w:ascii="Times New Roman" w:hAnsi="Times New Roman" w:hint="default"/>
          <w:sz w:val="24"/>
        </w:rPr>
        <w:t>ch.</w:t>
      </w:r>
      <w:r w:rsidRPr="00C33068" w:rsidR="002630F2">
        <w:rPr>
          <w:rFonts w:ascii="Times New Roman" w:hAnsi="Times New Roman" w:hint="default"/>
          <w:sz w:val="24"/>
        </w:rPr>
        <w:t xml:space="preserve"> Aktualizované</w:t>
      </w:r>
      <w:r w:rsidRPr="00C33068" w:rsidR="002630F2">
        <w:rPr>
          <w:rFonts w:ascii="Times New Roman" w:hAnsi="Times New Roman" w:hint="default"/>
          <w:sz w:val="24"/>
        </w:rPr>
        <w:t xml:space="preserve"> projekcie AWG budú</w:t>
      </w:r>
      <w:r w:rsidRPr="00C33068" w:rsidR="002630F2">
        <w:rPr>
          <w:rFonts w:ascii="Times New Roman" w:hAnsi="Times New Roman" w:hint="default"/>
          <w:sz w:val="24"/>
        </w:rPr>
        <w:t xml:space="preserve"> prerokované</w:t>
      </w:r>
      <w:r w:rsidRPr="00C33068" w:rsidR="002630F2">
        <w:rPr>
          <w:rFonts w:ascii="Times New Roman" w:hAnsi="Times New Roman" w:hint="default"/>
          <w:sz w:val="24"/>
        </w:rPr>
        <w:t xml:space="preserve"> v </w:t>
      </w:r>
      <w:r w:rsidRPr="00C33068" w:rsidR="002630F2">
        <w:rPr>
          <w:rFonts w:ascii="Times New Roman" w:hAnsi="Times New Roman" w:hint="default"/>
          <w:sz w:val="24"/>
        </w:rPr>
        <w:t>rá</w:t>
      </w:r>
      <w:r w:rsidRPr="00C33068" w:rsidR="002630F2">
        <w:rPr>
          <w:rFonts w:ascii="Times New Roman" w:hAnsi="Times New Roman" w:hint="default"/>
          <w:sz w:val="24"/>
        </w:rPr>
        <w:t>mci AWG na jeseň</w:t>
      </w:r>
      <w:r w:rsidRPr="00C33068" w:rsidR="002630F2">
        <w:rPr>
          <w:rFonts w:ascii="Times New Roman" w:hAnsi="Times New Roman" w:hint="default"/>
          <w:sz w:val="24"/>
        </w:rPr>
        <w:t xml:space="preserve"> 2014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6"/>
      </w:r>
      <w:r w:rsidRPr="00C33068" w:rsidR="002630F2">
        <w:rPr>
          <w:rFonts w:ascii="Times New Roman" w:hAnsi="Times New Roman"/>
          <w:sz w:val="24"/>
        </w:rPr>
        <w:t xml:space="preserve">.    </w:t>
      </w:r>
    </w:p>
    <w:p w:rsidR="00DC7715" w:rsidRPr="00C33068" w:rsidP="00353746">
      <w:pPr>
        <w:bidi w:val="0"/>
        <w:spacing w:after="0"/>
        <w:rPr>
          <w:rFonts w:ascii="Times New Roman" w:hAnsi="Times New Roman"/>
          <w:sz w:val="24"/>
        </w:rPr>
      </w:pPr>
    </w:p>
    <w:p w:rsidR="00373B7C" w:rsidRPr="00C33068" w:rsidP="00373B7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 w:rsidRPr="00C33068">
        <w:rPr>
          <w:rFonts w:ascii="Times New Roman" w:hAnsi="Times New Roman" w:hint="default"/>
          <w:sz w:val="24"/>
        </w:rPr>
        <w:t>Postup vý</w:t>
      </w:r>
      <w:r w:rsidRPr="00C33068">
        <w:rPr>
          <w:rFonts w:ascii="Times New Roman" w:hAnsi="Times New Roman" w:hint="default"/>
          <w:sz w:val="24"/>
        </w:rPr>
        <w:t>poč</w:t>
      </w:r>
      <w:r w:rsidRPr="00C33068">
        <w:rPr>
          <w:rFonts w:ascii="Times New Roman" w:hAnsi="Times New Roman" w:hint="default"/>
          <w:sz w:val="24"/>
        </w:rPr>
        <w:t xml:space="preserve">tu </w:t>
      </w:r>
      <w:r w:rsidRPr="00C33068" w:rsidR="002630F2">
        <w:rPr>
          <w:rFonts w:ascii="Times New Roman" w:hAnsi="Times New Roman" w:hint="default"/>
          <w:sz w:val="24"/>
        </w:rPr>
        <w:t>zá</w:t>
      </w:r>
      <w:r w:rsidRPr="00C33068" w:rsidR="002630F2">
        <w:rPr>
          <w:rFonts w:ascii="Times New Roman" w:hAnsi="Times New Roman" w:hint="default"/>
          <w:sz w:val="24"/>
        </w:rPr>
        <w:t>vä</w:t>
      </w:r>
      <w:r w:rsidRPr="00C33068" w:rsidR="002630F2">
        <w:rPr>
          <w:rFonts w:ascii="Times New Roman" w:hAnsi="Times New Roman" w:hint="default"/>
          <w:sz w:val="24"/>
        </w:rPr>
        <w:t>zkov spojený</w:t>
      </w:r>
      <w:r w:rsidRPr="00C33068" w:rsidR="002630F2">
        <w:rPr>
          <w:rFonts w:ascii="Times New Roman" w:hAnsi="Times New Roman" w:hint="default"/>
          <w:sz w:val="24"/>
        </w:rPr>
        <w:t>ch so starnutí</w:t>
      </w:r>
      <w:r w:rsidRPr="00C33068" w:rsidR="002630F2">
        <w:rPr>
          <w:rFonts w:ascii="Times New Roman" w:hAnsi="Times New Roman" w:hint="default"/>
          <w:sz w:val="24"/>
        </w:rPr>
        <w:t xml:space="preserve">m </w:t>
      </w:r>
      <w:r w:rsidRPr="00C33068">
        <w:rPr>
          <w:rFonts w:ascii="Times New Roman" w:hAnsi="Times New Roman" w:hint="default"/>
          <w:sz w:val="24"/>
        </w:rPr>
        <w:t>mož</w:t>
      </w:r>
      <w:r w:rsidRPr="00C33068">
        <w:rPr>
          <w:rFonts w:ascii="Times New Roman" w:hAnsi="Times New Roman" w:hint="default"/>
          <w:sz w:val="24"/>
        </w:rPr>
        <w:t>no rozdeliť</w:t>
      </w:r>
      <w:r w:rsidRPr="00C33068">
        <w:rPr>
          <w:rFonts w:ascii="Times New Roman" w:hAnsi="Times New Roman" w:hint="default"/>
          <w:sz w:val="24"/>
        </w:rPr>
        <w:t xml:space="preserve"> do dvoch krokov:</w:t>
      </w:r>
    </w:p>
    <w:p w:rsidR="00373B7C" w:rsidRPr="00C33068" w:rsidP="00373B7C">
      <w:pPr>
        <w:bidi w:val="0"/>
        <w:spacing w:after="0" w:line="240" w:lineRule="auto"/>
        <w:jc w:val="both"/>
        <w:rPr>
          <w:rFonts w:ascii="Times New Roman" w:hAnsi="Times New Roman"/>
          <w:sz w:val="12"/>
        </w:rPr>
      </w:pPr>
    </w:p>
    <w:p w:rsidR="00373B7C" w:rsidRPr="00C33068" w:rsidP="00353746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sz w:val="24"/>
        </w:rPr>
      </w:pPr>
      <w:r w:rsidRPr="00C33068">
        <w:rPr>
          <w:rFonts w:ascii="Times New Roman" w:hAnsi="Times New Roman" w:cs="Times New Roman"/>
          <w:sz w:val="24"/>
        </w:rPr>
        <w:t xml:space="preserve">Prvým krokom výpočtu je zostavenie bilancie príjmov a výdavkov spojených so starnutím populácie, pričom východiskovým rokom je </w:t>
      </w:r>
      <w:r w:rsidRPr="00C33068" w:rsidR="00C53E0E">
        <w:rPr>
          <w:rFonts w:ascii="Times New Roman" w:hAnsi="Times New Roman" w:cs="Times New Roman"/>
          <w:sz w:val="24"/>
        </w:rPr>
        <w:t>201</w:t>
      </w:r>
      <w:r w:rsidRPr="00C33068" w:rsidR="002630F2">
        <w:rPr>
          <w:rFonts w:ascii="Times New Roman" w:hAnsi="Times New Roman" w:cs="Times New Roman"/>
          <w:sz w:val="24"/>
        </w:rPr>
        <w:t>4</w:t>
      </w:r>
      <w:r w:rsidRPr="00C33068">
        <w:rPr>
          <w:rFonts w:ascii="Times New Roman" w:hAnsi="Times New Roman" w:cs="Times New Roman"/>
          <w:sz w:val="24"/>
        </w:rPr>
        <w:t xml:space="preserve">, </w:t>
      </w:r>
      <w:r w:rsidRPr="00C33068" w:rsidR="00353746">
        <w:rPr>
          <w:rFonts w:ascii="Times New Roman" w:hAnsi="Times New Roman" w:cs="Times New Roman"/>
          <w:sz w:val="24"/>
        </w:rPr>
        <w:t>t.</w:t>
      </w:r>
      <w:r w:rsidR="001F141E">
        <w:rPr>
          <w:rFonts w:ascii="Times New Roman" w:hAnsi="Times New Roman" w:cs="Times New Roman"/>
          <w:sz w:val="24"/>
        </w:rPr>
        <w:t xml:space="preserve"> </w:t>
      </w:r>
      <w:r w:rsidRPr="00C33068" w:rsidR="00353746">
        <w:rPr>
          <w:rFonts w:ascii="Times New Roman" w:hAnsi="Times New Roman" w:cs="Times New Roman"/>
          <w:sz w:val="24"/>
        </w:rPr>
        <w:t>j. rok, z ktorého sa vychádza pri zostavovaní rozpočtu verejnej správy na roky 201</w:t>
      </w:r>
      <w:r w:rsidRPr="00C33068" w:rsidR="002630F2">
        <w:rPr>
          <w:rFonts w:ascii="Times New Roman" w:hAnsi="Times New Roman" w:cs="Times New Roman"/>
          <w:sz w:val="24"/>
        </w:rPr>
        <w:t>5 až 2017</w:t>
      </w:r>
      <w:r w:rsidRPr="00C33068" w:rsidR="00353746">
        <w:rPr>
          <w:rFonts w:ascii="Times New Roman" w:hAnsi="Times New Roman" w:cs="Times New Roman"/>
          <w:sz w:val="24"/>
        </w:rPr>
        <w:t xml:space="preserve">. </w:t>
      </w:r>
      <w:r w:rsidRPr="00C33068" w:rsidR="003D49CE">
        <w:rPr>
          <w:rFonts w:ascii="Times New Roman" w:hAnsi="Times New Roman" w:cs="Times New Roman"/>
          <w:sz w:val="24"/>
        </w:rPr>
        <w:t>Zostavuje sa do roku 2060 (posledný rok projekcií AWG). Po tomto roku sa vo výpočtoch uvažuje s konštantnými podielmi jednotlivých príjmov a výdavkov na HDP.</w:t>
      </w:r>
    </w:p>
    <w:p w:rsidR="00373B7C" w:rsidRPr="00C33068" w:rsidP="00373B7C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sz w:val="24"/>
        </w:rPr>
      </w:pPr>
      <w:r w:rsidRPr="00C33068">
        <w:rPr>
          <w:rFonts w:ascii="Times New Roman" w:hAnsi="Times New Roman" w:cs="Times New Roman"/>
          <w:sz w:val="24"/>
        </w:rPr>
        <w:t xml:space="preserve">V druhom kroku sa vyčísli suma súčasnej </w:t>
      </w:r>
      <w:r w:rsidRPr="00C33068" w:rsidR="00353746">
        <w:rPr>
          <w:rFonts w:ascii="Times New Roman" w:hAnsi="Times New Roman" w:cs="Times New Roman"/>
          <w:sz w:val="24"/>
        </w:rPr>
        <w:t xml:space="preserve">(diskontovanej) </w:t>
      </w:r>
      <w:r w:rsidRPr="00C33068">
        <w:rPr>
          <w:rFonts w:ascii="Times New Roman" w:hAnsi="Times New Roman" w:cs="Times New Roman"/>
          <w:sz w:val="24"/>
        </w:rPr>
        <w:t>hodnoty tejto bilancie v </w:t>
      </w:r>
      <w:r w:rsidRPr="00C33068" w:rsidR="003D49CE">
        <w:rPr>
          <w:rFonts w:ascii="Times New Roman" w:hAnsi="Times New Roman" w:cs="Times New Roman"/>
          <w:sz w:val="24"/>
        </w:rPr>
        <w:t>nekonečnom</w:t>
      </w:r>
      <w:r w:rsidRPr="00C33068">
        <w:rPr>
          <w:rFonts w:ascii="Times New Roman" w:hAnsi="Times New Roman" w:cs="Times New Roman"/>
          <w:sz w:val="24"/>
        </w:rPr>
        <w:t xml:space="preserve"> horizonte. Táto suma predstavuje samotnú výšku implicitných záväzkov.</w:t>
      </w:r>
    </w:p>
    <w:p w:rsidR="00C5744E" w:rsidRP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31A4A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33068">
        <w:rPr>
          <w:rFonts w:ascii="Times New Roman" w:hAnsi="Times New Roman" w:hint="default"/>
          <w:sz w:val="24"/>
        </w:rPr>
        <w:t>Na strane prí</w:t>
      </w:r>
      <w:r w:rsidRPr="00C33068">
        <w:rPr>
          <w:rFonts w:ascii="Times New Roman" w:hAnsi="Times New Roman" w:hint="default"/>
          <w:sz w:val="24"/>
        </w:rPr>
        <w:t xml:space="preserve">jmov </w:t>
      </w:r>
      <w:r w:rsidRPr="00C33068">
        <w:rPr>
          <w:rFonts w:ascii="Times New Roman" w:hAnsi="Times New Roman" w:hint="default"/>
          <w:sz w:val="24"/>
        </w:rPr>
        <w:t>ide konkré</w:t>
      </w:r>
      <w:r w:rsidRPr="00C33068">
        <w:rPr>
          <w:rFonts w:ascii="Times New Roman" w:hAnsi="Times New Roman" w:hint="default"/>
          <w:sz w:val="24"/>
        </w:rPr>
        <w:t>tne o </w:t>
      </w:r>
      <w:r w:rsidRPr="00C33068">
        <w:rPr>
          <w:rFonts w:ascii="Times New Roman" w:hAnsi="Times New Roman" w:hint="default"/>
          <w:sz w:val="24"/>
        </w:rPr>
        <w:t>prí</w:t>
      </w:r>
      <w:r w:rsidRPr="00C33068">
        <w:rPr>
          <w:rFonts w:ascii="Times New Roman" w:hAnsi="Times New Roman" w:hint="default"/>
          <w:sz w:val="24"/>
        </w:rPr>
        <w:t>jmy Sociá</w:t>
      </w:r>
      <w:r w:rsidRPr="00C33068">
        <w:rPr>
          <w:rFonts w:ascii="Times New Roman" w:hAnsi="Times New Roman" w:hint="default"/>
          <w:sz w:val="24"/>
        </w:rPr>
        <w:t>lnej poisť</w:t>
      </w:r>
      <w:r w:rsidRPr="00C33068">
        <w:rPr>
          <w:rFonts w:ascii="Times New Roman" w:hAnsi="Times New Roman" w:hint="default"/>
          <w:sz w:val="24"/>
        </w:rPr>
        <w:t>ovne plynú</w:t>
      </w:r>
      <w:r w:rsidRPr="00C33068">
        <w:rPr>
          <w:rFonts w:ascii="Times New Roman" w:hAnsi="Times New Roman" w:hint="default"/>
          <w:sz w:val="24"/>
        </w:rPr>
        <w:t>ce z </w:t>
      </w:r>
      <w:r w:rsidRPr="00C33068">
        <w:rPr>
          <w:rFonts w:ascii="Times New Roman" w:hAnsi="Times New Roman" w:hint="default"/>
          <w:sz w:val="24"/>
        </w:rPr>
        <w:t>dô</w:t>
      </w:r>
      <w:r w:rsidRPr="00C33068">
        <w:rPr>
          <w:rFonts w:ascii="Times New Roman" w:hAnsi="Times New Roman" w:hint="default"/>
          <w:sz w:val="24"/>
        </w:rPr>
        <w:t>chodkové</w:t>
      </w:r>
      <w:r w:rsidRPr="00C33068">
        <w:rPr>
          <w:rFonts w:ascii="Times New Roman" w:hAnsi="Times New Roman" w:hint="default"/>
          <w:sz w:val="24"/>
        </w:rPr>
        <w:t>ho poistenia a poistenia v </w:t>
      </w:r>
      <w:r w:rsidRPr="00C33068">
        <w:rPr>
          <w:rFonts w:ascii="Times New Roman" w:hAnsi="Times New Roman" w:hint="default"/>
          <w:sz w:val="24"/>
        </w:rPr>
        <w:t>nezamestnanosti a zdravotný</w:t>
      </w:r>
      <w:r w:rsidRPr="00C33068">
        <w:rPr>
          <w:rFonts w:ascii="Times New Roman" w:hAnsi="Times New Roman" w:hint="default"/>
          <w:sz w:val="24"/>
        </w:rPr>
        <w:t>ch poisť</w:t>
      </w:r>
      <w:r w:rsidRPr="00C33068">
        <w:rPr>
          <w:rFonts w:ascii="Times New Roman" w:hAnsi="Times New Roman" w:hint="default"/>
          <w:sz w:val="24"/>
        </w:rPr>
        <w:t>ovní</w:t>
      </w:r>
      <w:r w:rsidRPr="00C33068">
        <w:rPr>
          <w:rFonts w:ascii="Times New Roman" w:hAnsi="Times New Roman" w:hint="default"/>
          <w:sz w:val="24"/>
        </w:rPr>
        <w:t xml:space="preserve"> zo zdravotné</w:t>
      </w:r>
      <w:r w:rsidRPr="00C33068">
        <w:rPr>
          <w:rFonts w:ascii="Times New Roman" w:hAnsi="Times New Roman" w:hint="default"/>
          <w:sz w:val="24"/>
        </w:rPr>
        <w:t>ho poistenia. Ide o </w:t>
      </w:r>
      <w:r w:rsidRPr="00C33068">
        <w:rPr>
          <w:rFonts w:ascii="Times New Roman" w:hAnsi="Times New Roman" w:hint="default"/>
          <w:sz w:val="24"/>
        </w:rPr>
        <w:t>prí</w:t>
      </w:r>
      <w:r w:rsidRPr="00C33068">
        <w:rPr>
          <w:rFonts w:ascii="Times New Roman" w:hAnsi="Times New Roman" w:hint="default"/>
          <w:sz w:val="24"/>
        </w:rPr>
        <w:t>jmy od ekonomicky aktí</w:t>
      </w:r>
      <w:r w:rsidRPr="00C33068">
        <w:rPr>
          <w:rFonts w:ascii="Times New Roman" w:hAnsi="Times New Roman" w:hint="default"/>
          <w:sz w:val="24"/>
        </w:rPr>
        <w:t>vneho obyvateľ</w:t>
      </w:r>
      <w:r w:rsidRPr="00C33068">
        <w:rPr>
          <w:rFonts w:ascii="Times New Roman" w:hAnsi="Times New Roman" w:hint="default"/>
          <w:sz w:val="24"/>
        </w:rPr>
        <w:t>stva a </w:t>
      </w:r>
      <w:r w:rsidRPr="00C33068">
        <w:rPr>
          <w:rFonts w:ascii="Times New Roman" w:hAnsi="Times New Roman" w:hint="default"/>
          <w:sz w:val="24"/>
        </w:rPr>
        <w:t>dlž</w:t>
      </w:r>
      <w:r w:rsidRPr="00C33068">
        <w:rPr>
          <w:rFonts w:ascii="Times New Roman" w:hAnsi="Times New Roman" w:hint="default"/>
          <w:sz w:val="24"/>
        </w:rPr>
        <w:t>né</w:t>
      </w:r>
      <w:r w:rsidRPr="00C33068">
        <w:rPr>
          <w:rFonts w:ascii="Times New Roman" w:hAnsi="Times New Roman" w:hint="default"/>
          <w:sz w:val="24"/>
        </w:rPr>
        <w:t xml:space="preserve"> poistné</w:t>
      </w:r>
      <w:r w:rsidRPr="00C33068">
        <w:rPr>
          <w:rFonts w:ascii="Times New Roman" w:hAnsi="Times New Roman" w:hint="default"/>
          <w:sz w:val="24"/>
        </w:rPr>
        <w:t>. Č</w:t>
      </w:r>
      <w:r w:rsidRPr="00C33068">
        <w:rPr>
          <w:rFonts w:ascii="Times New Roman" w:hAnsi="Times New Roman" w:hint="default"/>
          <w:sz w:val="24"/>
        </w:rPr>
        <w:t>asť</w:t>
      </w:r>
      <w:r w:rsidRPr="00C33068">
        <w:rPr>
          <w:rFonts w:ascii="Times New Roman" w:hAnsi="Times New Roman" w:hint="default"/>
          <w:sz w:val="24"/>
        </w:rPr>
        <w:t xml:space="preserve"> vý</w:t>
      </w:r>
      <w:r w:rsidRPr="00C33068">
        <w:rPr>
          <w:rFonts w:ascii="Times New Roman" w:hAnsi="Times New Roman" w:hint="default"/>
          <w:sz w:val="24"/>
        </w:rPr>
        <w:t>davkov citlivý</w:t>
      </w:r>
      <w:r w:rsidRPr="00C33068">
        <w:rPr>
          <w:rFonts w:ascii="Times New Roman" w:hAnsi="Times New Roman" w:hint="default"/>
          <w:sz w:val="24"/>
        </w:rPr>
        <w:t>ch na starn</w:t>
      </w:r>
      <w:r w:rsidRPr="00C33068">
        <w:rPr>
          <w:rFonts w:ascii="Times New Roman" w:hAnsi="Times New Roman" w:hint="default"/>
          <w:sz w:val="24"/>
        </w:rPr>
        <w:t>u</w:t>
      </w:r>
      <w:r w:rsidRPr="00C33068">
        <w:rPr>
          <w:rFonts w:ascii="Times New Roman" w:hAnsi="Times New Roman" w:hint="default"/>
          <w:sz w:val="24"/>
        </w:rPr>
        <w:t>tie populá</w:t>
      </w:r>
      <w:r w:rsidRPr="00C33068">
        <w:rPr>
          <w:rFonts w:ascii="Times New Roman" w:hAnsi="Times New Roman" w:hint="default"/>
          <w:sz w:val="24"/>
        </w:rPr>
        <w:t>cie je financovaná</w:t>
      </w:r>
      <w:r w:rsidRPr="00C33068">
        <w:rPr>
          <w:rFonts w:ascii="Times New Roman" w:hAnsi="Times New Roman" w:hint="default"/>
          <w:sz w:val="24"/>
        </w:rPr>
        <w:t xml:space="preserve"> aj z </w:t>
      </w:r>
      <w:r w:rsidRPr="00C33068">
        <w:rPr>
          <w:rFonts w:ascii="Times New Roman" w:hAnsi="Times New Roman" w:hint="default"/>
          <w:sz w:val="24"/>
        </w:rPr>
        <w:t>daní</w:t>
      </w:r>
      <w:r w:rsidRPr="00C33068">
        <w:rPr>
          <w:rFonts w:ascii="Times New Roman" w:hAnsi="Times New Roman" w:hint="default"/>
          <w:sz w:val="24"/>
        </w:rPr>
        <w:t xml:space="preserve"> a </w:t>
      </w:r>
      <w:r w:rsidRPr="00C33068">
        <w:rPr>
          <w:rFonts w:ascii="Times New Roman" w:hAnsi="Times New Roman" w:hint="default"/>
          <w:sz w:val="24"/>
        </w:rPr>
        <w:t>iný</w:t>
      </w:r>
      <w:r w:rsidRPr="00C33068">
        <w:rPr>
          <w:rFonts w:ascii="Times New Roman" w:hAnsi="Times New Roman" w:hint="default"/>
          <w:sz w:val="24"/>
        </w:rPr>
        <w:t>ch prí</w:t>
      </w:r>
      <w:r w:rsidRPr="00C33068">
        <w:rPr>
          <w:rFonts w:ascii="Times New Roman" w:hAnsi="Times New Roman" w:hint="default"/>
          <w:sz w:val="24"/>
        </w:rPr>
        <w:t>jmov. Vo vý</w:t>
      </w:r>
      <w:r w:rsidRPr="00C33068">
        <w:rPr>
          <w:rFonts w:ascii="Times New Roman" w:hAnsi="Times New Roman" w:hint="default"/>
          <w:sz w:val="24"/>
        </w:rPr>
        <w:t>poč</w:t>
      </w:r>
      <w:r w:rsidRPr="00C33068">
        <w:rPr>
          <w:rFonts w:ascii="Times New Roman" w:hAnsi="Times New Roman" w:hint="default"/>
          <w:sz w:val="24"/>
        </w:rPr>
        <w:t>toch sa uvaž</w:t>
      </w:r>
      <w:r w:rsidRPr="00C33068">
        <w:rPr>
          <w:rFonts w:ascii="Times New Roman" w:hAnsi="Times New Roman" w:hint="default"/>
          <w:sz w:val="24"/>
        </w:rPr>
        <w:t>uje aj s </w:t>
      </w:r>
      <w:r w:rsidRPr="00C33068">
        <w:rPr>
          <w:rFonts w:ascii="Times New Roman" w:hAnsi="Times New Roman" w:hint="default"/>
          <w:sz w:val="24"/>
        </w:rPr>
        <w:t>nimi tak, aby vo vý</w:t>
      </w:r>
      <w:r w:rsidRPr="00C33068">
        <w:rPr>
          <w:rFonts w:ascii="Times New Roman" w:hAnsi="Times New Roman" w:hint="default"/>
          <w:sz w:val="24"/>
        </w:rPr>
        <w:t>chodiskovom roku vykryli rozdiel prí</w:t>
      </w:r>
      <w:r w:rsidRPr="00C33068">
        <w:rPr>
          <w:rFonts w:ascii="Times New Roman" w:hAnsi="Times New Roman" w:hint="default"/>
          <w:sz w:val="24"/>
        </w:rPr>
        <w:t>jmov a </w:t>
      </w:r>
      <w:r w:rsidRPr="00C33068">
        <w:rPr>
          <w:rFonts w:ascii="Times New Roman" w:hAnsi="Times New Roman" w:hint="default"/>
          <w:sz w:val="24"/>
        </w:rPr>
        <w:t>vý</w:t>
      </w:r>
      <w:r w:rsidRPr="00C33068">
        <w:rPr>
          <w:rFonts w:ascii="Times New Roman" w:hAnsi="Times New Roman" w:hint="default"/>
          <w:sz w:val="24"/>
        </w:rPr>
        <w:t>davkov spojený</w:t>
      </w:r>
      <w:r w:rsidRPr="00C33068">
        <w:rPr>
          <w:rFonts w:ascii="Times New Roman" w:hAnsi="Times New Roman" w:hint="default"/>
          <w:sz w:val="24"/>
        </w:rPr>
        <w:t>ch so starnutí</w:t>
      </w:r>
      <w:r w:rsidRPr="00C33068">
        <w:rPr>
          <w:rFonts w:ascii="Times New Roman" w:hAnsi="Times New Roman" w:hint="default"/>
          <w:sz w:val="24"/>
        </w:rPr>
        <w:t>m populá</w:t>
      </w:r>
      <w:r w:rsidRPr="00C33068">
        <w:rPr>
          <w:rFonts w:ascii="Times New Roman" w:hAnsi="Times New Roman" w:hint="default"/>
          <w:sz w:val="24"/>
        </w:rPr>
        <w:t>cie (prostrední</w:t>
      </w:r>
      <w:r w:rsidRPr="00C33068">
        <w:rPr>
          <w:rFonts w:ascii="Times New Roman" w:hAnsi="Times New Roman" w:hint="default"/>
          <w:sz w:val="24"/>
        </w:rPr>
        <w:t>ctvom bilancujú</w:t>
      </w:r>
      <w:r w:rsidRPr="00C33068">
        <w:rPr>
          <w:rFonts w:ascii="Times New Roman" w:hAnsi="Times New Roman" w:hint="default"/>
          <w:sz w:val="24"/>
        </w:rPr>
        <w:t>cej polož</w:t>
      </w:r>
      <w:r w:rsidRPr="00C33068">
        <w:rPr>
          <w:rFonts w:ascii="Times New Roman" w:hAnsi="Times New Roman" w:hint="default"/>
          <w:sz w:val="24"/>
        </w:rPr>
        <w:t>ky - ostatné</w:t>
      </w:r>
      <w:r w:rsidRPr="00C33068">
        <w:rPr>
          <w:rFonts w:ascii="Times New Roman" w:hAnsi="Times New Roman" w:hint="default"/>
          <w:sz w:val="24"/>
        </w:rPr>
        <w:t xml:space="preserve"> prí</w:t>
      </w:r>
      <w:r w:rsidRPr="00C33068">
        <w:rPr>
          <w:rFonts w:ascii="Times New Roman" w:hAnsi="Times New Roman" w:hint="default"/>
          <w:sz w:val="24"/>
        </w:rPr>
        <w:t>jmy)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7"/>
      </w:r>
      <w:r w:rsidRPr="00C33068" w:rsidR="00AD6879">
        <w:rPr>
          <w:rFonts w:ascii="Times New Roman" w:hAnsi="Times New Roman"/>
          <w:sz w:val="24"/>
        </w:rPr>
        <w:t>.</w:t>
      </w:r>
      <w:r w:rsidRPr="00C33068">
        <w:rPr>
          <w:rFonts w:ascii="Times New Roman" w:hAnsi="Times New Roman"/>
          <w:sz w:val="24"/>
        </w:rPr>
        <w:t xml:space="preserve"> </w:t>
      </w:r>
    </w:p>
    <w:p w:rsidR="00431A4A" w:rsidRP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31A4A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</w:rPr>
      </w:pPr>
      <w:r w:rsidRPr="00C33068">
        <w:rPr>
          <w:rFonts w:ascii="Times New Roman" w:hAnsi="Times New Roman" w:hint="default"/>
          <w:sz w:val="24"/>
        </w:rPr>
        <w:t>Vo vš</w:t>
      </w:r>
      <w:r w:rsidRPr="00C33068">
        <w:rPr>
          <w:rFonts w:ascii="Times New Roman" w:hAnsi="Times New Roman" w:hint="default"/>
          <w:sz w:val="24"/>
        </w:rPr>
        <w:t>eo</w:t>
      </w:r>
      <w:r w:rsidRPr="00C33068">
        <w:rPr>
          <w:rFonts w:ascii="Times New Roman" w:hAnsi="Times New Roman" w:hint="default"/>
          <w:sz w:val="24"/>
        </w:rPr>
        <w:t>becnosti sa v </w:t>
      </w:r>
      <w:r w:rsidRPr="00C33068">
        <w:rPr>
          <w:rFonts w:ascii="Times New Roman" w:hAnsi="Times New Roman" w:hint="default"/>
          <w:sz w:val="24"/>
        </w:rPr>
        <w:t>prognó</w:t>
      </w:r>
      <w:r w:rsidRPr="00C33068">
        <w:rPr>
          <w:rFonts w:ascii="Times New Roman" w:hAnsi="Times New Roman" w:hint="default"/>
          <w:sz w:val="24"/>
        </w:rPr>
        <w:t>zovanom období</w:t>
      </w:r>
      <w:r w:rsidRPr="00C33068">
        <w:rPr>
          <w:rFonts w:ascii="Times New Roman" w:hAnsi="Times New Roman" w:hint="default"/>
          <w:sz w:val="24"/>
        </w:rPr>
        <w:t xml:space="preserve"> uvaž</w:t>
      </w:r>
      <w:r w:rsidRPr="00C33068">
        <w:rPr>
          <w:rFonts w:ascii="Times New Roman" w:hAnsi="Times New Roman" w:hint="default"/>
          <w:sz w:val="24"/>
        </w:rPr>
        <w:t>uje s </w:t>
      </w:r>
      <w:r w:rsidRPr="00C33068">
        <w:rPr>
          <w:rFonts w:ascii="Times New Roman" w:hAnsi="Times New Roman" w:hint="default"/>
          <w:sz w:val="24"/>
        </w:rPr>
        <w:t>nezmenený</w:t>
      </w:r>
      <w:r w:rsidRPr="00C33068">
        <w:rPr>
          <w:rFonts w:ascii="Times New Roman" w:hAnsi="Times New Roman" w:hint="default"/>
          <w:sz w:val="24"/>
        </w:rPr>
        <w:t>m podielom uvedený</w:t>
      </w:r>
      <w:r w:rsidRPr="00C33068">
        <w:rPr>
          <w:rFonts w:ascii="Times New Roman" w:hAnsi="Times New Roman" w:hint="default"/>
          <w:sz w:val="24"/>
        </w:rPr>
        <w:t>ch prí</w:t>
      </w:r>
      <w:r w:rsidRPr="00C33068">
        <w:rPr>
          <w:rFonts w:ascii="Times New Roman" w:hAnsi="Times New Roman" w:hint="default"/>
          <w:sz w:val="24"/>
        </w:rPr>
        <w:t>jmov na HDP, č</w:t>
      </w:r>
      <w:r w:rsidRPr="00C33068">
        <w:rPr>
          <w:rFonts w:ascii="Times New Roman" w:hAnsi="Times New Roman" w:hint="default"/>
          <w:sz w:val="24"/>
        </w:rPr>
        <w:t>o zodpovedá</w:t>
      </w:r>
      <w:r w:rsidRPr="00C33068">
        <w:rPr>
          <w:rFonts w:ascii="Times New Roman" w:hAnsi="Times New Roman" w:hint="default"/>
          <w:sz w:val="24"/>
        </w:rPr>
        <w:t xml:space="preserve"> teoretické</w:t>
      </w:r>
      <w:r w:rsidRPr="00C33068">
        <w:rPr>
          <w:rFonts w:ascii="Times New Roman" w:hAnsi="Times New Roman" w:hint="default"/>
          <w:sz w:val="24"/>
        </w:rPr>
        <w:t>mu predpokladu o </w:t>
      </w:r>
      <w:r w:rsidRPr="00C33068">
        <w:rPr>
          <w:rFonts w:ascii="Times New Roman" w:hAnsi="Times New Roman" w:hint="default"/>
          <w:sz w:val="24"/>
        </w:rPr>
        <w:t>tom, ž</w:t>
      </w:r>
      <w:r w:rsidRPr="00C33068">
        <w:rPr>
          <w:rFonts w:ascii="Times New Roman" w:hAnsi="Times New Roman" w:hint="default"/>
          <w:sz w:val="24"/>
        </w:rPr>
        <w:t>e daň</w:t>
      </w:r>
      <w:r w:rsidRPr="00C33068">
        <w:rPr>
          <w:rFonts w:ascii="Times New Roman" w:hAnsi="Times New Roman" w:hint="default"/>
          <w:sz w:val="24"/>
        </w:rPr>
        <w:t>ové</w:t>
      </w:r>
      <w:r w:rsidRPr="00C33068">
        <w:rPr>
          <w:rFonts w:ascii="Times New Roman" w:hAnsi="Times New Roman" w:hint="default"/>
          <w:sz w:val="24"/>
        </w:rPr>
        <w:t xml:space="preserve"> prí</w:t>
      </w:r>
      <w:r w:rsidRPr="00C33068">
        <w:rPr>
          <w:rFonts w:ascii="Times New Roman" w:hAnsi="Times New Roman" w:hint="default"/>
          <w:sz w:val="24"/>
        </w:rPr>
        <w:t>jmy a odvody by mali v </w:t>
      </w:r>
      <w:r w:rsidRPr="00C33068">
        <w:rPr>
          <w:rFonts w:ascii="Times New Roman" w:hAnsi="Times New Roman" w:hint="default"/>
          <w:sz w:val="24"/>
        </w:rPr>
        <w:t>dlhodobom horizonte rá</w:t>
      </w:r>
      <w:r w:rsidRPr="00C33068">
        <w:rPr>
          <w:rFonts w:ascii="Times New Roman" w:hAnsi="Times New Roman" w:hint="default"/>
          <w:sz w:val="24"/>
        </w:rPr>
        <w:t>sť</w:t>
      </w:r>
      <w:r w:rsidRPr="00C33068">
        <w:rPr>
          <w:rFonts w:ascii="Times New Roman" w:hAnsi="Times New Roman" w:hint="default"/>
          <w:sz w:val="24"/>
        </w:rPr>
        <w:t xml:space="preserve"> v </w:t>
      </w:r>
      <w:r w:rsidRPr="00C33068">
        <w:rPr>
          <w:rFonts w:ascii="Times New Roman" w:hAnsi="Times New Roman" w:hint="default"/>
          <w:sz w:val="24"/>
        </w:rPr>
        <w:t>sú</w:t>
      </w:r>
      <w:r w:rsidRPr="00C33068">
        <w:rPr>
          <w:rFonts w:ascii="Times New Roman" w:hAnsi="Times New Roman" w:hint="default"/>
          <w:sz w:val="24"/>
        </w:rPr>
        <w:t>lade s </w:t>
      </w:r>
      <w:r w:rsidRPr="00C33068">
        <w:rPr>
          <w:rFonts w:ascii="Times New Roman" w:hAnsi="Times New Roman" w:hint="default"/>
          <w:sz w:val="24"/>
        </w:rPr>
        <w:t>rastom nominá</w:t>
      </w:r>
      <w:r w:rsidRPr="00C33068">
        <w:rPr>
          <w:rFonts w:ascii="Times New Roman" w:hAnsi="Times New Roman" w:hint="default"/>
          <w:sz w:val="24"/>
        </w:rPr>
        <w:t>lneho HDP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8"/>
      </w:r>
      <w:r w:rsidRPr="00C33068">
        <w:rPr>
          <w:rFonts w:ascii="Times New Roman" w:hAnsi="Times New Roman" w:hint="default"/>
          <w:sz w:val="24"/>
        </w:rPr>
        <w:t>. Prí</w:t>
      </w:r>
      <w:r w:rsidRPr="00C33068">
        <w:rPr>
          <w:rFonts w:ascii="Times New Roman" w:hAnsi="Times New Roman" w:hint="default"/>
          <w:sz w:val="24"/>
        </w:rPr>
        <w:t>padná</w:t>
      </w:r>
      <w:r w:rsidRPr="00C33068">
        <w:rPr>
          <w:rFonts w:ascii="Times New Roman" w:hAnsi="Times New Roman" w:hint="default"/>
          <w:sz w:val="24"/>
        </w:rPr>
        <w:t xml:space="preserve"> zmena podielu </w:t>
      </w:r>
      <w:r w:rsidRPr="00C33068">
        <w:rPr>
          <w:rFonts w:ascii="Times New Roman" w:hAnsi="Times New Roman" w:hint="default"/>
          <w:sz w:val="24"/>
        </w:rPr>
        <w:t>prí</w:t>
      </w:r>
      <w:r w:rsidRPr="00C33068">
        <w:rPr>
          <w:rFonts w:ascii="Times New Roman" w:hAnsi="Times New Roman" w:hint="default"/>
          <w:sz w:val="24"/>
        </w:rPr>
        <w:t>jmov z </w:t>
      </w:r>
      <w:r w:rsidRPr="00C33068">
        <w:rPr>
          <w:rFonts w:ascii="Times New Roman" w:hAnsi="Times New Roman" w:hint="default"/>
          <w:sz w:val="24"/>
        </w:rPr>
        <w:t>dô</w:t>
      </w:r>
      <w:r w:rsidRPr="00C33068">
        <w:rPr>
          <w:rFonts w:ascii="Times New Roman" w:hAnsi="Times New Roman" w:hint="default"/>
          <w:sz w:val="24"/>
        </w:rPr>
        <w:t>chodkové</w:t>
      </w:r>
      <w:r w:rsidRPr="00C33068">
        <w:rPr>
          <w:rFonts w:ascii="Times New Roman" w:hAnsi="Times New Roman" w:hint="default"/>
          <w:sz w:val="24"/>
        </w:rPr>
        <w:t>ho poistenia na HDP v </w:t>
      </w:r>
      <w:r w:rsidRPr="00C33068">
        <w:rPr>
          <w:rFonts w:ascii="Times New Roman" w:hAnsi="Times New Roman" w:hint="default"/>
          <w:sz w:val="24"/>
        </w:rPr>
        <w:t>č</w:t>
      </w:r>
      <w:r w:rsidRPr="00C33068">
        <w:rPr>
          <w:rFonts w:ascii="Times New Roman" w:hAnsi="Times New Roman" w:hint="default"/>
          <w:sz w:val="24"/>
        </w:rPr>
        <w:t>ase by sú</w:t>
      </w:r>
      <w:r w:rsidRPr="00C33068">
        <w:rPr>
          <w:rFonts w:ascii="Times New Roman" w:hAnsi="Times New Roman" w:hint="default"/>
          <w:sz w:val="24"/>
        </w:rPr>
        <w:t>visela s </w:t>
      </w:r>
      <w:r w:rsidRPr="00C33068">
        <w:rPr>
          <w:rFonts w:ascii="Times New Roman" w:hAnsi="Times New Roman" w:hint="default"/>
          <w:sz w:val="24"/>
        </w:rPr>
        <w:t>tý</w:t>
      </w:r>
      <w:r w:rsidRPr="00C33068">
        <w:rPr>
          <w:rFonts w:ascii="Times New Roman" w:hAnsi="Times New Roman" w:hint="default"/>
          <w:sz w:val="24"/>
        </w:rPr>
        <w:t>m, ž</w:t>
      </w:r>
      <w:r w:rsidRPr="00C33068">
        <w:rPr>
          <w:rFonts w:ascii="Times New Roman" w:hAnsi="Times New Roman" w:hint="default"/>
          <w:sz w:val="24"/>
        </w:rPr>
        <w:t>e č</w:t>
      </w:r>
      <w:r w:rsidRPr="00C33068">
        <w:rPr>
          <w:rFonts w:ascii="Times New Roman" w:hAnsi="Times New Roman" w:hint="default"/>
          <w:sz w:val="24"/>
        </w:rPr>
        <w:t>asť</w:t>
      </w:r>
      <w:r w:rsidRPr="00C33068">
        <w:rPr>
          <w:rFonts w:ascii="Times New Roman" w:hAnsi="Times New Roman" w:hint="default"/>
          <w:sz w:val="24"/>
        </w:rPr>
        <w:t xml:space="preserve"> odvodov je presmerovaná</w:t>
      </w:r>
      <w:r w:rsidRPr="00C33068">
        <w:rPr>
          <w:rFonts w:ascii="Times New Roman" w:hAnsi="Times New Roman" w:hint="default"/>
          <w:sz w:val="24"/>
        </w:rPr>
        <w:t xml:space="preserve"> do II. piliera dô</w:t>
      </w:r>
      <w:r w:rsidRPr="00C33068">
        <w:rPr>
          <w:rFonts w:ascii="Times New Roman" w:hAnsi="Times New Roman" w:hint="default"/>
          <w:sz w:val="24"/>
        </w:rPr>
        <w:t>chodkové</w:t>
      </w:r>
      <w:r w:rsidRPr="00C33068">
        <w:rPr>
          <w:rFonts w:ascii="Times New Roman" w:hAnsi="Times New Roman" w:hint="default"/>
          <w:sz w:val="24"/>
        </w:rPr>
        <w:t>ho systé</w:t>
      </w:r>
      <w:r w:rsidRPr="00C33068">
        <w:rPr>
          <w:rFonts w:ascii="Times New Roman" w:hAnsi="Times New Roman" w:hint="default"/>
          <w:sz w:val="24"/>
        </w:rPr>
        <w:t>mu (t.</w:t>
      </w:r>
      <w:r w:rsidR="001F141E">
        <w:rPr>
          <w:rFonts w:ascii="Times New Roman" w:hAnsi="Times New Roman"/>
          <w:sz w:val="24"/>
        </w:rPr>
        <w:t xml:space="preserve"> </w:t>
      </w:r>
      <w:r w:rsidRPr="00C33068">
        <w:rPr>
          <w:rFonts w:ascii="Times New Roman" w:hAnsi="Times New Roman" w:hint="default"/>
          <w:sz w:val="24"/>
        </w:rPr>
        <w:t>j. mimo sektor verejnej sprá</w:t>
      </w:r>
      <w:r w:rsidRPr="00C33068">
        <w:rPr>
          <w:rFonts w:ascii="Times New Roman" w:hAnsi="Times New Roman" w:hint="default"/>
          <w:sz w:val="24"/>
        </w:rPr>
        <w:t>vy), prič</w:t>
      </w:r>
      <w:r w:rsidRPr="00C33068">
        <w:rPr>
          <w:rFonts w:ascii="Times New Roman" w:hAnsi="Times New Roman" w:hint="default"/>
          <w:sz w:val="24"/>
        </w:rPr>
        <w:t>om tá</w:t>
      </w:r>
      <w:r w:rsidRPr="00C33068">
        <w:rPr>
          <w:rFonts w:ascii="Times New Roman" w:hAnsi="Times New Roman" w:hint="default"/>
          <w:sz w:val="24"/>
        </w:rPr>
        <w:t>to č</w:t>
      </w:r>
      <w:r w:rsidRPr="00C33068">
        <w:rPr>
          <w:rFonts w:ascii="Times New Roman" w:hAnsi="Times New Roman" w:hint="default"/>
          <w:sz w:val="24"/>
        </w:rPr>
        <w:t>asť</w:t>
      </w:r>
      <w:r w:rsidRPr="00C33068">
        <w:rPr>
          <w:rFonts w:ascii="Times New Roman" w:hAnsi="Times New Roman" w:hint="default"/>
          <w:sz w:val="24"/>
        </w:rPr>
        <w:t xml:space="preserve"> sa v </w:t>
      </w:r>
      <w:r w:rsidRPr="00C33068">
        <w:rPr>
          <w:rFonts w:ascii="Times New Roman" w:hAnsi="Times New Roman" w:hint="default"/>
          <w:sz w:val="24"/>
        </w:rPr>
        <w:t>č</w:t>
      </w:r>
      <w:r w:rsidRPr="00C33068">
        <w:rPr>
          <w:rFonts w:ascii="Times New Roman" w:hAnsi="Times New Roman" w:hint="default"/>
          <w:sz w:val="24"/>
        </w:rPr>
        <w:t>ase môž</w:t>
      </w:r>
      <w:r w:rsidRPr="00C33068">
        <w:rPr>
          <w:rFonts w:ascii="Times New Roman" w:hAnsi="Times New Roman" w:hint="default"/>
          <w:sz w:val="24"/>
        </w:rPr>
        <w:t>e meniť</w:t>
      </w:r>
      <w:r w:rsidRPr="00C33068">
        <w:rPr>
          <w:rFonts w:ascii="Times New Roman" w:hAnsi="Times New Roman" w:hint="default"/>
          <w:sz w:val="24"/>
        </w:rPr>
        <w:t xml:space="preserve"> v dô</w:t>
      </w:r>
      <w:r w:rsidRPr="00C33068">
        <w:rPr>
          <w:rFonts w:ascii="Times New Roman" w:hAnsi="Times New Roman" w:hint="default"/>
          <w:sz w:val="24"/>
        </w:rPr>
        <w:t>sledku zmeny podielu sporiteľ</w:t>
      </w:r>
      <w:r w:rsidRPr="00C33068">
        <w:rPr>
          <w:rFonts w:ascii="Times New Roman" w:hAnsi="Times New Roman" w:hint="default"/>
          <w:sz w:val="24"/>
        </w:rPr>
        <w:t>ov na celkovom</w:t>
      </w:r>
      <w:r w:rsidRPr="00C33068">
        <w:rPr>
          <w:rFonts w:ascii="Times New Roman" w:hAnsi="Times New Roman" w:hint="default"/>
          <w:sz w:val="24"/>
        </w:rPr>
        <w:t xml:space="preserve"> poč</w:t>
      </w:r>
      <w:r w:rsidRPr="00C33068">
        <w:rPr>
          <w:rFonts w:ascii="Times New Roman" w:hAnsi="Times New Roman" w:hint="default"/>
          <w:sz w:val="24"/>
        </w:rPr>
        <w:t>te poistencov.</w:t>
      </w:r>
    </w:p>
    <w:p w:rsidR="00746170" w:rsidRP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31A4A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</w:rPr>
      </w:pPr>
      <w:r w:rsidRPr="00C33068" w:rsidR="005D02DB">
        <w:rPr>
          <w:rFonts w:ascii="Times New Roman" w:hAnsi="Times New Roman" w:hint="default"/>
          <w:sz w:val="24"/>
        </w:rPr>
        <w:t>Na strane vý</w:t>
      </w:r>
      <w:r w:rsidRPr="00C33068" w:rsidR="005D02DB">
        <w:rPr>
          <w:rFonts w:ascii="Times New Roman" w:hAnsi="Times New Roman" w:hint="default"/>
          <w:sz w:val="24"/>
        </w:rPr>
        <w:t>davkov ide o </w:t>
      </w:r>
      <w:r w:rsidRPr="00C33068" w:rsidR="005D02DB">
        <w:rPr>
          <w:rFonts w:ascii="Times New Roman" w:hAnsi="Times New Roman" w:hint="default"/>
          <w:sz w:val="24"/>
        </w:rPr>
        <w:t>vý</w:t>
      </w:r>
      <w:r w:rsidRPr="00C33068" w:rsidR="005D02DB">
        <w:rPr>
          <w:rFonts w:ascii="Times New Roman" w:hAnsi="Times New Roman" w:hint="default"/>
          <w:sz w:val="24"/>
        </w:rPr>
        <w:t>davky na dô</w:t>
      </w:r>
      <w:r w:rsidRPr="00C33068" w:rsidR="005D02DB">
        <w:rPr>
          <w:rFonts w:ascii="Times New Roman" w:hAnsi="Times New Roman" w:hint="default"/>
          <w:sz w:val="24"/>
        </w:rPr>
        <w:t>chodkové</w:t>
      </w:r>
      <w:r w:rsidRPr="00C33068" w:rsidR="005D02DB">
        <w:rPr>
          <w:rFonts w:ascii="Times New Roman" w:hAnsi="Times New Roman" w:hint="default"/>
          <w:sz w:val="24"/>
        </w:rPr>
        <w:t xml:space="preserve"> dá</w:t>
      </w:r>
      <w:r w:rsidRPr="00C33068" w:rsidR="005D02DB">
        <w:rPr>
          <w:rFonts w:ascii="Times New Roman" w:hAnsi="Times New Roman" w:hint="default"/>
          <w:sz w:val="24"/>
        </w:rPr>
        <w:t>vky, zdravotnú</w:t>
      </w:r>
      <w:r w:rsidRPr="00C33068" w:rsidR="005D02DB">
        <w:rPr>
          <w:rFonts w:ascii="Times New Roman" w:hAnsi="Times New Roman" w:hint="default"/>
          <w:sz w:val="24"/>
        </w:rPr>
        <w:t xml:space="preserve"> a </w:t>
      </w:r>
      <w:r w:rsidRPr="00C33068" w:rsidR="005D02DB">
        <w:rPr>
          <w:rFonts w:ascii="Times New Roman" w:hAnsi="Times New Roman" w:hint="default"/>
          <w:sz w:val="24"/>
        </w:rPr>
        <w:t>dlhodobú</w:t>
      </w:r>
      <w:r w:rsidRPr="00C33068" w:rsidR="005D02DB">
        <w:rPr>
          <w:rFonts w:ascii="Times New Roman" w:hAnsi="Times New Roman" w:hint="default"/>
          <w:sz w:val="24"/>
        </w:rPr>
        <w:t xml:space="preserve"> starostlivosť</w:t>
      </w:r>
      <w:r w:rsidRPr="00C33068" w:rsidR="005D02DB">
        <w:rPr>
          <w:rFonts w:ascii="Times New Roman" w:hAnsi="Times New Roman" w:hint="default"/>
          <w:sz w:val="24"/>
        </w:rPr>
        <w:t>, š</w:t>
      </w:r>
      <w:r w:rsidRPr="00C33068" w:rsidR="005D02DB">
        <w:rPr>
          <w:rFonts w:ascii="Times New Roman" w:hAnsi="Times New Roman" w:hint="default"/>
          <w:sz w:val="24"/>
        </w:rPr>
        <w:t>kolstvo a </w:t>
      </w:r>
      <w:r w:rsidRPr="00C33068" w:rsidR="005D02DB">
        <w:rPr>
          <w:rFonts w:ascii="Times New Roman" w:hAnsi="Times New Roman" w:hint="default"/>
          <w:sz w:val="24"/>
        </w:rPr>
        <w:t>dá</w:t>
      </w:r>
      <w:r w:rsidRPr="00C33068" w:rsidR="005D02DB">
        <w:rPr>
          <w:rFonts w:ascii="Times New Roman" w:hAnsi="Times New Roman" w:hint="default"/>
          <w:sz w:val="24"/>
        </w:rPr>
        <w:t>vky v nezamestnanosti.</w:t>
      </w:r>
      <w:r w:rsidRPr="00C33068" w:rsidR="00E51A0A">
        <w:rPr>
          <w:rFonts w:ascii="Times New Roman" w:hAnsi="Times New Roman"/>
          <w:sz w:val="24"/>
        </w:rPr>
        <w:t xml:space="preserve"> </w:t>
      </w:r>
      <w:r w:rsidRPr="00C33068" w:rsidR="003C5779">
        <w:rPr>
          <w:rFonts w:ascii="Times New Roman" w:hAnsi="Times New Roman" w:hint="default"/>
          <w:sz w:val="24"/>
        </w:rPr>
        <w:t>Neuvaž</w:t>
      </w:r>
      <w:r w:rsidRPr="00C33068" w:rsidR="003C5779">
        <w:rPr>
          <w:rFonts w:ascii="Times New Roman" w:hAnsi="Times New Roman" w:hint="default"/>
          <w:sz w:val="24"/>
        </w:rPr>
        <w:t>uje</w:t>
      </w:r>
      <w:r w:rsidRPr="00C33068" w:rsidR="001B57C8">
        <w:rPr>
          <w:rFonts w:ascii="Times New Roman" w:hAnsi="Times New Roman" w:hint="default"/>
          <w:sz w:val="24"/>
        </w:rPr>
        <w:t xml:space="preserve"> sa tu so zmenou ú</w:t>
      </w:r>
      <w:r w:rsidRPr="00C33068" w:rsidR="001B57C8">
        <w:rPr>
          <w:rFonts w:ascii="Times New Roman" w:hAnsi="Times New Roman" w:hint="default"/>
          <w:sz w:val="24"/>
        </w:rPr>
        <w:t>rokový</w:t>
      </w:r>
      <w:r w:rsidRPr="00C33068" w:rsidR="001B57C8">
        <w:rPr>
          <w:rFonts w:ascii="Times New Roman" w:hAnsi="Times New Roman" w:hint="default"/>
          <w:sz w:val="24"/>
        </w:rPr>
        <w:t>ch ná</w:t>
      </w:r>
      <w:r w:rsidRPr="00C33068" w:rsidR="001B57C8">
        <w:rPr>
          <w:rFonts w:ascii="Times New Roman" w:hAnsi="Times New Roman" w:hint="default"/>
          <w:sz w:val="24"/>
        </w:rPr>
        <w:t>kladov vyvolaný</w:t>
      </w:r>
      <w:r w:rsidRPr="00C33068" w:rsidR="001B57C8">
        <w:rPr>
          <w:rFonts w:ascii="Times New Roman" w:hAnsi="Times New Roman" w:hint="default"/>
          <w:sz w:val="24"/>
        </w:rPr>
        <w:t>ch zmenou primá</w:t>
      </w:r>
      <w:r w:rsidRPr="00C33068" w:rsidR="001B57C8">
        <w:rPr>
          <w:rFonts w:ascii="Times New Roman" w:hAnsi="Times New Roman" w:hint="default"/>
          <w:sz w:val="24"/>
        </w:rPr>
        <w:t>rneho salda verejnej sprá</w:t>
      </w:r>
      <w:r w:rsidRPr="00C33068" w:rsidR="001B57C8">
        <w:rPr>
          <w:rFonts w:ascii="Times New Roman" w:hAnsi="Times New Roman" w:hint="default"/>
          <w:sz w:val="24"/>
        </w:rPr>
        <w:t>vy v </w:t>
      </w:r>
      <w:r w:rsidRPr="00C33068" w:rsidR="001B57C8">
        <w:rPr>
          <w:rFonts w:ascii="Times New Roman" w:hAnsi="Times New Roman" w:hint="default"/>
          <w:sz w:val="24"/>
        </w:rPr>
        <w:t>dô</w:t>
      </w:r>
      <w:r w:rsidRPr="00C33068" w:rsidR="001B57C8">
        <w:rPr>
          <w:rFonts w:ascii="Times New Roman" w:hAnsi="Times New Roman" w:hint="default"/>
          <w:sz w:val="24"/>
        </w:rPr>
        <w:t>sledku sta</w:t>
      </w:r>
      <w:r w:rsidRPr="00C33068" w:rsidR="001B57C8">
        <w:rPr>
          <w:rFonts w:ascii="Times New Roman" w:hAnsi="Times New Roman" w:hint="default"/>
          <w:sz w:val="24"/>
        </w:rPr>
        <w:t>rnutia populá</w:t>
      </w:r>
      <w:r w:rsidRPr="00C33068" w:rsidR="001B57C8">
        <w:rPr>
          <w:rFonts w:ascii="Times New Roman" w:hAnsi="Times New Roman" w:hint="default"/>
          <w:sz w:val="24"/>
        </w:rPr>
        <w:t>cie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9"/>
      </w:r>
      <w:r w:rsidRPr="00C33068" w:rsidR="001B57C8">
        <w:rPr>
          <w:rFonts w:ascii="Times New Roman" w:hAnsi="Times New Roman"/>
          <w:sz w:val="24"/>
        </w:rPr>
        <w:t xml:space="preserve">. </w:t>
      </w:r>
      <w:r w:rsidRPr="00C33068">
        <w:rPr>
          <w:rFonts w:ascii="Times New Roman" w:hAnsi="Times New Roman"/>
          <w:sz w:val="24"/>
        </w:rPr>
        <w:t>V </w:t>
      </w:r>
      <w:r w:rsidRPr="00C33068">
        <w:rPr>
          <w:rFonts w:ascii="Times New Roman" w:hAnsi="Times New Roman" w:hint="default"/>
          <w:sz w:val="24"/>
        </w:rPr>
        <w:t>prí</w:t>
      </w:r>
      <w:r w:rsidRPr="00C33068">
        <w:rPr>
          <w:rFonts w:ascii="Times New Roman" w:hAnsi="Times New Roman" w:hint="default"/>
          <w:sz w:val="24"/>
        </w:rPr>
        <w:t>pade vý</w:t>
      </w:r>
      <w:r w:rsidRPr="00C33068">
        <w:rPr>
          <w:rFonts w:ascii="Times New Roman" w:hAnsi="Times New Roman" w:hint="default"/>
          <w:sz w:val="24"/>
        </w:rPr>
        <w:t>davkov na dô</w:t>
      </w:r>
      <w:r w:rsidRPr="00C33068">
        <w:rPr>
          <w:rFonts w:ascii="Times New Roman" w:hAnsi="Times New Roman" w:hint="default"/>
          <w:sz w:val="24"/>
        </w:rPr>
        <w:t>chodkové</w:t>
      </w:r>
      <w:r w:rsidRPr="00C33068">
        <w:rPr>
          <w:rFonts w:ascii="Times New Roman" w:hAnsi="Times New Roman" w:hint="default"/>
          <w:sz w:val="24"/>
        </w:rPr>
        <w:t xml:space="preserve"> dá</w:t>
      </w:r>
      <w:r w:rsidRPr="00C33068">
        <w:rPr>
          <w:rFonts w:ascii="Times New Roman" w:hAnsi="Times New Roman" w:hint="default"/>
          <w:sz w:val="24"/>
        </w:rPr>
        <w:t>vky ide o </w:t>
      </w:r>
      <w:r w:rsidRPr="00C33068">
        <w:rPr>
          <w:rFonts w:ascii="Times New Roman" w:hAnsi="Times New Roman" w:hint="default"/>
          <w:sz w:val="24"/>
        </w:rPr>
        <w:t>projekcie MF SR konzultované</w:t>
      </w:r>
      <w:r w:rsidRPr="00C33068">
        <w:rPr>
          <w:rFonts w:ascii="Times New Roman" w:hAnsi="Times New Roman" w:hint="default"/>
          <w:sz w:val="24"/>
        </w:rPr>
        <w:t xml:space="preserve"> a </w:t>
      </w:r>
      <w:r w:rsidRPr="00C33068">
        <w:rPr>
          <w:rFonts w:ascii="Times New Roman" w:hAnsi="Times New Roman" w:hint="default"/>
          <w:sz w:val="24"/>
        </w:rPr>
        <w:t>schvaľ</w:t>
      </w:r>
      <w:r w:rsidRPr="00C33068">
        <w:rPr>
          <w:rFonts w:ascii="Times New Roman" w:hAnsi="Times New Roman" w:hint="default"/>
          <w:sz w:val="24"/>
        </w:rPr>
        <w:t>ované</w:t>
      </w:r>
      <w:r w:rsidRPr="00C33068">
        <w:rPr>
          <w:rFonts w:ascii="Times New Roman" w:hAnsi="Times New Roman" w:hint="default"/>
          <w:sz w:val="24"/>
        </w:rPr>
        <w:t xml:space="preserve"> v </w:t>
      </w:r>
      <w:r w:rsidRPr="00C33068">
        <w:rPr>
          <w:rFonts w:ascii="Times New Roman" w:hAnsi="Times New Roman" w:hint="default"/>
          <w:sz w:val="24"/>
        </w:rPr>
        <w:t>rá</w:t>
      </w:r>
      <w:r w:rsidRPr="00C33068">
        <w:rPr>
          <w:rFonts w:ascii="Times New Roman" w:hAnsi="Times New Roman" w:hint="default"/>
          <w:sz w:val="24"/>
        </w:rPr>
        <w:t>mci AWG. Projekcie ostatný</w:t>
      </w:r>
      <w:r w:rsidRPr="00C33068">
        <w:rPr>
          <w:rFonts w:ascii="Times New Roman" w:hAnsi="Times New Roman" w:hint="default"/>
          <w:sz w:val="24"/>
        </w:rPr>
        <w:t>ch vý</w:t>
      </w:r>
      <w:r w:rsidRPr="00C33068">
        <w:rPr>
          <w:rFonts w:ascii="Times New Roman" w:hAnsi="Times New Roman" w:hint="default"/>
          <w:sz w:val="24"/>
        </w:rPr>
        <w:t>davkov sú</w:t>
      </w:r>
      <w:r w:rsidRPr="00C33068">
        <w:rPr>
          <w:rFonts w:ascii="Times New Roman" w:hAnsi="Times New Roman" w:hint="default"/>
          <w:sz w:val="24"/>
        </w:rPr>
        <w:t xml:space="preserve"> prevzaté</w:t>
      </w:r>
      <w:r w:rsidRPr="00C33068">
        <w:rPr>
          <w:rFonts w:ascii="Times New Roman" w:hAnsi="Times New Roman" w:hint="default"/>
          <w:sz w:val="24"/>
        </w:rPr>
        <w:t xml:space="preserve"> priamo z AWG.</w:t>
      </w:r>
    </w:p>
    <w:p w:rsidR="008C658A" w:rsidRPr="00C33068" w:rsidP="00431A4A">
      <w:pPr>
        <w:bidi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Normal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544"/>
        <w:gridCol w:w="67"/>
        <w:gridCol w:w="611"/>
        <w:gridCol w:w="254"/>
        <w:gridCol w:w="357"/>
        <w:gridCol w:w="292"/>
        <w:gridCol w:w="319"/>
        <w:gridCol w:w="519"/>
        <w:gridCol w:w="93"/>
        <w:gridCol w:w="569"/>
        <w:gridCol w:w="42"/>
        <w:gridCol w:w="427"/>
        <w:gridCol w:w="184"/>
        <w:gridCol w:w="611"/>
        <w:gridCol w:w="612"/>
      </w:tblGrid>
      <w:tr>
        <w:tblPrEx>
          <w:tblW w:w="90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9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534B83" w:rsidRPr="00C33068" w:rsidP="00534B83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Vplyv demografických zmien na príjmy a výdavky verejnej správy</w:t>
            </w:r>
            <w:r w:rsidR="00345D3A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 xml:space="preserve"> </w:t>
            </w: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 xml:space="preserve"> </w:t>
            </w:r>
            <w:r w:rsidRPr="00345D3A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(% HDP)</w:t>
            </w: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 xml:space="preserve">  - základný scenár 2014 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2015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2016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2017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2020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2030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2040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2050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2060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A. Príjmy VS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18,1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18,1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dôchodkové poistenie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5,6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5,6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5,6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5,6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5,5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5,5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5,9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5,9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poistenie v nezamestnanosti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zdravotné poistenie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3,7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3,7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3,7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3,6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3,6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3,6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3,6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3,6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3,6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ostatné príjmy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C33068">
            <w:pPr>
              <w:bidi w:val="0"/>
              <w:spacing w:after="0" w:line="240" w:lineRule="auto"/>
              <w:ind w:firstLine="320" w:firstLineChars="200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 - dôchodky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2,4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C33068">
            <w:pPr>
              <w:bidi w:val="0"/>
              <w:spacing w:after="0" w:line="240" w:lineRule="auto"/>
              <w:ind w:firstLine="320" w:firstLineChars="200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nezamestnanosť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-0,2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C33068">
            <w:pPr>
              <w:bidi w:val="0"/>
              <w:spacing w:after="0" w:line="240" w:lineRule="auto"/>
              <w:ind w:firstLine="320" w:firstLineChars="200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zdravotníctvo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C33068">
            <w:pPr>
              <w:bidi w:val="0"/>
              <w:spacing w:after="0" w:line="240" w:lineRule="auto"/>
              <w:ind w:firstLine="320" w:firstLineChars="200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dlhodobá starostlivosť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C33068">
            <w:pPr>
              <w:bidi w:val="0"/>
              <w:spacing w:after="0" w:line="240" w:lineRule="auto"/>
              <w:ind w:firstLine="320" w:firstLineChars="200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školstvo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B. Výdavky citlivé na starnutie populácie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17,9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18,0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18,7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19,8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21,6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23,3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dôchodkové dávky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9,5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10,6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zdravotná starostlivosť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6,4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6,5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6,5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6,6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6,8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7,5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8,9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9,2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dlhodobá starostlivosť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0,7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školstvo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2,7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sz w:val="16"/>
                <w:szCs w:val="16"/>
                <w:lang w:eastAsia="sk-SK"/>
              </w:rPr>
              <w:t xml:space="preserve"> - dávky v nezamestnanosti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0,1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C. Primárne saldo (A-B)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-0,1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-0,1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-0,4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-1,1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-1,9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-3,5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-5,2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Primárne saldo diskontované k roku 2014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-0,1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-0,1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-0,2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-0,4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-1,1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-1,7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-2,5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-3,0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 p.m. nominálny rast HDP (v %)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2,1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3,7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5,4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5,5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5,1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3,9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3,3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3,0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3,1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 p.m. nominálna úroková miera (v %)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3,4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3,3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3,2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3,2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5,1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5,1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5,1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5,1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en-US" w:eastAsia="sk-SK"/>
              </w:rPr>
              <w:t>5,1</w:t>
            </w:r>
          </w:p>
        </w:tc>
      </w:tr>
      <w:tr>
        <w:tblPrEx>
          <w:tblW w:w="904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4F7E82" w:rsidRPr="00C33068" w:rsidP="004F7E8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k-SK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4F7E82" w:rsidRPr="00C33068" w:rsidP="004F7E8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Zdroj: MF SR, EK</w:t>
            </w:r>
          </w:p>
        </w:tc>
      </w:tr>
    </w:tbl>
    <w:p w:rsidR="004F7E82" w:rsidRP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045D4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33068" w:rsidR="00534B83">
        <w:rPr>
          <w:rFonts w:ascii="Times New Roman" w:hAnsi="Times New Roman" w:hint="default"/>
          <w:sz w:val="24"/>
        </w:rPr>
        <w:t>Primá</w:t>
      </w:r>
      <w:r w:rsidRPr="00C33068" w:rsidR="00534B83">
        <w:rPr>
          <w:rFonts w:ascii="Times New Roman" w:hAnsi="Times New Roman" w:hint="default"/>
          <w:sz w:val="24"/>
        </w:rPr>
        <w:t xml:space="preserve">rne saldo </w:t>
      </w:r>
      <w:r w:rsidRPr="00C33068" w:rsidR="00397E9A">
        <w:rPr>
          <w:rFonts w:ascii="Times New Roman" w:hAnsi="Times New Roman"/>
          <w:sz w:val="24"/>
        </w:rPr>
        <w:t>v </w:t>
      </w:r>
      <w:r w:rsidRPr="00C33068" w:rsidR="00397E9A">
        <w:rPr>
          <w:rFonts w:ascii="Times New Roman" w:hAnsi="Times New Roman" w:hint="default"/>
          <w:sz w:val="24"/>
        </w:rPr>
        <w:t>tabuľ</w:t>
      </w:r>
      <w:r w:rsidRPr="00C33068" w:rsidR="00397E9A">
        <w:rPr>
          <w:rFonts w:ascii="Times New Roman" w:hAnsi="Times New Roman" w:hint="default"/>
          <w:sz w:val="24"/>
        </w:rPr>
        <w:t>ke mož</w:t>
      </w:r>
      <w:r w:rsidRPr="00C33068" w:rsidR="00397E9A">
        <w:rPr>
          <w:rFonts w:ascii="Times New Roman" w:hAnsi="Times New Roman" w:hint="default"/>
          <w:sz w:val="24"/>
        </w:rPr>
        <w:t>no interpretovať</w:t>
      </w:r>
      <w:r w:rsidRPr="00C33068" w:rsidR="00397E9A">
        <w:rPr>
          <w:rFonts w:ascii="Times New Roman" w:hAnsi="Times New Roman" w:hint="default"/>
          <w:sz w:val="24"/>
        </w:rPr>
        <w:t xml:space="preserve"> tak, ž</w:t>
      </w:r>
      <w:r w:rsidRPr="00C33068" w:rsidR="00397E9A">
        <w:rPr>
          <w:rFonts w:ascii="Times New Roman" w:hAnsi="Times New Roman" w:hint="default"/>
          <w:sz w:val="24"/>
        </w:rPr>
        <w:t>e v </w:t>
      </w:r>
      <w:r w:rsidRPr="00C33068" w:rsidR="00397E9A">
        <w:rPr>
          <w:rFonts w:ascii="Times New Roman" w:hAnsi="Times New Roman" w:hint="default"/>
          <w:sz w:val="24"/>
        </w:rPr>
        <w:t>roku 2060 dô</w:t>
      </w:r>
      <w:r w:rsidRPr="00C33068" w:rsidR="00397E9A">
        <w:rPr>
          <w:rFonts w:ascii="Times New Roman" w:hAnsi="Times New Roman" w:hint="default"/>
          <w:sz w:val="24"/>
        </w:rPr>
        <w:t>jde v porovnaní</w:t>
      </w:r>
      <w:r w:rsidRPr="00C33068" w:rsidR="00397E9A">
        <w:rPr>
          <w:rFonts w:ascii="Times New Roman" w:hAnsi="Times New Roman" w:hint="default"/>
          <w:sz w:val="24"/>
        </w:rPr>
        <w:t xml:space="preserve"> s rokom 201</w:t>
      </w:r>
      <w:r w:rsidRPr="00C33068" w:rsidR="000049C3">
        <w:rPr>
          <w:rFonts w:ascii="Times New Roman" w:hAnsi="Times New Roman"/>
          <w:sz w:val="24"/>
        </w:rPr>
        <w:t>4</w:t>
      </w:r>
      <w:r w:rsidRPr="00C33068" w:rsidR="00FB1DC7">
        <w:rPr>
          <w:rFonts w:ascii="Times New Roman" w:hAnsi="Times New Roman"/>
          <w:sz w:val="24"/>
        </w:rPr>
        <w:t xml:space="preserve"> k </w:t>
      </w:r>
      <w:r w:rsidRPr="00C33068" w:rsidR="00FB1DC7">
        <w:rPr>
          <w:rFonts w:ascii="Times New Roman" w:hAnsi="Times New Roman" w:hint="default"/>
          <w:sz w:val="24"/>
        </w:rPr>
        <w:t>zhorš</w:t>
      </w:r>
      <w:r w:rsidRPr="00C33068" w:rsidR="00FB1DC7">
        <w:rPr>
          <w:rFonts w:ascii="Times New Roman" w:hAnsi="Times New Roman" w:hint="default"/>
          <w:sz w:val="24"/>
        </w:rPr>
        <w:t xml:space="preserve">eniu </w:t>
      </w:r>
      <w:r w:rsidRPr="00C33068" w:rsidR="00EA3DF2">
        <w:rPr>
          <w:rFonts w:ascii="Times New Roman" w:hAnsi="Times New Roman" w:hint="default"/>
          <w:sz w:val="24"/>
        </w:rPr>
        <w:t>diskontované</w:t>
      </w:r>
      <w:r w:rsidRPr="00C33068" w:rsidR="00EA3DF2">
        <w:rPr>
          <w:rFonts w:ascii="Times New Roman" w:hAnsi="Times New Roman" w:hint="default"/>
          <w:sz w:val="24"/>
        </w:rPr>
        <w:t xml:space="preserve">ho </w:t>
      </w:r>
      <w:r w:rsidRPr="00C33068" w:rsidR="00FB1DC7">
        <w:rPr>
          <w:rFonts w:ascii="Times New Roman" w:hAnsi="Times New Roman" w:hint="default"/>
          <w:sz w:val="24"/>
        </w:rPr>
        <w:t>primá</w:t>
      </w:r>
      <w:r w:rsidRPr="00C33068" w:rsidR="00FB1DC7">
        <w:rPr>
          <w:rFonts w:ascii="Times New Roman" w:hAnsi="Times New Roman" w:hint="default"/>
          <w:sz w:val="24"/>
        </w:rPr>
        <w:t xml:space="preserve">rneho salda </w:t>
      </w:r>
      <w:r w:rsidRPr="00C33068" w:rsidR="003D49CE">
        <w:rPr>
          <w:rFonts w:ascii="Times New Roman" w:hAnsi="Times New Roman" w:hint="default"/>
          <w:sz w:val="24"/>
        </w:rPr>
        <w:t>v dô</w:t>
      </w:r>
      <w:r w:rsidRPr="00C33068" w:rsidR="003D49CE">
        <w:rPr>
          <w:rFonts w:ascii="Times New Roman" w:hAnsi="Times New Roman" w:hint="default"/>
          <w:sz w:val="24"/>
        </w:rPr>
        <w:t>sledku</w:t>
      </w:r>
      <w:r w:rsidRPr="00C33068" w:rsidR="00FB1DC7">
        <w:rPr>
          <w:rFonts w:ascii="Times New Roman" w:hAnsi="Times New Roman"/>
          <w:sz w:val="24"/>
        </w:rPr>
        <w:t xml:space="preserve"> starnuti</w:t>
      </w:r>
      <w:r w:rsidRPr="00C33068" w:rsidR="003D49CE">
        <w:rPr>
          <w:rFonts w:ascii="Times New Roman" w:hAnsi="Times New Roman"/>
          <w:sz w:val="24"/>
        </w:rPr>
        <w:t>a</w:t>
      </w:r>
      <w:r w:rsidRPr="00C33068" w:rsidR="00397E9A">
        <w:rPr>
          <w:rFonts w:ascii="Times New Roman" w:hAnsi="Times New Roman" w:hint="default"/>
          <w:sz w:val="24"/>
        </w:rPr>
        <w:t xml:space="preserve"> populá</w:t>
      </w:r>
      <w:r w:rsidRPr="00C33068" w:rsidR="00397E9A">
        <w:rPr>
          <w:rFonts w:ascii="Times New Roman" w:hAnsi="Times New Roman" w:hint="default"/>
          <w:sz w:val="24"/>
        </w:rPr>
        <w:t>cie o</w:t>
      </w:r>
      <w:r w:rsidRPr="00C33068" w:rsidR="00534B83">
        <w:rPr>
          <w:rFonts w:ascii="Times New Roman" w:hAnsi="Times New Roman"/>
          <w:sz w:val="24"/>
        </w:rPr>
        <w:t> </w:t>
      </w:r>
      <w:r w:rsidRPr="00C33068" w:rsidR="00374999">
        <w:rPr>
          <w:rFonts w:ascii="Times New Roman" w:hAnsi="Times New Roman"/>
          <w:sz w:val="24"/>
        </w:rPr>
        <w:t>3</w:t>
      </w:r>
      <w:r w:rsidRPr="00C33068" w:rsidR="00397E9A">
        <w:rPr>
          <w:rFonts w:ascii="Times New Roman" w:hAnsi="Times New Roman"/>
          <w:sz w:val="24"/>
        </w:rPr>
        <w:t xml:space="preserve"> p. b. </w:t>
      </w:r>
      <w:r w:rsidRPr="00C33068" w:rsidR="00B85BA3">
        <w:rPr>
          <w:rFonts w:ascii="Times New Roman" w:hAnsi="Times New Roman"/>
          <w:sz w:val="24"/>
        </w:rPr>
        <w:t xml:space="preserve">HDP. </w:t>
      </w:r>
    </w:p>
    <w:p w:rsidR="002045D4" w:rsidRPr="00C33068" w:rsidP="0088390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045D4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</w:rPr>
      </w:pPr>
      <w:r w:rsidRPr="00C33068">
        <w:rPr>
          <w:rFonts w:ascii="Times New Roman" w:hAnsi="Times New Roman"/>
          <w:sz w:val="24"/>
        </w:rPr>
        <w:t>V </w:t>
      </w:r>
      <w:r w:rsidRPr="00C33068">
        <w:rPr>
          <w:rFonts w:ascii="Times New Roman" w:hAnsi="Times New Roman" w:hint="default"/>
          <w:sz w:val="24"/>
        </w:rPr>
        <w:t>roku 2013 boli prijaté</w:t>
      </w:r>
      <w:r w:rsidRPr="00C33068">
        <w:rPr>
          <w:rFonts w:ascii="Times New Roman" w:hAnsi="Times New Roman" w:hint="default"/>
          <w:sz w:val="24"/>
        </w:rPr>
        <w:t xml:space="preserve"> zmeny v </w:t>
      </w:r>
      <w:r w:rsidRPr="00C33068">
        <w:rPr>
          <w:rFonts w:ascii="Times New Roman" w:hAnsi="Times New Roman" w:hint="default"/>
          <w:sz w:val="24"/>
        </w:rPr>
        <w:t>sociá</w:t>
      </w:r>
      <w:r w:rsidRPr="00C33068">
        <w:rPr>
          <w:rFonts w:ascii="Times New Roman" w:hAnsi="Times New Roman" w:hint="default"/>
          <w:sz w:val="24"/>
        </w:rPr>
        <w:t>lnom zabezpeč</w:t>
      </w:r>
      <w:r w:rsidRPr="00C33068">
        <w:rPr>
          <w:rFonts w:ascii="Times New Roman" w:hAnsi="Times New Roman" w:hint="default"/>
          <w:sz w:val="24"/>
        </w:rPr>
        <w:t>ení</w:t>
      </w:r>
      <w:r w:rsidRPr="00C33068">
        <w:rPr>
          <w:rFonts w:ascii="Times New Roman" w:hAnsi="Times New Roman" w:hint="default"/>
          <w:sz w:val="24"/>
        </w:rPr>
        <w:t xml:space="preserve"> policajtov a vojakov s </w:t>
      </w:r>
      <w:r w:rsidRPr="00C33068">
        <w:rPr>
          <w:rFonts w:ascii="Times New Roman" w:hAnsi="Times New Roman" w:hint="default"/>
          <w:sz w:val="24"/>
        </w:rPr>
        <w:t>cieľ</w:t>
      </w:r>
      <w:r w:rsidRPr="00C33068">
        <w:rPr>
          <w:rFonts w:ascii="Times New Roman" w:hAnsi="Times New Roman" w:hint="default"/>
          <w:sz w:val="24"/>
        </w:rPr>
        <w:t>o</w:t>
      </w:r>
      <w:r w:rsidRPr="00C33068">
        <w:rPr>
          <w:rFonts w:ascii="Times New Roman" w:hAnsi="Times New Roman" w:hint="default"/>
          <w:sz w:val="24"/>
        </w:rPr>
        <w:t>m stabilizovať</w:t>
      </w:r>
      <w:r w:rsidRPr="00C33068">
        <w:rPr>
          <w:rFonts w:ascii="Times New Roman" w:hAnsi="Times New Roman" w:hint="default"/>
          <w:sz w:val="24"/>
        </w:rPr>
        <w:t xml:space="preserve"> vý</w:t>
      </w:r>
      <w:r w:rsidRPr="00C33068">
        <w:rPr>
          <w:rFonts w:ascii="Times New Roman" w:hAnsi="Times New Roman" w:hint="default"/>
          <w:sz w:val="24"/>
        </w:rPr>
        <w:t>davky na vý</w:t>
      </w:r>
      <w:r w:rsidRPr="00C33068">
        <w:rPr>
          <w:rFonts w:ascii="Times New Roman" w:hAnsi="Times New Roman" w:hint="default"/>
          <w:sz w:val="24"/>
        </w:rPr>
        <w:t>sluhové</w:t>
      </w:r>
      <w:r w:rsidRPr="00C33068">
        <w:rPr>
          <w:rFonts w:ascii="Times New Roman" w:hAnsi="Times New Roman" w:hint="default"/>
          <w:sz w:val="24"/>
        </w:rPr>
        <w:t xml:space="preserve"> dô</w:t>
      </w:r>
      <w:r w:rsidRPr="00C33068">
        <w:rPr>
          <w:rFonts w:ascii="Times New Roman" w:hAnsi="Times New Roman" w:hint="default"/>
          <w:sz w:val="24"/>
        </w:rPr>
        <w:t>chodky tý</w:t>
      </w:r>
      <w:r w:rsidRPr="00C33068">
        <w:rPr>
          <w:rFonts w:ascii="Times New Roman" w:hAnsi="Times New Roman" w:hint="default"/>
          <w:sz w:val="24"/>
        </w:rPr>
        <w:t>chto zlož</w:t>
      </w:r>
      <w:r w:rsidRPr="00C33068">
        <w:rPr>
          <w:rFonts w:ascii="Times New Roman" w:hAnsi="Times New Roman" w:hint="default"/>
          <w:sz w:val="24"/>
        </w:rPr>
        <w:t>iek. Medzi hlavné</w:t>
      </w:r>
      <w:r w:rsidRPr="00C33068">
        <w:rPr>
          <w:rFonts w:ascii="Times New Roman" w:hAnsi="Times New Roman" w:hint="default"/>
          <w:sz w:val="24"/>
        </w:rPr>
        <w:t xml:space="preserve"> opatrenia patrí</w:t>
      </w:r>
      <w:r w:rsidRPr="00C33068">
        <w:rPr>
          <w:rFonts w:ascii="Times New Roman" w:hAnsi="Times New Roman" w:hint="default"/>
          <w:sz w:val="24"/>
        </w:rPr>
        <w:t xml:space="preserve"> zvýš</w:t>
      </w:r>
      <w:r w:rsidRPr="00C33068">
        <w:rPr>
          <w:rFonts w:ascii="Times New Roman" w:hAnsi="Times New Roman" w:hint="default"/>
          <w:sz w:val="24"/>
        </w:rPr>
        <w:t>enie poč</w:t>
      </w:r>
      <w:r w:rsidRPr="00C33068">
        <w:rPr>
          <w:rFonts w:ascii="Times New Roman" w:hAnsi="Times New Roman" w:hint="default"/>
          <w:sz w:val="24"/>
        </w:rPr>
        <w:t>tu odslúž</w:t>
      </w:r>
      <w:r w:rsidRPr="00C33068">
        <w:rPr>
          <w:rFonts w:ascii="Times New Roman" w:hAnsi="Times New Roman" w:hint="default"/>
          <w:sz w:val="24"/>
        </w:rPr>
        <w:t>ený</w:t>
      </w:r>
      <w:r w:rsidRPr="00C33068">
        <w:rPr>
          <w:rFonts w:ascii="Times New Roman" w:hAnsi="Times New Roman" w:hint="default"/>
          <w:sz w:val="24"/>
        </w:rPr>
        <w:t>ch rokov potrebný</w:t>
      </w:r>
      <w:r w:rsidRPr="00C33068">
        <w:rPr>
          <w:rFonts w:ascii="Times New Roman" w:hAnsi="Times New Roman" w:hint="default"/>
          <w:sz w:val="24"/>
        </w:rPr>
        <w:t>ch na priznanie vý</w:t>
      </w:r>
      <w:r w:rsidRPr="00C33068">
        <w:rPr>
          <w:rFonts w:ascii="Times New Roman" w:hAnsi="Times New Roman" w:hint="default"/>
          <w:sz w:val="24"/>
        </w:rPr>
        <w:t>sluhové</w:t>
      </w:r>
      <w:r w:rsidRPr="00C33068">
        <w:rPr>
          <w:rFonts w:ascii="Times New Roman" w:hAnsi="Times New Roman" w:hint="default"/>
          <w:sz w:val="24"/>
        </w:rPr>
        <w:t>ho dô</w:t>
      </w:r>
      <w:r w:rsidRPr="00C33068">
        <w:rPr>
          <w:rFonts w:ascii="Times New Roman" w:hAnsi="Times New Roman" w:hint="default"/>
          <w:sz w:val="24"/>
        </w:rPr>
        <w:t>chodku a zmeny v </w:t>
      </w:r>
      <w:r w:rsidRPr="00C33068">
        <w:rPr>
          <w:rFonts w:ascii="Times New Roman" w:hAnsi="Times New Roman" w:hint="default"/>
          <w:sz w:val="24"/>
        </w:rPr>
        <w:t>indexá</w:t>
      </w:r>
      <w:r w:rsidRPr="00C33068">
        <w:rPr>
          <w:rFonts w:ascii="Times New Roman" w:hAnsi="Times New Roman" w:hint="default"/>
          <w:sz w:val="24"/>
        </w:rPr>
        <w:t>cií</w:t>
      </w:r>
      <w:r w:rsidRPr="00C33068">
        <w:rPr>
          <w:rFonts w:ascii="Times New Roman" w:hAnsi="Times New Roman" w:hint="default"/>
          <w:sz w:val="24"/>
        </w:rPr>
        <w:t xml:space="preserve"> vý</w:t>
      </w:r>
      <w:r w:rsidRPr="00C33068">
        <w:rPr>
          <w:rFonts w:ascii="Times New Roman" w:hAnsi="Times New Roman" w:hint="default"/>
          <w:sz w:val="24"/>
        </w:rPr>
        <w:t>sluhový</w:t>
      </w:r>
      <w:r w:rsidRPr="00C33068">
        <w:rPr>
          <w:rFonts w:ascii="Times New Roman" w:hAnsi="Times New Roman" w:hint="default"/>
          <w:sz w:val="24"/>
        </w:rPr>
        <w:t>ch dô</w:t>
      </w:r>
      <w:r w:rsidRPr="00C33068">
        <w:rPr>
          <w:rFonts w:ascii="Times New Roman" w:hAnsi="Times New Roman" w:hint="default"/>
          <w:sz w:val="24"/>
        </w:rPr>
        <w:t>chodkov tak, aby zohľ</w:t>
      </w:r>
      <w:r w:rsidRPr="00C33068">
        <w:rPr>
          <w:rFonts w:ascii="Times New Roman" w:hAnsi="Times New Roman" w:hint="default"/>
          <w:sz w:val="24"/>
        </w:rPr>
        <w:t>adň</w:t>
      </w:r>
      <w:r w:rsidRPr="00C33068">
        <w:rPr>
          <w:rFonts w:ascii="Times New Roman" w:hAnsi="Times New Roman" w:hint="default"/>
          <w:sz w:val="24"/>
        </w:rPr>
        <w:t>ovali zvyš</w:t>
      </w:r>
      <w:r w:rsidRPr="00C33068">
        <w:rPr>
          <w:rFonts w:ascii="Times New Roman" w:hAnsi="Times New Roman" w:hint="default"/>
          <w:sz w:val="24"/>
        </w:rPr>
        <w:t>ovanie starobný</w:t>
      </w:r>
      <w:r w:rsidRPr="00C33068">
        <w:rPr>
          <w:rFonts w:ascii="Times New Roman" w:hAnsi="Times New Roman" w:hint="default"/>
          <w:sz w:val="24"/>
        </w:rPr>
        <w:t>ch d</w:t>
      </w:r>
      <w:r w:rsidRPr="00C33068">
        <w:rPr>
          <w:rFonts w:ascii="Times New Roman" w:hAnsi="Times New Roman" w:hint="default"/>
          <w:sz w:val="24"/>
        </w:rPr>
        <w:t>ô</w:t>
      </w:r>
      <w:r w:rsidRPr="00C33068">
        <w:rPr>
          <w:rFonts w:ascii="Times New Roman" w:hAnsi="Times New Roman" w:hint="default"/>
          <w:sz w:val="24"/>
        </w:rPr>
        <w:t>chodkov v </w:t>
      </w:r>
      <w:r w:rsidRPr="00C33068">
        <w:rPr>
          <w:rFonts w:ascii="Times New Roman" w:hAnsi="Times New Roman" w:hint="default"/>
          <w:sz w:val="24"/>
        </w:rPr>
        <w:t>priebež</w:t>
      </w:r>
      <w:r w:rsidRPr="00C33068">
        <w:rPr>
          <w:rFonts w:ascii="Times New Roman" w:hAnsi="Times New Roman" w:hint="default"/>
          <w:sz w:val="24"/>
        </w:rPr>
        <w:t>nom pilieri penzijné</w:t>
      </w:r>
      <w:r w:rsidRPr="00C33068">
        <w:rPr>
          <w:rFonts w:ascii="Times New Roman" w:hAnsi="Times New Roman" w:hint="default"/>
          <w:sz w:val="24"/>
        </w:rPr>
        <w:t>ho systé</w:t>
      </w:r>
      <w:r w:rsidRPr="00C33068">
        <w:rPr>
          <w:rFonts w:ascii="Times New Roman" w:hAnsi="Times New Roman" w:hint="default"/>
          <w:sz w:val="24"/>
        </w:rPr>
        <w:t>mu a </w:t>
      </w:r>
      <w:r w:rsidRPr="00C33068">
        <w:rPr>
          <w:rFonts w:ascii="Times New Roman" w:hAnsi="Times New Roman" w:hint="default"/>
          <w:sz w:val="24"/>
        </w:rPr>
        <w:t>poč</w:t>
      </w:r>
      <w:r w:rsidRPr="00C33068">
        <w:rPr>
          <w:rFonts w:ascii="Times New Roman" w:hAnsi="Times New Roman" w:hint="default"/>
          <w:sz w:val="24"/>
        </w:rPr>
        <w:t>e</w:t>
      </w:r>
      <w:r w:rsidR="001F141E">
        <w:rPr>
          <w:rFonts w:ascii="Times New Roman" w:hAnsi="Times New Roman"/>
          <w:sz w:val="24"/>
        </w:rPr>
        <w:t>t</w:t>
      </w:r>
      <w:r w:rsidRPr="00C33068">
        <w:rPr>
          <w:rFonts w:ascii="Times New Roman" w:hAnsi="Times New Roman" w:hint="default"/>
          <w:sz w:val="24"/>
        </w:rPr>
        <w:t xml:space="preserve"> odslúž</w:t>
      </w:r>
      <w:r w:rsidRPr="00C33068">
        <w:rPr>
          <w:rFonts w:ascii="Times New Roman" w:hAnsi="Times New Roman" w:hint="default"/>
          <w:sz w:val="24"/>
        </w:rPr>
        <w:t>ený</w:t>
      </w:r>
      <w:r w:rsidRPr="00C33068">
        <w:rPr>
          <w:rFonts w:ascii="Times New Roman" w:hAnsi="Times New Roman" w:hint="default"/>
          <w:sz w:val="24"/>
        </w:rPr>
        <w:t>ch rokov. Kvantifiká</w:t>
      </w:r>
      <w:r w:rsidRPr="00C33068">
        <w:rPr>
          <w:rFonts w:ascii="Times New Roman" w:hAnsi="Times New Roman" w:hint="default"/>
          <w:sz w:val="24"/>
        </w:rPr>
        <w:t>cia vplyvu tejto zmeny na zá</w:t>
      </w:r>
      <w:r w:rsidRPr="00C33068">
        <w:rPr>
          <w:rFonts w:ascii="Times New Roman" w:hAnsi="Times New Roman" w:hint="default"/>
          <w:sz w:val="24"/>
        </w:rPr>
        <w:t>vä</w:t>
      </w:r>
      <w:r w:rsidRPr="00C33068">
        <w:rPr>
          <w:rFonts w:ascii="Times New Roman" w:hAnsi="Times New Roman" w:hint="default"/>
          <w:sz w:val="24"/>
        </w:rPr>
        <w:t>zky spojené</w:t>
      </w:r>
      <w:r w:rsidRPr="00C33068">
        <w:rPr>
          <w:rFonts w:ascii="Times New Roman" w:hAnsi="Times New Roman" w:hint="default"/>
          <w:sz w:val="24"/>
        </w:rPr>
        <w:t xml:space="preserve"> so starnutí</w:t>
      </w:r>
      <w:r w:rsidRPr="00C33068">
        <w:rPr>
          <w:rFonts w:ascii="Times New Roman" w:hAnsi="Times New Roman" w:hint="default"/>
          <w:sz w:val="24"/>
        </w:rPr>
        <w:t>m populá</w:t>
      </w:r>
      <w:r w:rsidRPr="00C33068">
        <w:rPr>
          <w:rFonts w:ascii="Times New Roman" w:hAnsi="Times New Roman" w:hint="default"/>
          <w:sz w:val="24"/>
        </w:rPr>
        <w:t>cie nie je zatiaľ</w:t>
      </w:r>
      <w:r w:rsidRPr="00C33068">
        <w:rPr>
          <w:rFonts w:ascii="Times New Roman" w:hAnsi="Times New Roman" w:hint="default"/>
          <w:sz w:val="24"/>
        </w:rPr>
        <w:t xml:space="preserve"> dostupná</w:t>
      </w:r>
      <w:r w:rsidRPr="00C33068">
        <w:rPr>
          <w:rFonts w:ascii="Times New Roman" w:hAnsi="Times New Roman" w:hint="default"/>
          <w:sz w:val="24"/>
        </w:rPr>
        <w:t>, pretož</w:t>
      </w:r>
      <w:r w:rsidRPr="00C33068">
        <w:rPr>
          <w:rFonts w:ascii="Times New Roman" w:hAnsi="Times New Roman" w:hint="default"/>
          <w:sz w:val="24"/>
        </w:rPr>
        <w:t>e bude predmetom najbližš</w:t>
      </w:r>
      <w:r w:rsidRPr="00C33068">
        <w:rPr>
          <w:rFonts w:ascii="Times New Roman" w:hAnsi="Times New Roman" w:hint="default"/>
          <w:sz w:val="24"/>
        </w:rPr>
        <w:t>ej projekcie Ageing Report 2015.</w:t>
      </w:r>
    </w:p>
    <w:p w:rsidR="0069680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068" w:rsidRP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979FA" w:rsidRPr="00C33068" w:rsidP="0088390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33068" w:rsidR="005211E9">
        <w:rPr>
          <w:rFonts w:ascii="Times New Roman" w:hAnsi="Times New Roman"/>
          <w:b/>
          <w:sz w:val="24"/>
        </w:rPr>
        <w:t>3</w:t>
      </w:r>
      <w:r w:rsidRPr="00C33068" w:rsidR="007F6022">
        <w:rPr>
          <w:rFonts w:ascii="Times New Roman" w:hAnsi="Times New Roman"/>
          <w:b/>
          <w:sz w:val="24"/>
        </w:rPr>
        <w:t xml:space="preserve">.  </w:t>
      </w:r>
      <w:r w:rsidRPr="00C33068">
        <w:rPr>
          <w:rFonts w:ascii="Times New Roman" w:hAnsi="Times New Roman" w:hint="default"/>
          <w:b/>
          <w:sz w:val="24"/>
        </w:rPr>
        <w:t>Iné</w:t>
      </w:r>
      <w:r w:rsidRPr="00C33068">
        <w:rPr>
          <w:rFonts w:ascii="Times New Roman" w:hAnsi="Times New Roman" w:hint="default"/>
          <w:b/>
          <w:sz w:val="24"/>
        </w:rPr>
        <w:t xml:space="preserve"> zá</w:t>
      </w:r>
      <w:r w:rsidRPr="00C33068">
        <w:rPr>
          <w:rFonts w:ascii="Times New Roman" w:hAnsi="Times New Roman" w:hint="default"/>
          <w:b/>
          <w:sz w:val="24"/>
        </w:rPr>
        <w:t>vä</w:t>
      </w:r>
      <w:r w:rsidRPr="00C33068">
        <w:rPr>
          <w:rFonts w:ascii="Times New Roman" w:hAnsi="Times New Roman" w:hint="default"/>
          <w:b/>
          <w:sz w:val="24"/>
        </w:rPr>
        <w:t>zky</w:t>
      </w:r>
      <w:r w:rsidRPr="00C33068" w:rsidR="007C1220">
        <w:rPr>
          <w:rFonts w:ascii="Times New Roman" w:hAnsi="Times New Roman"/>
          <w:b/>
          <w:sz w:val="24"/>
        </w:rPr>
        <w:t xml:space="preserve"> </w:t>
      </w:r>
      <w:r w:rsidRPr="00C33068" w:rsidR="007C1220">
        <w:rPr>
          <w:rFonts w:ascii="Times New Roman" w:hAnsi="Times New Roman" w:hint="default"/>
          <w:b/>
          <w:sz w:val="24"/>
        </w:rPr>
        <w:t>–</w:t>
      </w:r>
      <w:r w:rsidRPr="00C33068" w:rsidR="007C1220">
        <w:rPr>
          <w:rFonts w:ascii="Times New Roman" w:hAnsi="Times New Roman" w:hint="default"/>
          <w:b/>
          <w:sz w:val="24"/>
        </w:rPr>
        <w:t xml:space="preserve"> PPP projekty a </w:t>
      </w:r>
      <w:r w:rsidRPr="00C33068" w:rsidR="007C1220">
        <w:rPr>
          <w:rFonts w:ascii="Times New Roman" w:hAnsi="Times New Roman" w:hint="default"/>
          <w:b/>
          <w:sz w:val="24"/>
        </w:rPr>
        <w:t>Ná</w:t>
      </w:r>
      <w:r w:rsidRPr="00C33068" w:rsidR="007C1220">
        <w:rPr>
          <w:rFonts w:ascii="Times New Roman" w:hAnsi="Times New Roman" w:hint="default"/>
          <w:b/>
          <w:sz w:val="24"/>
        </w:rPr>
        <w:t>rodný</w:t>
      </w:r>
      <w:r w:rsidRPr="00C33068" w:rsidR="007C1220">
        <w:rPr>
          <w:rFonts w:ascii="Times New Roman" w:hAnsi="Times New Roman" w:hint="default"/>
          <w:b/>
          <w:sz w:val="24"/>
        </w:rPr>
        <w:t xml:space="preserve"> jadrový</w:t>
      </w:r>
      <w:r w:rsidRPr="00C33068" w:rsidR="007C1220">
        <w:rPr>
          <w:rFonts w:ascii="Times New Roman" w:hAnsi="Times New Roman" w:hint="default"/>
          <w:b/>
          <w:sz w:val="24"/>
        </w:rPr>
        <w:t xml:space="preserve"> fond</w:t>
      </w:r>
    </w:p>
    <w:p w:rsidR="00C33068" w:rsidP="0088390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137E6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33068" w:rsidR="00E156E0">
        <w:rPr>
          <w:rFonts w:ascii="Times New Roman" w:hAnsi="Times New Roman" w:hint="default"/>
          <w:sz w:val="24"/>
        </w:rPr>
        <w:t>Do celkovej kvantifiká</w:t>
      </w:r>
      <w:r w:rsidRPr="00C33068" w:rsidR="00E156E0">
        <w:rPr>
          <w:rFonts w:ascii="Times New Roman" w:hAnsi="Times New Roman" w:hint="default"/>
          <w:sz w:val="24"/>
        </w:rPr>
        <w:t>cie implicitný</w:t>
      </w:r>
      <w:r w:rsidRPr="00C33068" w:rsidR="00E156E0">
        <w:rPr>
          <w:rFonts w:ascii="Times New Roman" w:hAnsi="Times New Roman" w:hint="default"/>
          <w:sz w:val="24"/>
        </w:rPr>
        <w:t>ch zá</w:t>
      </w:r>
      <w:r w:rsidRPr="00C33068" w:rsidR="00E156E0">
        <w:rPr>
          <w:rFonts w:ascii="Times New Roman" w:hAnsi="Times New Roman" w:hint="default"/>
          <w:sz w:val="24"/>
        </w:rPr>
        <w:t>vä</w:t>
      </w:r>
      <w:r w:rsidRPr="00C33068" w:rsidR="00E156E0">
        <w:rPr>
          <w:rFonts w:ascii="Times New Roman" w:hAnsi="Times New Roman" w:hint="default"/>
          <w:sz w:val="24"/>
        </w:rPr>
        <w:t>zkov</w:t>
      </w:r>
      <w:r w:rsidRPr="00C33068" w:rsidR="00696808">
        <w:rPr>
          <w:rFonts w:ascii="Times New Roman" w:hAnsi="Times New Roman"/>
          <w:sz w:val="24"/>
        </w:rPr>
        <w:t xml:space="preserve"> </w:t>
      </w:r>
      <w:r w:rsidRPr="00C33068" w:rsidR="00E156E0">
        <w:rPr>
          <w:rFonts w:ascii="Times New Roman" w:hAnsi="Times New Roman"/>
          <w:sz w:val="24"/>
        </w:rPr>
        <w:t xml:space="preserve">bol </w:t>
      </w:r>
      <w:r w:rsidRPr="00C33068" w:rsidR="0008369B">
        <w:rPr>
          <w:rFonts w:ascii="Times New Roman" w:hAnsi="Times New Roman"/>
          <w:sz w:val="24"/>
        </w:rPr>
        <w:t>zahrn</w:t>
      </w:r>
      <w:r w:rsidRPr="00C33068">
        <w:rPr>
          <w:rFonts w:ascii="Times New Roman" w:hAnsi="Times New Roman"/>
          <w:sz w:val="24"/>
        </w:rPr>
        <w:t>u</w:t>
      </w:r>
      <w:r w:rsidRPr="00C33068" w:rsidR="0008369B">
        <w:rPr>
          <w:rFonts w:ascii="Times New Roman" w:hAnsi="Times New Roman"/>
          <w:sz w:val="24"/>
        </w:rPr>
        <w:t>t</w:t>
      </w:r>
      <w:r w:rsidRPr="00C33068" w:rsidR="00CE6764">
        <w:rPr>
          <w:rFonts w:ascii="Times New Roman" w:hAnsi="Times New Roman" w:hint="default"/>
          <w:sz w:val="24"/>
        </w:rPr>
        <w:t>ý</w:t>
      </w:r>
      <w:r w:rsidRPr="00C33068" w:rsidR="0008369B">
        <w:rPr>
          <w:rFonts w:ascii="Times New Roman" w:hAnsi="Times New Roman"/>
          <w:sz w:val="24"/>
        </w:rPr>
        <w:t xml:space="preserve"> aj </w:t>
      </w:r>
      <w:r w:rsidRPr="00C33068" w:rsidR="00CE6764">
        <w:rPr>
          <w:rFonts w:ascii="Times New Roman" w:hAnsi="Times New Roman"/>
          <w:sz w:val="24"/>
        </w:rPr>
        <w:t>vpl</w:t>
      </w:r>
      <w:r w:rsidRPr="00C33068" w:rsidR="00D73235">
        <w:rPr>
          <w:rFonts w:ascii="Times New Roman" w:hAnsi="Times New Roman"/>
          <w:sz w:val="24"/>
        </w:rPr>
        <w:t>y</w:t>
      </w:r>
      <w:r w:rsidRPr="00C33068" w:rsidR="00CE6764">
        <w:rPr>
          <w:rFonts w:ascii="Times New Roman" w:hAnsi="Times New Roman"/>
          <w:sz w:val="24"/>
        </w:rPr>
        <w:t xml:space="preserve">v </w:t>
      </w:r>
      <w:r w:rsidRPr="00C33068" w:rsidR="0008369B">
        <w:rPr>
          <w:rFonts w:ascii="Times New Roman" w:hAnsi="Times New Roman" w:hint="default"/>
          <w:sz w:val="24"/>
        </w:rPr>
        <w:t>splá</w:t>
      </w:r>
      <w:r w:rsidRPr="00C33068" w:rsidR="0008369B">
        <w:rPr>
          <w:rFonts w:ascii="Times New Roman" w:hAnsi="Times New Roman" w:hint="default"/>
          <w:sz w:val="24"/>
        </w:rPr>
        <w:t>cani</w:t>
      </w:r>
      <w:r w:rsidRPr="00C33068" w:rsidR="00CE6764">
        <w:rPr>
          <w:rFonts w:ascii="Times New Roman" w:hAnsi="Times New Roman"/>
          <w:sz w:val="24"/>
        </w:rPr>
        <w:t>a</w:t>
      </w:r>
      <w:r w:rsidRPr="00C33068" w:rsidR="0008369B">
        <w:rPr>
          <w:rFonts w:ascii="Times New Roman" w:hAnsi="Times New Roman"/>
          <w:sz w:val="24"/>
        </w:rPr>
        <w:t xml:space="preserve"> PPP projektu </w:t>
      </w:r>
      <w:r w:rsidRPr="00C33068" w:rsidR="00CE6764">
        <w:rPr>
          <w:rFonts w:ascii="Times New Roman" w:hAnsi="Times New Roman" w:hint="default"/>
          <w:sz w:val="24"/>
        </w:rPr>
        <w:t>–</w:t>
      </w:r>
      <w:r w:rsidRPr="00C33068" w:rsidR="00CE6764">
        <w:rPr>
          <w:rFonts w:ascii="Times New Roman" w:hAnsi="Times New Roman" w:hint="default"/>
          <w:sz w:val="24"/>
        </w:rPr>
        <w:t xml:space="preserve"> rý</w:t>
      </w:r>
      <w:r w:rsidRPr="00C33068" w:rsidR="00CE6764">
        <w:rPr>
          <w:rFonts w:ascii="Times New Roman" w:hAnsi="Times New Roman" w:hint="default"/>
          <w:sz w:val="24"/>
        </w:rPr>
        <w:t>chlostná</w:t>
      </w:r>
      <w:r w:rsidRPr="00C33068" w:rsidR="00CE6764">
        <w:rPr>
          <w:rFonts w:ascii="Times New Roman" w:hAnsi="Times New Roman" w:hint="default"/>
          <w:sz w:val="24"/>
        </w:rPr>
        <w:t xml:space="preserve"> cesta </w:t>
      </w:r>
      <w:r w:rsidRPr="00C33068" w:rsidR="0008369B">
        <w:rPr>
          <w:rFonts w:ascii="Times New Roman" w:hAnsi="Times New Roman"/>
          <w:sz w:val="24"/>
        </w:rPr>
        <w:t>R1</w:t>
      </w:r>
      <w:r w:rsidRPr="00C33068" w:rsidR="00696808">
        <w:rPr>
          <w:rFonts w:ascii="Times New Roman" w:hAnsi="Times New Roman"/>
          <w:sz w:val="24"/>
        </w:rPr>
        <w:t xml:space="preserve">. </w:t>
      </w:r>
      <w:r w:rsidRPr="00C33068">
        <w:rPr>
          <w:rFonts w:ascii="Times New Roman" w:hAnsi="Times New Roman" w:hint="default"/>
          <w:sz w:val="24"/>
        </w:rPr>
        <w:t>Vý</w:t>
      </w:r>
      <w:r w:rsidRPr="00C33068">
        <w:rPr>
          <w:rFonts w:ascii="Times New Roman" w:hAnsi="Times New Roman" w:hint="default"/>
          <w:sz w:val="24"/>
        </w:rPr>
        <w:t>chodiskom boli predpokladané</w:t>
      </w:r>
      <w:r w:rsidRPr="00C33068">
        <w:rPr>
          <w:rFonts w:ascii="Times New Roman" w:hAnsi="Times New Roman" w:hint="default"/>
          <w:sz w:val="24"/>
        </w:rPr>
        <w:t xml:space="preserve"> platby š</w:t>
      </w:r>
      <w:r w:rsidRPr="00C33068">
        <w:rPr>
          <w:rFonts w:ascii="Times New Roman" w:hAnsi="Times New Roman" w:hint="default"/>
          <w:sz w:val="24"/>
        </w:rPr>
        <w:t>tá</w:t>
      </w:r>
      <w:r w:rsidRPr="00C33068">
        <w:rPr>
          <w:rFonts w:ascii="Times New Roman" w:hAnsi="Times New Roman" w:hint="default"/>
          <w:sz w:val="24"/>
        </w:rPr>
        <w:t>tu za dostupnosť</w:t>
      </w:r>
      <w:r w:rsidRPr="00C33068">
        <w:rPr>
          <w:rFonts w:ascii="Times New Roman" w:hAnsi="Times New Roman" w:hint="default"/>
          <w:sz w:val="24"/>
        </w:rPr>
        <w:t xml:space="preserve"> poč</w:t>
      </w:r>
      <w:r w:rsidRPr="00C33068">
        <w:rPr>
          <w:rFonts w:ascii="Times New Roman" w:hAnsi="Times New Roman" w:hint="default"/>
          <w:sz w:val="24"/>
        </w:rPr>
        <w:t xml:space="preserve">as celej doby </w:t>
      </w:r>
      <w:r w:rsidRPr="00C33068" w:rsidR="00E92121">
        <w:rPr>
          <w:rFonts w:ascii="Times New Roman" w:hAnsi="Times New Roman"/>
          <w:sz w:val="24"/>
        </w:rPr>
        <w:t>trvania koncesie</w:t>
      </w:r>
      <w:r w:rsidRPr="00C33068">
        <w:rPr>
          <w:rFonts w:ascii="Times New Roman" w:hAnsi="Times New Roman"/>
          <w:sz w:val="24"/>
        </w:rPr>
        <w:t>, t.</w:t>
      </w:r>
      <w:r w:rsidR="001F141E">
        <w:rPr>
          <w:rFonts w:ascii="Times New Roman" w:hAnsi="Times New Roman"/>
          <w:sz w:val="24"/>
        </w:rPr>
        <w:t xml:space="preserve"> </w:t>
      </w:r>
      <w:r w:rsidRPr="00C33068">
        <w:rPr>
          <w:rFonts w:ascii="Times New Roman" w:hAnsi="Times New Roman"/>
          <w:sz w:val="24"/>
        </w:rPr>
        <w:t>j</w:t>
      </w:r>
      <w:r w:rsidRPr="00C33068">
        <w:rPr>
          <w:rFonts w:ascii="Times New Roman" w:hAnsi="Times New Roman"/>
          <w:sz w:val="24"/>
        </w:rPr>
        <w:t>. do roku 2041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0"/>
      </w:r>
      <w:r w:rsidRPr="00C33068">
        <w:rPr>
          <w:rFonts w:ascii="Times New Roman" w:hAnsi="Times New Roman" w:hint="default"/>
          <w:sz w:val="24"/>
        </w:rPr>
        <w:t>. Platby za dostupnosť</w:t>
      </w:r>
      <w:r w:rsidRPr="00C33068">
        <w:rPr>
          <w:rFonts w:ascii="Times New Roman" w:hAnsi="Times New Roman" w:hint="default"/>
          <w:sz w:val="24"/>
        </w:rPr>
        <w:t xml:space="preserve"> boli zníž</w:t>
      </w:r>
      <w:r w:rsidRPr="00C33068">
        <w:rPr>
          <w:rFonts w:ascii="Times New Roman" w:hAnsi="Times New Roman" w:hint="default"/>
          <w:sz w:val="24"/>
        </w:rPr>
        <w:t>ené</w:t>
      </w:r>
      <w:r w:rsidRPr="00C33068">
        <w:rPr>
          <w:rFonts w:ascii="Times New Roman" w:hAnsi="Times New Roman" w:hint="default"/>
          <w:sz w:val="24"/>
        </w:rPr>
        <w:t xml:space="preserve"> o </w:t>
      </w:r>
      <w:r w:rsidRPr="00C33068">
        <w:rPr>
          <w:rFonts w:ascii="Times New Roman" w:hAnsi="Times New Roman" w:hint="default"/>
          <w:sz w:val="24"/>
        </w:rPr>
        <w:t>platbu DPH za služ</w:t>
      </w:r>
      <w:r w:rsidRPr="00C33068">
        <w:rPr>
          <w:rFonts w:ascii="Times New Roman" w:hAnsi="Times New Roman" w:hint="default"/>
          <w:sz w:val="24"/>
        </w:rPr>
        <w:t>by, keďž</w:t>
      </w:r>
      <w:r w:rsidRPr="00C33068">
        <w:rPr>
          <w:rFonts w:ascii="Times New Roman" w:hAnsi="Times New Roman" w:hint="default"/>
          <w:sz w:val="24"/>
        </w:rPr>
        <w:t>e tá</w:t>
      </w:r>
      <w:r w:rsidRPr="00C33068">
        <w:rPr>
          <w:rFonts w:ascii="Times New Roman" w:hAnsi="Times New Roman" w:hint="default"/>
          <w:sz w:val="24"/>
        </w:rPr>
        <w:t>to je z </w:t>
      </w:r>
      <w:r w:rsidRPr="00C33068">
        <w:rPr>
          <w:rFonts w:ascii="Times New Roman" w:hAnsi="Times New Roman" w:hint="default"/>
          <w:sz w:val="24"/>
        </w:rPr>
        <w:t>pohľ</w:t>
      </w:r>
      <w:r w:rsidRPr="00C33068">
        <w:rPr>
          <w:rFonts w:ascii="Times New Roman" w:hAnsi="Times New Roman" w:hint="default"/>
          <w:sz w:val="24"/>
        </w:rPr>
        <w:t>adu vplyvu na saldo a </w:t>
      </w:r>
      <w:r w:rsidRPr="00C33068">
        <w:rPr>
          <w:rFonts w:ascii="Times New Roman" w:hAnsi="Times New Roman" w:hint="default"/>
          <w:sz w:val="24"/>
        </w:rPr>
        <w:t>dlh neutrá</w:t>
      </w:r>
      <w:r w:rsidRPr="00C33068">
        <w:rPr>
          <w:rFonts w:ascii="Times New Roman" w:hAnsi="Times New Roman" w:hint="default"/>
          <w:sz w:val="24"/>
        </w:rPr>
        <w:t>lna. Súč</w:t>
      </w:r>
      <w:r w:rsidRPr="00C33068">
        <w:rPr>
          <w:rFonts w:ascii="Times New Roman" w:hAnsi="Times New Roman" w:hint="default"/>
          <w:sz w:val="24"/>
        </w:rPr>
        <w:t>asne sa tu neuvaž</w:t>
      </w:r>
      <w:r w:rsidRPr="00C33068">
        <w:rPr>
          <w:rFonts w:ascii="Times New Roman" w:hAnsi="Times New Roman" w:hint="default"/>
          <w:sz w:val="24"/>
        </w:rPr>
        <w:t>uje ani s</w:t>
      </w:r>
      <w:r w:rsidRPr="00C33068" w:rsidR="00E92121">
        <w:rPr>
          <w:rFonts w:ascii="Times New Roman" w:hAnsi="Times New Roman"/>
          <w:sz w:val="24"/>
        </w:rPr>
        <w:t> </w:t>
      </w:r>
      <w:r w:rsidRPr="00C33068" w:rsidR="00E92121">
        <w:rPr>
          <w:rFonts w:ascii="Times New Roman" w:hAnsi="Times New Roman" w:hint="default"/>
          <w:sz w:val="24"/>
        </w:rPr>
        <w:t>alikvó</w:t>
      </w:r>
      <w:r w:rsidRPr="00C33068" w:rsidR="00E92121">
        <w:rPr>
          <w:rFonts w:ascii="Times New Roman" w:hAnsi="Times New Roman" w:hint="default"/>
          <w:sz w:val="24"/>
        </w:rPr>
        <w:t>tnou č</w:t>
      </w:r>
      <w:r w:rsidRPr="00C33068" w:rsidR="00E92121">
        <w:rPr>
          <w:rFonts w:ascii="Times New Roman" w:hAnsi="Times New Roman" w:hint="default"/>
          <w:sz w:val="24"/>
        </w:rPr>
        <w:t>asť</w:t>
      </w:r>
      <w:r w:rsidRPr="00C33068" w:rsidR="00E92121">
        <w:rPr>
          <w:rFonts w:ascii="Times New Roman" w:hAnsi="Times New Roman" w:hint="default"/>
          <w:sz w:val="24"/>
        </w:rPr>
        <w:t>ou zo zaplatenej DPH pri odovzdaní</w:t>
      </w:r>
      <w:r w:rsidRPr="00C33068" w:rsidR="00E92121">
        <w:rPr>
          <w:rFonts w:ascii="Times New Roman" w:hAnsi="Times New Roman" w:hint="default"/>
          <w:sz w:val="24"/>
        </w:rPr>
        <w:t xml:space="preserve"> ú</w:t>
      </w:r>
      <w:r w:rsidRPr="00C33068" w:rsidR="00E92121">
        <w:rPr>
          <w:rFonts w:ascii="Times New Roman" w:hAnsi="Times New Roman" w:hint="default"/>
          <w:sz w:val="24"/>
        </w:rPr>
        <w:t>sekov v </w:t>
      </w:r>
      <w:r w:rsidRPr="00C33068" w:rsidR="00E92121">
        <w:rPr>
          <w:rFonts w:ascii="Times New Roman" w:hAnsi="Times New Roman" w:hint="default"/>
          <w:sz w:val="24"/>
        </w:rPr>
        <w:t>roku 2011, keďž</w:t>
      </w:r>
      <w:r w:rsidRPr="00C33068" w:rsidR="00E92121">
        <w:rPr>
          <w:rFonts w:ascii="Times New Roman" w:hAnsi="Times New Roman" w:hint="default"/>
          <w:sz w:val="24"/>
        </w:rPr>
        <w:t>e nemá</w:t>
      </w:r>
      <w:r w:rsidRPr="00C33068" w:rsidR="00E92121">
        <w:rPr>
          <w:rFonts w:ascii="Times New Roman" w:hAnsi="Times New Roman" w:hint="default"/>
          <w:sz w:val="24"/>
        </w:rPr>
        <w:t xml:space="preserve"> vplyv na dlh </w:t>
      </w:r>
      <w:r w:rsidRPr="00C33068" w:rsidR="00E92121">
        <w:rPr>
          <w:rFonts w:ascii="Times New Roman" w:hAnsi="Times New Roman" w:hint="default"/>
          <w:sz w:val="24"/>
        </w:rPr>
        <w:t>(iba na saldo</w:t>
      </w:r>
      <w:r w:rsidRPr="00C33068" w:rsidR="00D73235">
        <w:rPr>
          <w:rFonts w:ascii="Times New Roman" w:hAnsi="Times New Roman"/>
          <w:sz w:val="24"/>
        </w:rPr>
        <w:t xml:space="preserve"> v </w:t>
      </w:r>
      <w:r w:rsidRPr="00C33068" w:rsidR="00D73235">
        <w:rPr>
          <w:rFonts w:ascii="Times New Roman" w:hAnsi="Times New Roman" w:hint="default"/>
          <w:sz w:val="24"/>
        </w:rPr>
        <w:t>jednotlivý</w:t>
      </w:r>
      <w:r w:rsidRPr="00C33068" w:rsidR="00D73235">
        <w:rPr>
          <w:rFonts w:ascii="Times New Roman" w:hAnsi="Times New Roman" w:hint="default"/>
          <w:sz w:val="24"/>
        </w:rPr>
        <w:t>ch rokoch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1"/>
      </w:r>
      <w:r w:rsidRPr="00C33068" w:rsidR="00E92121">
        <w:rPr>
          <w:rFonts w:ascii="Times New Roman" w:hAnsi="Times New Roman"/>
          <w:sz w:val="24"/>
        </w:rPr>
        <w:t>).</w:t>
      </w:r>
    </w:p>
    <w:p w:rsidR="004407C0" w:rsidRPr="00C33068" w:rsidP="0088390C">
      <w:pPr>
        <w:bidi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Normal"/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00"/>
        <w:gridCol w:w="505"/>
        <w:gridCol w:w="485"/>
        <w:gridCol w:w="494"/>
        <w:gridCol w:w="496"/>
        <w:gridCol w:w="483"/>
        <w:gridCol w:w="507"/>
        <w:gridCol w:w="612"/>
        <w:gridCol w:w="378"/>
        <w:gridCol w:w="741"/>
        <w:gridCol w:w="249"/>
        <w:gridCol w:w="991"/>
      </w:tblGrid>
      <w:tr>
        <w:tblPrEx>
          <w:tblW w:w="9141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9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0F6D6A" w:rsidRPr="00C33068" w:rsidP="000F6D6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 xml:space="preserve">Vplyv PPP </w:t>
            </w:r>
            <w:r w:rsidRPr="00345D3A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projektu (v % HDP)</w:t>
            </w: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eastAsia="sk-SK"/>
              </w:rPr>
              <w:t> </w:t>
            </w:r>
          </w:p>
        </w:tc>
      </w:tr>
      <w:tr>
        <w:tblPrEx>
          <w:tblW w:w="9141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2030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2041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>
        <w:tblPrEx>
          <w:tblW w:w="9141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Platba za dostupnosť R1*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-</w:t>
            </w:r>
          </w:p>
        </w:tc>
      </w:tr>
      <w:tr>
        <w:tblPrEx>
          <w:tblW w:w="9141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0,2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0,2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0,1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0,1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95B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0,</w:t>
            </w:r>
            <w:r w:rsidRPr="00C33068" w:rsidR="00495B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07C0" w:rsidRPr="00C33068" w:rsidP="00495B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2,</w:t>
            </w:r>
            <w:r w:rsidRPr="00C33068" w:rsidR="00495B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sk-SK"/>
              </w:rPr>
              <w:t>7</w:t>
            </w:r>
          </w:p>
        </w:tc>
      </w:tr>
      <w:tr>
        <w:tblPrEx>
          <w:tblW w:w="9141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 w:rsidR="00024F64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* b</w:t>
            </w: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ez započítania DPH za služby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4407C0" w:rsidRPr="00C33068" w:rsidP="004407C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4407C0" w:rsidRPr="00C33068" w:rsidP="004407C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Zdroj: MF SR</w:t>
            </w:r>
          </w:p>
        </w:tc>
      </w:tr>
    </w:tbl>
    <w:p w:rsidR="004407C0" w:rsidRPr="00C33068" w:rsidP="0088390C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E156E0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</w:rPr>
      </w:pPr>
      <w:r w:rsidRPr="00C33068" w:rsidR="004A1BB4">
        <w:rPr>
          <w:rFonts w:ascii="Times New Roman" w:hAnsi="Times New Roman" w:hint="default"/>
          <w:sz w:val="24"/>
        </w:rPr>
        <w:t>Ď</w:t>
      </w:r>
      <w:r w:rsidRPr="00C33068" w:rsidR="004A1BB4">
        <w:rPr>
          <w:rFonts w:ascii="Times New Roman" w:hAnsi="Times New Roman" w:hint="default"/>
          <w:sz w:val="24"/>
        </w:rPr>
        <w:t>aľší</w:t>
      </w:r>
      <w:r w:rsidRPr="00C33068" w:rsidR="004A1BB4">
        <w:rPr>
          <w:rFonts w:ascii="Times New Roman" w:hAnsi="Times New Roman" w:hint="default"/>
          <w:sz w:val="24"/>
        </w:rPr>
        <w:t xml:space="preserve">m faktorom </w:t>
      </w:r>
      <w:r w:rsidRPr="00C33068" w:rsidR="00B927A3">
        <w:rPr>
          <w:rFonts w:ascii="Times New Roman" w:hAnsi="Times New Roman" w:hint="default"/>
          <w:sz w:val="24"/>
        </w:rPr>
        <w:t>ovplyvň</w:t>
      </w:r>
      <w:r w:rsidRPr="00C33068" w:rsidR="00B927A3">
        <w:rPr>
          <w:rFonts w:ascii="Times New Roman" w:hAnsi="Times New Roman" w:hint="default"/>
          <w:sz w:val="24"/>
        </w:rPr>
        <w:t>ujú</w:t>
      </w:r>
      <w:r w:rsidRPr="00C33068" w:rsidR="00B927A3">
        <w:rPr>
          <w:rFonts w:ascii="Times New Roman" w:hAnsi="Times New Roman" w:hint="default"/>
          <w:sz w:val="24"/>
        </w:rPr>
        <w:t>cim implicitné</w:t>
      </w:r>
      <w:r w:rsidRPr="00C33068" w:rsidR="00B927A3">
        <w:rPr>
          <w:rFonts w:ascii="Times New Roman" w:hAnsi="Times New Roman" w:hint="default"/>
          <w:sz w:val="24"/>
        </w:rPr>
        <w:t xml:space="preserve"> zá</w:t>
      </w:r>
      <w:r w:rsidRPr="00C33068" w:rsidR="00B927A3">
        <w:rPr>
          <w:rFonts w:ascii="Times New Roman" w:hAnsi="Times New Roman" w:hint="default"/>
          <w:sz w:val="24"/>
        </w:rPr>
        <w:t>vä</w:t>
      </w:r>
      <w:r w:rsidRPr="00C33068" w:rsidR="00B927A3">
        <w:rPr>
          <w:rFonts w:ascii="Times New Roman" w:hAnsi="Times New Roman" w:hint="default"/>
          <w:sz w:val="24"/>
        </w:rPr>
        <w:t xml:space="preserve">zky </w:t>
      </w:r>
      <w:r w:rsidRPr="00C33068" w:rsidR="004A1BB4">
        <w:rPr>
          <w:rFonts w:ascii="Times New Roman" w:hAnsi="Times New Roman" w:hint="default"/>
          <w:sz w:val="24"/>
        </w:rPr>
        <w:t>je systé</w:t>
      </w:r>
      <w:r w:rsidRPr="00C33068" w:rsidR="004A1BB4">
        <w:rPr>
          <w:rFonts w:ascii="Times New Roman" w:hAnsi="Times New Roman" w:hint="default"/>
          <w:sz w:val="24"/>
        </w:rPr>
        <w:t>m financovania ná</w:t>
      </w:r>
      <w:r w:rsidRPr="00C33068" w:rsidR="004A1BB4">
        <w:rPr>
          <w:rFonts w:ascii="Times New Roman" w:hAnsi="Times New Roman" w:hint="default"/>
          <w:sz w:val="24"/>
        </w:rPr>
        <w:t>kladov spojený</w:t>
      </w:r>
      <w:r w:rsidRPr="00C33068" w:rsidR="004A1BB4">
        <w:rPr>
          <w:rFonts w:ascii="Times New Roman" w:hAnsi="Times New Roman" w:hint="default"/>
          <w:sz w:val="24"/>
        </w:rPr>
        <w:t>ch s </w:t>
      </w:r>
      <w:r w:rsidRPr="00C33068" w:rsidR="004A1BB4">
        <w:rPr>
          <w:rFonts w:ascii="Times New Roman" w:hAnsi="Times New Roman" w:hint="default"/>
          <w:sz w:val="24"/>
        </w:rPr>
        <w:t>vyraď</w:t>
      </w:r>
      <w:r w:rsidRPr="00C33068" w:rsidR="004A1BB4">
        <w:rPr>
          <w:rFonts w:ascii="Times New Roman" w:hAnsi="Times New Roman" w:hint="default"/>
          <w:sz w:val="24"/>
        </w:rPr>
        <w:t>ovaní</w:t>
      </w:r>
      <w:r w:rsidRPr="00C33068" w:rsidR="004A1BB4">
        <w:rPr>
          <w:rFonts w:ascii="Times New Roman" w:hAnsi="Times New Roman" w:hint="default"/>
          <w:sz w:val="24"/>
        </w:rPr>
        <w:t>m jadrový</w:t>
      </w:r>
      <w:r w:rsidRPr="00C33068" w:rsidR="004A1BB4">
        <w:rPr>
          <w:rFonts w:ascii="Times New Roman" w:hAnsi="Times New Roman" w:hint="default"/>
          <w:sz w:val="24"/>
        </w:rPr>
        <w:t>ch zariadení</w:t>
      </w:r>
      <w:r w:rsidRPr="00C33068" w:rsidR="004A1BB4">
        <w:rPr>
          <w:rFonts w:ascii="Times New Roman" w:hAnsi="Times New Roman" w:hint="default"/>
          <w:sz w:val="24"/>
        </w:rPr>
        <w:t xml:space="preserve">. </w:t>
      </w:r>
      <w:r w:rsidRPr="00C33068" w:rsidR="00B927A3">
        <w:rPr>
          <w:rFonts w:ascii="Times New Roman" w:hAnsi="Times New Roman" w:hint="default"/>
          <w:sz w:val="24"/>
        </w:rPr>
        <w:t>Š</w:t>
      </w:r>
      <w:r w:rsidRPr="00C33068" w:rsidR="00B927A3">
        <w:rPr>
          <w:rFonts w:ascii="Times New Roman" w:hAnsi="Times New Roman" w:hint="default"/>
          <w:sz w:val="24"/>
        </w:rPr>
        <w:t>tá</w:t>
      </w:r>
      <w:r w:rsidRPr="00C33068" w:rsidR="00B927A3">
        <w:rPr>
          <w:rFonts w:ascii="Times New Roman" w:hAnsi="Times New Roman" w:hint="default"/>
          <w:sz w:val="24"/>
        </w:rPr>
        <w:t>t</w:t>
      </w:r>
      <w:r w:rsidRPr="00C33068">
        <w:rPr>
          <w:rFonts w:ascii="Times New Roman" w:hAnsi="Times New Roman"/>
          <w:sz w:val="24"/>
        </w:rPr>
        <w:t xml:space="preserve"> </w:t>
      </w:r>
      <w:r w:rsidRPr="00C33068" w:rsidR="00B927A3">
        <w:rPr>
          <w:rFonts w:ascii="Times New Roman" w:hAnsi="Times New Roman" w:hint="default"/>
          <w:sz w:val="24"/>
        </w:rPr>
        <w:t>pokrý</w:t>
      </w:r>
      <w:r w:rsidRPr="00C33068" w:rsidR="00B927A3">
        <w:rPr>
          <w:rFonts w:ascii="Times New Roman" w:hAnsi="Times New Roman" w:hint="default"/>
          <w:sz w:val="24"/>
        </w:rPr>
        <w:t>va</w:t>
      </w:r>
      <w:r w:rsidRPr="00C33068">
        <w:rPr>
          <w:rFonts w:ascii="Times New Roman" w:hAnsi="Times New Roman" w:hint="default"/>
          <w:sz w:val="24"/>
        </w:rPr>
        <w:t xml:space="preserve"> ná</w:t>
      </w:r>
      <w:r w:rsidRPr="00C33068">
        <w:rPr>
          <w:rFonts w:ascii="Times New Roman" w:hAnsi="Times New Roman" w:hint="default"/>
          <w:sz w:val="24"/>
        </w:rPr>
        <w:t>klady na likvidá</w:t>
      </w:r>
      <w:r w:rsidRPr="00C33068">
        <w:rPr>
          <w:rFonts w:ascii="Times New Roman" w:hAnsi="Times New Roman" w:hint="default"/>
          <w:sz w:val="24"/>
        </w:rPr>
        <w:t>ciu odstavený</w:t>
      </w:r>
      <w:r w:rsidRPr="00C33068">
        <w:rPr>
          <w:rFonts w:ascii="Times New Roman" w:hAnsi="Times New Roman" w:hint="default"/>
          <w:sz w:val="24"/>
        </w:rPr>
        <w:t>ch jadrový</w:t>
      </w:r>
      <w:r w:rsidRPr="00C33068">
        <w:rPr>
          <w:rFonts w:ascii="Times New Roman" w:hAnsi="Times New Roman" w:hint="default"/>
          <w:sz w:val="24"/>
        </w:rPr>
        <w:t>ch elektrá</w:t>
      </w:r>
      <w:r w:rsidRPr="00C33068">
        <w:rPr>
          <w:rFonts w:ascii="Times New Roman" w:hAnsi="Times New Roman" w:hint="default"/>
          <w:sz w:val="24"/>
        </w:rPr>
        <w:t>rní</w:t>
      </w:r>
      <w:r w:rsidRPr="00C33068">
        <w:rPr>
          <w:rFonts w:ascii="Times New Roman" w:hAnsi="Times New Roman" w:hint="default"/>
          <w:sz w:val="24"/>
        </w:rPr>
        <w:t xml:space="preserve"> a vyhore</w:t>
      </w:r>
      <w:r w:rsidRPr="00C33068" w:rsidR="002C37A1">
        <w:rPr>
          <w:rFonts w:ascii="Times New Roman" w:hAnsi="Times New Roman"/>
          <w:sz w:val="24"/>
        </w:rPr>
        <w:t>n</w:t>
      </w:r>
      <w:r w:rsidRPr="00C33068">
        <w:rPr>
          <w:rFonts w:ascii="Times New Roman" w:hAnsi="Times New Roman" w:hint="default"/>
          <w:sz w:val="24"/>
        </w:rPr>
        <w:t>é</w:t>
      </w:r>
      <w:r w:rsidRPr="00C33068">
        <w:rPr>
          <w:rFonts w:ascii="Times New Roman" w:hAnsi="Times New Roman" w:hint="default"/>
          <w:sz w:val="24"/>
        </w:rPr>
        <w:t>ho paliva</w:t>
      </w:r>
      <w:r w:rsidRPr="00C33068" w:rsidR="004A1BB4">
        <w:rPr>
          <w:rFonts w:ascii="Times New Roman" w:hAnsi="Times New Roman"/>
          <w:sz w:val="24"/>
        </w:rPr>
        <w:t>,</w:t>
      </w:r>
      <w:r w:rsidRPr="00C33068">
        <w:rPr>
          <w:rFonts w:ascii="Times New Roman" w:hAnsi="Times New Roman" w:hint="default"/>
          <w:sz w:val="24"/>
        </w:rPr>
        <w:t xml:space="preserve"> ktoré</w:t>
      </w:r>
      <w:r w:rsidRPr="00C33068">
        <w:rPr>
          <w:rFonts w:ascii="Times New Roman" w:hAnsi="Times New Roman" w:hint="default"/>
          <w:sz w:val="24"/>
        </w:rPr>
        <w:t xml:space="preserve"> v </w:t>
      </w:r>
      <w:r w:rsidRPr="00C33068">
        <w:rPr>
          <w:rFonts w:ascii="Times New Roman" w:hAnsi="Times New Roman" w:hint="default"/>
          <w:sz w:val="24"/>
        </w:rPr>
        <w:t>budú</w:t>
      </w:r>
      <w:r w:rsidRPr="00C33068">
        <w:rPr>
          <w:rFonts w:ascii="Times New Roman" w:hAnsi="Times New Roman" w:hint="default"/>
          <w:sz w:val="24"/>
        </w:rPr>
        <w:t>cnosti vý</w:t>
      </w:r>
      <w:r w:rsidRPr="00C33068">
        <w:rPr>
          <w:rFonts w:ascii="Times New Roman" w:hAnsi="Times New Roman" w:hint="default"/>
          <w:sz w:val="24"/>
        </w:rPr>
        <w:t xml:space="preserve">znamne </w:t>
      </w:r>
      <w:r w:rsidRPr="00C33068">
        <w:rPr>
          <w:rFonts w:ascii="Times New Roman" w:hAnsi="Times New Roman" w:hint="default"/>
          <w:sz w:val="24"/>
        </w:rPr>
        <w:t>narastú</w:t>
      </w:r>
      <w:r w:rsidRPr="00C33068">
        <w:rPr>
          <w:rFonts w:ascii="Times New Roman" w:hAnsi="Times New Roman" w:hint="default"/>
          <w:sz w:val="24"/>
        </w:rPr>
        <w:t>. Podľ</w:t>
      </w:r>
      <w:r w:rsidRPr="00C33068">
        <w:rPr>
          <w:rFonts w:ascii="Times New Roman" w:hAnsi="Times New Roman" w:hint="default"/>
          <w:sz w:val="24"/>
        </w:rPr>
        <w:t>a aktuá</w:t>
      </w:r>
      <w:r w:rsidRPr="00C33068">
        <w:rPr>
          <w:rFonts w:ascii="Times New Roman" w:hAnsi="Times New Roman" w:hint="default"/>
          <w:sz w:val="24"/>
        </w:rPr>
        <w:t>lneho plá</w:t>
      </w:r>
      <w:r w:rsidRPr="00C33068">
        <w:rPr>
          <w:rFonts w:ascii="Times New Roman" w:hAnsi="Times New Roman" w:hint="default"/>
          <w:sz w:val="24"/>
        </w:rPr>
        <w:t>nu financovania schvá</w:t>
      </w:r>
      <w:r w:rsidRPr="00C33068">
        <w:rPr>
          <w:rFonts w:ascii="Times New Roman" w:hAnsi="Times New Roman" w:hint="default"/>
          <w:sz w:val="24"/>
        </w:rPr>
        <w:t>lené</w:t>
      </w:r>
      <w:r w:rsidRPr="00C33068">
        <w:rPr>
          <w:rFonts w:ascii="Times New Roman" w:hAnsi="Times New Roman" w:hint="default"/>
          <w:sz w:val="24"/>
        </w:rPr>
        <w:t>ho vlá</w:t>
      </w:r>
      <w:r w:rsidRPr="00C33068">
        <w:rPr>
          <w:rFonts w:ascii="Times New Roman" w:hAnsi="Times New Roman" w:hint="default"/>
          <w:sz w:val="24"/>
        </w:rPr>
        <w:t>dou</w:t>
      </w:r>
      <w:r>
        <w:rPr>
          <w:rFonts w:ascii="Times New Roman" w:hAnsi="Times New Roman"/>
          <w:sz w:val="24"/>
          <w:vertAlign w:val="superscript"/>
          <w:rtl w:val="0"/>
        </w:rPr>
        <w:footnoteReference w:id="12"/>
      </w:r>
      <w:r w:rsidRPr="00C33068">
        <w:rPr>
          <w:rFonts w:ascii="Times New Roman" w:hAnsi="Times New Roman"/>
          <w:sz w:val="24"/>
          <w:vertAlign w:val="superscript"/>
        </w:rPr>
        <w:t xml:space="preserve"> </w:t>
      </w:r>
      <w:r w:rsidRPr="00C33068">
        <w:rPr>
          <w:rFonts w:ascii="Times New Roman" w:hAnsi="Times New Roman" w:hint="default"/>
          <w:sz w:val="24"/>
        </w:rPr>
        <w:t>by mal systé</w:t>
      </w:r>
      <w:r w:rsidRPr="00C33068">
        <w:rPr>
          <w:rFonts w:ascii="Times New Roman" w:hAnsi="Times New Roman" w:hint="default"/>
          <w:sz w:val="24"/>
        </w:rPr>
        <w:t>m hospodá</w:t>
      </w:r>
      <w:r w:rsidRPr="00C33068">
        <w:rPr>
          <w:rFonts w:ascii="Times New Roman" w:hAnsi="Times New Roman" w:hint="default"/>
          <w:sz w:val="24"/>
        </w:rPr>
        <w:t>riť</w:t>
      </w:r>
      <w:r w:rsidRPr="00C33068">
        <w:rPr>
          <w:rFonts w:ascii="Times New Roman" w:hAnsi="Times New Roman" w:hint="default"/>
          <w:sz w:val="24"/>
        </w:rPr>
        <w:t xml:space="preserve"> s </w:t>
      </w:r>
      <w:r w:rsidRPr="00C33068" w:rsidR="004A1BB4">
        <w:rPr>
          <w:rFonts w:ascii="Times New Roman" w:hAnsi="Times New Roman"/>
          <w:sz w:val="24"/>
        </w:rPr>
        <w:t>vyrovnanou</w:t>
      </w:r>
      <w:r w:rsidRPr="00C33068">
        <w:rPr>
          <w:rFonts w:ascii="Times New Roman" w:hAnsi="Times New Roman"/>
          <w:sz w:val="24"/>
        </w:rPr>
        <w:t xml:space="preserve"> bilanciu v </w:t>
      </w:r>
      <w:r w:rsidRPr="00C33068">
        <w:rPr>
          <w:rFonts w:ascii="Times New Roman" w:hAnsi="Times New Roman" w:hint="default"/>
          <w:sz w:val="24"/>
        </w:rPr>
        <w:t>dlhodobom horizonte. Poč</w:t>
      </w:r>
      <w:r w:rsidRPr="00C33068">
        <w:rPr>
          <w:rFonts w:ascii="Times New Roman" w:hAnsi="Times New Roman" w:hint="default"/>
          <w:sz w:val="24"/>
        </w:rPr>
        <w:t>as prevá</w:t>
      </w:r>
      <w:r w:rsidRPr="00C33068">
        <w:rPr>
          <w:rFonts w:ascii="Times New Roman" w:hAnsi="Times New Roman" w:hint="default"/>
          <w:sz w:val="24"/>
        </w:rPr>
        <w:t>dzky jadrové</w:t>
      </w:r>
      <w:r w:rsidRPr="00C33068">
        <w:rPr>
          <w:rFonts w:ascii="Times New Roman" w:hAnsi="Times New Roman" w:hint="default"/>
          <w:sz w:val="24"/>
        </w:rPr>
        <w:t>ho zariadenia by sa malo naakumulovať</w:t>
      </w:r>
      <w:r w:rsidRPr="00C33068">
        <w:rPr>
          <w:rFonts w:ascii="Times New Roman" w:hAnsi="Times New Roman" w:hint="default"/>
          <w:sz w:val="24"/>
        </w:rPr>
        <w:t xml:space="preserve"> v Ná</w:t>
      </w:r>
      <w:r w:rsidRPr="00C33068">
        <w:rPr>
          <w:rFonts w:ascii="Times New Roman" w:hAnsi="Times New Roman" w:hint="default"/>
          <w:sz w:val="24"/>
        </w:rPr>
        <w:t>rodnom jadrovom fonde (NJF) také</w:t>
      </w:r>
      <w:r w:rsidRPr="00C33068">
        <w:rPr>
          <w:rFonts w:ascii="Times New Roman" w:hAnsi="Times New Roman" w:hint="default"/>
          <w:sz w:val="24"/>
        </w:rPr>
        <w:t xml:space="preserve"> množ</w:t>
      </w:r>
      <w:r w:rsidRPr="00C33068">
        <w:rPr>
          <w:rFonts w:ascii="Times New Roman" w:hAnsi="Times New Roman" w:hint="default"/>
          <w:sz w:val="24"/>
        </w:rPr>
        <w:t>stvo finanč</w:t>
      </w:r>
      <w:r w:rsidRPr="00C33068">
        <w:rPr>
          <w:rFonts w:ascii="Times New Roman" w:hAnsi="Times New Roman" w:hint="default"/>
          <w:sz w:val="24"/>
        </w:rPr>
        <w:t>ný</w:t>
      </w:r>
      <w:r w:rsidRPr="00C33068">
        <w:rPr>
          <w:rFonts w:ascii="Times New Roman" w:hAnsi="Times New Roman" w:hint="default"/>
          <w:sz w:val="24"/>
        </w:rPr>
        <w:t>ch pro</w:t>
      </w:r>
      <w:r w:rsidRPr="00C33068">
        <w:rPr>
          <w:rFonts w:ascii="Times New Roman" w:hAnsi="Times New Roman" w:hint="default"/>
          <w:sz w:val="24"/>
        </w:rPr>
        <w:t>striedkov, ktoré</w:t>
      </w:r>
      <w:r w:rsidRPr="00C33068">
        <w:rPr>
          <w:rFonts w:ascii="Times New Roman" w:hAnsi="Times New Roman" w:hint="default"/>
          <w:sz w:val="24"/>
        </w:rPr>
        <w:t xml:space="preserve"> bude postač</w:t>
      </w:r>
      <w:r w:rsidRPr="00C33068">
        <w:rPr>
          <w:rFonts w:ascii="Times New Roman" w:hAnsi="Times New Roman" w:hint="default"/>
          <w:sz w:val="24"/>
        </w:rPr>
        <w:t>ujú</w:t>
      </w:r>
      <w:r w:rsidRPr="00C33068">
        <w:rPr>
          <w:rFonts w:ascii="Times New Roman" w:hAnsi="Times New Roman" w:hint="default"/>
          <w:sz w:val="24"/>
        </w:rPr>
        <w:t>ce pre jeho budú</w:t>
      </w:r>
      <w:r w:rsidRPr="00C33068">
        <w:rPr>
          <w:rFonts w:ascii="Times New Roman" w:hAnsi="Times New Roman" w:hint="default"/>
          <w:sz w:val="24"/>
        </w:rPr>
        <w:t>ce vyradenie, vrá</w:t>
      </w:r>
      <w:r w:rsidRPr="00C33068">
        <w:rPr>
          <w:rFonts w:ascii="Times New Roman" w:hAnsi="Times New Roman" w:hint="default"/>
          <w:sz w:val="24"/>
        </w:rPr>
        <w:t>tane nakladania s rá</w:t>
      </w:r>
      <w:r w:rsidRPr="00C33068">
        <w:rPr>
          <w:rFonts w:ascii="Times New Roman" w:hAnsi="Times New Roman" w:hint="default"/>
          <w:sz w:val="24"/>
        </w:rPr>
        <w:t>dioaktí</w:t>
      </w:r>
      <w:r w:rsidRPr="00C33068">
        <w:rPr>
          <w:rFonts w:ascii="Times New Roman" w:hAnsi="Times New Roman" w:hint="default"/>
          <w:sz w:val="24"/>
        </w:rPr>
        <w:t>vnymi odpadmi a vyhore</w:t>
      </w:r>
      <w:r w:rsidRPr="00C33068" w:rsidR="002C37A1">
        <w:rPr>
          <w:rFonts w:ascii="Times New Roman" w:hAnsi="Times New Roman"/>
          <w:sz w:val="24"/>
        </w:rPr>
        <w:t>n</w:t>
      </w:r>
      <w:r w:rsidRPr="00C33068">
        <w:rPr>
          <w:rFonts w:ascii="Times New Roman" w:hAnsi="Times New Roman" w:hint="default"/>
          <w:sz w:val="24"/>
        </w:rPr>
        <w:t>ý</w:t>
      </w:r>
      <w:r w:rsidRPr="00C33068">
        <w:rPr>
          <w:rFonts w:ascii="Times New Roman" w:hAnsi="Times New Roman" w:hint="default"/>
          <w:sz w:val="24"/>
        </w:rPr>
        <w:t>m palivom. Riziko pre finanč</w:t>
      </w:r>
      <w:r w:rsidRPr="00C33068">
        <w:rPr>
          <w:rFonts w:ascii="Times New Roman" w:hAnsi="Times New Roman" w:hint="default"/>
          <w:sz w:val="24"/>
        </w:rPr>
        <w:t>nú</w:t>
      </w:r>
      <w:r w:rsidRPr="00C33068">
        <w:rPr>
          <w:rFonts w:ascii="Times New Roman" w:hAnsi="Times New Roman" w:hint="default"/>
          <w:sz w:val="24"/>
        </w:rPr>
        <w:t xml:space="preserve"> sché</w:t>
      </w:r>
      <w:r w:rsidRPr="00C33068">
        <w:rPr>
          <w:rFonts w:ascii="Times New Roman" w:hAnsi="Times New Roman" w:hint="default"/>
          <w:sz w:val="24"/>
        </w:rPr>
        <w:t>mu predstavuje znač</w:t>
      </w:r>
      <w:r w:rsidRPr="00C33068">
        <w:rPr>
          <w:rFonts w:ascii="Times New Roman" w:hAnsi="Times New Roman" w:hint="default"/>
          <w:sz w:val="24"/>
        </w:rPr>
        <w:t>ná</w:t>
      </w:r>
      <w:r w:rsidRPr="00C33068">
        <w:rPr>
          <w:rFonts w:ascii="Times New Roman" w:hAnsi="Times New Roman" w:hint="default"/>
          <w:sz w:val="24"/>
        </w:rPr>
        <w:t xml:space="preserve"> zá</w:t>
      </w:r>
      <w:r w:rsidRPr="00C33068">
        <w:rPr>
          <w:rFonts w:ascii="Times New Roman" w:hAnsi="Times New Roman" w:hint="default"/>
          <w:sz w:val="24"/>
        </w:rPr>
        <w:t>vislosť</w:t>
      </w:r>
      <w:r w:rsidRPr="00C33068">
        <w:rPr>
          <w:rFonts w:ascii="Times New Roman" w:hAnsi="Times New Roman" w:hint="default"/>
          <w:sz w:val="24"/>
        </w:rPr>
        <w:t xml:space="preserve"> ná</w:t>
      </w:r>
      <w:r w:rsidRPr="00C33068">
        <w:rPr>
          <w:rFonts w:ascii="Times New Roman" w:hAnsi="Times New Roman" w:hint="default"/>
          <w:sz w:val="24"/>
        </w:rPr>
        <w:t>kladov na harmonograme vyraď</w:t>
      </w:r>
      <w:r w:rsidRPr="00C33068">
        <w:rPr>
          <w:rFonts w:ascii="Times New Roman" w:hAnsi="Times New Roman" w:hint="default"/>
          <w:sz w:val="24"/>
        </w:rPr>
        <w:t>ovania jednotlivý</w:t>
      </w:r>
      <w:r w:rsidRPr="00C33068">
        <w:rPr>
          <w:rFonts w:ascii="Times New Roman" w:hAnsi="Times New Roman" w:hint="default"/>
          <w:sz w:val="24"/>
        </w:rPr>
        <w:t>ch blokov a zvolené</w:t>
      </w:r>
      <w:r w:rsidRPr="00C33068">
        <w:rPr>
          <w:rFonts w:ascii="Times New Roman" w:hAnsi="Times New Roman" w:hint="default"/>
          <w:sz w:val="24"/>
        </w:rPr>
        <w:t>ho spô</w:t>
      </w:r>
      <w:r w:rsidRPr="00C33068">
        <w:rPr>
          <w:rFonts w:ascii="Times New Roman" w:hAnsi="Times New Roman" w:hint="default"/>
          <w:sz w:val="24"/>
        </w:rPr>
        <w:t>so</w:t>
      </w:r>
      <w:r w:rsidRPr="00C33068">
        <w:rPr>
          <w:rFonts w:ascii="Times New Roman" w:hAnsi="Times New Roman" w:hint="default"/>
          <w:sz w:val="24"/>
        </w:rPr>
        <w:t>bu likvidá</w:t>
      </w:r>
      <w:r w:rsidRPr="00C33068">
        <w:rPr>
          <w:rFonts w:ascii="Times New Roman" w:hAnsi="Times New Roman" w:hint="default"/>
          <w:sz w:val="24"/>
        </w:rPr>
        <w:t xml:space="preserve">cie. </w:t>
      </w:r>
    </w:p>
    <w:p w:rsidR="00E156E0" w:rsidRPr="00C33068" w:rsidP="00E156E0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E6886" w:rsidRPr="00C33068" w:rsidP="00C330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33068" w:rsidR="007509DB">
        <w:rPr>
          <w:rFonts w:ascii="Times New Roman" w:hAnsi="Times New Roman"/>
          <w:sz w:val="24"/>
        </w:rPr>
        <w:t>A</w:t>
      </w:r>
      <w:r w:rsidRPr="00C33068" w:rsidR="00E156E0">
        <w:rPr>
          <w:rFonts w:ascii="Times New Roman" w:hAnsi="Times New Roman" w:hint="default"/>
          <w:sz w:val="24"/>
        </w:rPr>
        <w:t>ktuá</w:t>
      </w:r>
      <w:r w:rsidRPr="00C33068" w:rsidR="00E156E0">
        <w:rPr>
          <w:rFonts w:ascii="Times New Roman" w:hAnsi="Times New Roman" w:hint="default"/>
          <w:sz w:val="24"/>
        </w:rPr>
        <w:t>lne</w:t>
      </w:r>
      <w:r w:rsidRPr="00C33068" w:rsidR="00E156E0">
        <w:rPr>
          <w:rFonts w:ascii="Times New Roman" w:hAnsi="Times New Roman"/>
          <w:sz w:val="24"/>
          <w:vertAlign w:val="superscript"/>
        </w:rPr>
        <w:t>12</w:t>
      </w:r>
      <w:r w:rsidRPr="00C33068" w:rsidR="00E156E0">
        <w:rPr>
          <w:rFonts w:ascii="Times New Roman" w:hAnsi="Times New Roman"/>
          <w:sz w:val="24"/>
        </w:rPr>
        <w:t xml:space="preserve"> </w:t>
      </w:r>
      <w:r w:rsidRPr="00C33068" w:rsidR="00B927A3">
        <w:rPr>
          <w:rFonts w:ascii="Times New Roman" w:hAnsi="Times New Roman" w:hint="default"/>
          <w:sz w:val="24"/>
        </w:rPr>
        <w:t>odhadované</w:t>
      </w:r>
      <w:r w:rsidRPr="00C33068" w:rsidR="00B927A3">
        <w:rPr>
          <w:rFonts w:ascii="Times New Roman" w:hAnsi="Times New Roman" w:hint="default"/>
          <w:sz w:val="24"/>
        </w:rPr>
        <w:t xml:space="preserve"> ná</w:t>
      </w:r>
      <w:r w:rsidRPr="00C33068" w:rsidR="00B927A3">
        <w:rPr>
          <w:rFonts w:ascii="Times New Roman" w:hAnsi="Times New Roman" w:hint="default"/>
          <w:sz w:val="24"/>
        </w:rPr>
        <w:t>klady na likvidá</w:t>
      </w:r>
      <w:r w:rsidRPr="00C33068" w:rsidR="00B927A3">
        <w:rPr>
          <w:rFonts w:ascii="Times New Roman" w:hAnsi="Times New Roman" w:hint="default"/>
          <w:sz w:val="24"/>
        </w:rPr>
        <w:t>ci</w:t>
      </w:r>
      <w:r w:rsidRPr="00C33068" w:rsidR="00E156E0">
        <w:rPr>
          <w:rFonts w:ascii="Times New Roman" w:hAnsi="Times New Roman" w:hint="default"/>
          <w:sz w:val="24"/>
        </w:rPr>
        <w:t>u jadrový</w:t>
      </w:r>
      <w:r w:rsidRPr="00C33068" w:rsidR="00E156E0">
        <w:rPr>
          <w:rFonts w:ascii="Times New Roman" w:hAnsi="Times New Roman" w:hint="default"/>
          <w:sz w:val="24"/>
        </w:rPr>
        <w:t>ch zariadení</w:t>
      </w:r>
      <w:r w:rsidRPr="00C33068" w:rsidR="00E156E0">
        <w:rPr>
          <w:rFonts w:ascii="Times New Roman" w:hAnsi="Times New Roman" w:hint="default"/>
          <w:sz w:val="24"/>
        </w:rPr>
        <w:t xml:space="preserve"> </w:t>
      </w:r>
      <w:r w:rsidRPr="00C33068" w:rsidR="007509DB">
        <w:rPr>
          <w:rFonts w:ascii="Times New Roman" w:hAnsi="Times New Roman" w:hint="default"/>
          <w:sz w:val="24"/>
        </w:rPr>
        <w:t>vychá</w:t>
      </w:r>
      <w:r w:rsidRPr="00C33068" w:rsidR="007509DB">
        <w:rPr>
          <w:rFonts w:ascii="Times New Roman" w:hAnsi="Times New Roman" w:hint="default"/>
          <w:sz w:val="24"/>
        </w:rPr>
        <w:t>dzajú</w:t>
      </w:r>
      <w:r w:rsidRPr="00C33068" w:rsidR="007509DB">
        <w:rPr>
          <w:rFonts w:ascii="Times New Roman" w:hAnsi="Times New Roman" w:hint="default"/>
          <w:sz w:val="24"/>
        </w:rPr>
        <w:t xml:space="preserve"> z </w:t>
      </w:r>
      <w:r w:rsidRPr="00C33068" w:rsidR="007509DB">
        <w:rPr>
          <w:rFonts w:ascii="Times New Roman" w:hAnsi="Times New Roman" w:hint="default"/>
          <w:sz w:val="24"/>
        </w:rPr>
        <w:t>ú</w:t>
      </w:r>
      <w:r w:rsidRPr="00C33068" w:rsidR="007509DB">
        <w:rPr>
          <w:rFonts w:ascii="Times New Roman" w:hAnsi="Times New Roman" w:hint="default"/>
          <w:sz w:val="24"/>
        </w:rPr>
        <w:t xml:space="preserve">dajov </w:t>
      </w:r>
      <w:r w:rsidRPr="00C33068" w:rsidR="00E156E0">
        <w:rPr>
          <w:rFonts w:ascii="Times New Roman" w:hAnsi="Times New Roman" w:hint="default"/>
          <w:sz w:val="24"/>
        </w:rPr>
        <w:t>Ministerstva hospodá</w:t>
      </w:r>
      <w:r w:rsidRPr="00C33068" w:rsidR="00E156E0">
        <w:rPr>
          <w:rFonts w:ascii="Times New Roman" w:hAnsi="Times New Roman" w:hint="default"/>
          <w:sz w:val="24"/>
        </w:rPr>
        <w:t>rstva SR. Saldá</w:t>
      </w:r>
      <w:r w:rsidRPr="00C33068" w:rsidR="00E156E0">
        <w:rPr>
          <w:rFonts w:ascii="Times New Roman" w:hAnsi="Times New Roman" w:hint="default"/>
          <w:sz w:val="24"/>
        </w:rPr>
        <w:t xml:space="preserve"> sú</w:t>
      </w:r>
      <w:r w:rsidRPr="00C33068" w:rsidR="00E156E0">
        <w:rPr>
          <w:rFonts w:ascii="Times New Roman" w:hAnsi="Times New Roman" w:hint="default"/>
          <w:sz w:val="24"/>
        </w:rPr>
        <w:t xml:space="preserve"> ná</w:t>
      </w:r>
      <w:r w:rsidRPr="00C33068" w:rsidR="00E156E0">
        <w:rPr>
          <w:rFonts w:ascii="Times New Roman" w:hAnsi="Times New Roman" w:hint="default"/>
          <w:sz w:val="24"/>
        </w:rPr>
        <w:t>sledne diskontované</w:t>
      </w:r>
      <w:r w:rsidRPr="00C33068" w:rsidR="00E156E0">
        <w:rPr>
          <w:rFonts w:ascii="Times New Roman" w:hAnsi="Times New Roman" w:hint="default"/>
          <w:sz w:val="24"/>
        </w:rPr>
        <w:t xml:space="preserve"> rovnaký</w:t>
      </w:r>
      <w:r w:rsidRPr="00C33068" w:rsidR="00E156E0">
        <w:rPr>
          <w:rFonts w:ascii="Times New Roman" w:hAnsi="Times New Roman" w:hint="default"/>
          <w:sz w:val="24"/>
        </w:rPr>
        <w:t>m faktorom ako pri zá</w:t>
      </w:r>
      <w:r w:rsidRPr="00C33068" w:rsidR="00E156E0">
        <w:rPr>
          <w:rFonts w:ascii="Times New Roman" w:hAnsi="Times New Roman" w:hint="default"/>
          <w:sz w:val="24"/>
        </w:rPr>
        <w:t>vä</w:t>
      </w:r>
      <w:r w:rsidRPr="00C33068" w:rsidR="00E156E0">
        <w:rPr>
          <w:rFonts w:ascii="Times New Roman" w:hAnsi="Times New Roman" w:hint="default"/>
          <w:sz w:val="24"/>
        </w:rPr>
        <w:t>zkoch zo starnutia populá</w:t>
      </w:r>
      <w:r w:rsidRPr="00C33068" w:rsidR="00E156E0">
        <w:rPr>
          <w:rFonts w:ascii="Times New Roman" w:hAnsi="Times New Roman" w:hint="default"/>
          <w:sz w:val="24"/>
        </w:rPr>
        <w:t>cie. Podľ</w:t>
      </w:r>
      <w:r w:rsidRPr="00C33068" w:rsidR="00E156E0">
        <w:rPr>
          <w:rFonts w:ascii="Times New Roman" w:hAnsi="Times New Roman" w:hint="default"/>
          <w:sz w:val="24"/>
        </w:rPr>
        <w:t>a aktuá</w:t>
      </w:r>
      <w:r w:rsidRPr="00C33068" w:rsidR="00E156E0">
        <w:rPr>
          <w:rFonts w:ascii="Times New Roman" w:hAnsi="Times New Roman" w:hint="default"/>
          <w:sz w:val="24"/>
        </w:rPr>
        <w:t>lnych odhadov by mal by</w:t>
      </w:r>
      <w:r w:rsidRPr="00C33068" w:rsidR="00E156E0">
        <w:rPr>
          <w:rFonts w:ascii="Times New Roman" w:hAnsi="Times New Roman" w:hint="default"/>
          <w:sz w:val="24"/>
        </w:rPr>
        <w:t>ť</w:t>
      </w:r>
      <w:r w:rsidRPr="00C33068" w:rsidR="00E156E0">
        <w:rPr>
          <w:rFonts w:ascii="Times New Roman" w:hAnsi="Times New Roman" w:hint="default"/>
          <w:sz w:val="24"/>
        </w:rPr>
        <w:t xml:space="preserve"> systé</w:t>
      </w:r>
      <w:r w:rsidRPr="00C33068" w:rsidR="00E156E0">
        <w:rPr>
          <w:rFonts w:ascii="Times New Roman" w:hAnsi="Times New Roman" w:hint="default"/>
          <w:sz w:val="24"/>
        </w:rPr>
        <w:t>m v </w:t>
      </w:r>
      <w:r w:rsidRPr="00C33068" w:rsidR="00E156E0">
        <w:rPr>
          <w:rFonts w:ascii="Times New Roman" w:hAnsi="Times New Roman" w:hint="default"/>
          <w:sz w:val="24"/>
        </w:rPr>
        <w:t>prebytku poč</w:t>
      </w:r>
      <w:r w:rsidRPr="00C33068" w:rsidR="00E156E0">
        <w:rPr>
          <w:rFonts w:ascii="Times New Roman" w:hAnsi="Times New Roman" w:hint="default"/>
          <w:sz w:val="24"/>
        </w:rPr>
        <w:t>as prvý</w:t>
      </w:r>
      <w:r w:rsidRPr="00C33068" w:rsidR="00E156E0">
        <w:rPr>
          <w:rFonts w:ascii="Times New Roman" w:hAnsi="Times New Roman" w:hint="default"/>
          <w:sz w:val="24"/>
        </w:rPr>
        <w:t>ch desať</w:t>
      </w:r>
      <w:r w:rsidRPr="00C33068" w:rsidR="00E156E0">
        <w:rPr>
          <w:rFonts w:ascii="Times New Roman" w:hAnsi="Times New Roman" w:hint="default"/>
          <w:sz w:val="24"/>
        </w:rPr>
        <w:t>ročí</w:t>
      </w:r>
      <w:r w:rsidRPr="00C33068" w:rsidR="00E156E0">
        <w:rPr>
          <w:rFonts w:ascii="Times New Roman" w:hAnsi="Times New Roman" w:hint="default"/>
          <w:sz w:val="24"/>
        </w:rPr>
        <w:t xml:space="preserve">. </w:t>
      </w:r>
      <w:r w:rsidRPr="00C33068" w:rsidR="007509DB">
        <w:rPr>
          <w:rFonts w:ascii="Times New Roman" w:hAnsi="Times New Roman"/>
          <w:sz w:val="24"/>
        </w:rPr>
        <w:t>V </w:t>
      </w:r>
      <w:r w:rsidRPr="00C33068" w:rsidR="007509DB">
        <w:rPr>
          <w:rFonts w:ascii="Times New Roman" w:hAnsi="Times New Roman" w:hint="default"/>
          <w:sz w:val="24"/>
        </w:rPr>
        <w:t>celom horizonte, najmä </w:t>
      </w:r>
      <w:r w:rsidRPr="00C33068" w:rsidR="007509DB">
        <w:rPr>
          <w:rFonts w:ascii="Times New Roman" w:hAnsi="Times New Roman" w:hint="default"/>
          <w:sz w:val="24"/>
        </w:rPr>
        <w:t>kumulujú</w:t>
      </w:r>
      <w:r w:rsidRPr="00C33068" w:rsidR="007509DB">
        <w:rPr>
          <w:rFonts w:ascii="Times New Roman" w:hAnsi="Times New Roman" w:hint="default"/>
          <w:sz w:val="24"/>
        </w:rPr>
        <w:t>cemu sa prebytku systé</w:t>
      </w:r>
      <w:r w:rsidRPr="00C33068" w:rsidR="007509DB">
        <w:rPr>
          <w:rFonts w:ascii="Times New Roman" w:hAnsi="Times New Roman" w:hint="default"/>
          <w:sz w:val="24"/>
        </w:rPr>
        <w:t>mu v </w:t>
      </w:r>
      <w:r w:rsidRPr="00C33068" w:rsidR="007509DB">
        <w:rPr>
          <w:rFonts w:ascii="Times New Roman" w:hAnsi="Times New Roman" w:hint="default"/>
          <w:sz w:val="24"/>
        </w:rPr>
        <w:t>prvý</w:t>
      </w:r>
      <w:r w:rsidRPr="00C33068" w:rsidR="007509DB">
        <w:rPr>
          <w:rFonts w:ascii="Times New Roman" w:hAnsi="Times New Roman" w:hint="default"/>
          <w:sz w:val="24"/>
        </w:rPr>
        <w:t>ch deká</w:t>
      </w:r>
      <w:r w:rsidRPr="00C33068" w:rsidR="007509DB">
        <w:rPr>
          <w:rFonts w:ascii="Times New Roman" w:hAnsi="Times New Roman" w:hint="default"/>
          <w:sz w:val="24"/>
        </w:rPr>
        <w:t>dach, je vplyv zahrnutia Ná</w:t>
      </w:r>
      <w:r w:rsidRPr="00C33068" w:rsidR="007509DB">
        <w:rPr>
          <w:rFonts w:ascii="Times New Roman" w:hAnsi="Times New Roman" w:hint="default"/>
          <w:sz w:val="24"/>
        </w:rPr>
        <w:t>rodné</w:t>
      </w:r>
      <w:r w:rsidRPr="00C33068" w:rsidR="007509DB">
        <w:rPr>
          <w:rFonts w:ascii="Times New Roman" w:hAnsi="Times New Roman" w:hint="default"/>
          <w:sz w:val="24"/>
        </w:rPr>
        <w:t>ho jadrové</w:t>
      </w:r>
      <w:r w:rsidRPr="00C33068" w:rsidR="007509DB">
        <w:rPr>
          <w:rFonts w:ascii="Times New Roman" w:hAnsi="Times New Roman" w:hint="default"/>
          <w:sz w:val="24"/>
        </w:rPr>
        <w:t>ho fondu kladný</w:t>
      </w:r>
      <w:r w:rsidRPr="00C33068" w:rsidR="007509DB">
        <w:rPr>
          <w:rFonts w:ascii="Times New Roman" w:hAnsi="Times New Roman" w:hint="default"/>
          <w:sz w:val="24"/>
        </w:rPr>
        <w:t xml:space="preserve"> a </w:t>
      </w:r>
      <w:r w:rsidRPr="00C33068" w:rsidR="007509DB">
        <w:rPr>
          <w:rFonts w:ascii="Times New Roman" w:hAnsi="Times New Roman" w:hint="default"/>
          <w:sz w:val="24"/>
        </w:rPr>
        <w:t>zniž</w:t>
      </w:r>
      <w:r w:rsidRPr="00C33068" w:rsidR="007509DB">
        <w:rPr>
          <w:rFonts w:ascii="Times New Roman" w:hAnsi="Times New Roman" w:hint="default"/>
          <w:sz w:val="24"/>
        </w:rPr>
        <w:t>uje celkové</w:t>
      </w:r>
      <w:r w:rsidRPr="00C33068" w:rsidR="007509DB">
        <w:rPr>
          <w:rFonts w:ascii="Times New Roman" w:hAnsi="Times New Roman" w:hint="default"/>
          <w:sz w:val="24"/>
        </w:rPr>
        <w:t xml:space="preserve"> implicitné</w:t>
      </w:r>
      <w:r w:rsidRPr="00C33068" w:rsidR="007509DB">
        <w:rPr>
          <w:rFonts w:ascii="Times New Roman" w:hAnsi="Times New Roman" w:hint="default"/>
          <w:sz w:val="24"/>
        </w:rPr>
        <w:t xml:space="preserve"> zá</w:t>
      </w:r>
      <w:r w:rsidRPr="00C33068" w:rsidR="007509DB">
        <w:rPr>
          <w:rFonts w:ascii="Times New Roman" w:hAnsi="Times New Roman" w:hint="default"/>
          <w:sz w:val="24"/>
        </w:rPr>
        <w:t>vä</w:t>
      </w:r>
      <w:r w:rsidRPr="00C33068" w:rsidR="007509DB">
        <w:rPr>
          <w:rFonts w:ascii="Times New Roman" w:hAnsi="Times New Roman" w:hint="default"/>
          <w:sz w:val="24"/>
        </w:rPr>
        <w:t>zky.</w:t>
      </w:r>
    </w:p>
    <w:p w:rsidR="007509DB" w:rsidRPr="00C33068" w:rsidP="00E156E0">
      <w:pPr>
        <w:bidi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0"/>
        <w:gridCol w:w="938"/>
        <w:gridCol w:w="938"/>
        <w:gridCol w:w="939"/>
        <w:gridCol w:w="939"/>
        <w:gridCol w:w="603"/>
        <w:gridCol w:w="336"/>
        <w:gridCol w:w="939"/>
      </w:tblGrid>
      <w:tr>
        <w:tblPrEx>
          <w:tblW w:w="90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3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lrTb"/>
            <w:vAlign w:val="bottom"/>
            <w:hideMark/>
          </w:tcPr>
          <w:p w:rsidR="00002AC2" w:rsidRPr="00C33068" w:rsidP="00002AC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Vplyv Národného jadrového </w:t>
            </w:r>
            <w:r w:rsidRPr="00345D3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fondu (v % HDP)</w:t>
            </w:r>
            <w:r w:rsidRPr="00C3306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 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2050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2140</w:t>
            </w:r>
            <w:r w:rsidRPr="00C33068" w:rsidR="007C122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Spolu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Vplyv NJF na saldo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- diskontovaná hodnota k roku 2014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A1BB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BB4" w:rsidRPr="00C33068" w:rsidP="00495B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3,</w:t>
            </w:r>
            <w:r w:rsidRPr="00C33068" w:rsidR="00495B3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>
        <w:tblPrEx>
          <w:tblW w:w="9072" w:type="dxa"/>
          <w:jc w:val="center"/>
          <w:tblLayout w:type="fixed"/>
          <w:tblLook w:val="04A0"/>
        </w:tblPrEx>
        <w:trPr>
          <w:trHeight w:val="22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lrTb"/>
            <w:vAlign w:val="top"/>
            <w:hideMark/>
          </w:tcPr>
          <w:p w:rsidR="007C1220" w:rsidRPr="00C33068" w:rsidP="007C122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* Projekcie pre účely </w:t>
            </w:r>
            <w:r w:rsidRPr="00C33068">
              <w:rPr>
                <w:rFonts w:ascii="Times New Roman" w:hAnsi="Times New Roman" w:hint="default"/>
                <w:sz w:val="16"/>
                <w:szCs w:val="16"/>
              </w:rPr>
              <w:t>Straté</w:t>
            </w:r>
            <w:r w:rsidRPr="00C33068">
              <w:rPr>
                <w:rFonts w:ascii="Times New Roman" w:hAnsi="Times New Roman" w:hint="default"/>
                <w:sz w:val="16"/>
                <w:szCs w:val="16"/>
              </w:rPr>
              <w:t>gie zá</w:t>
            </w:r>
            <w:r w:rsidRPr="00C33068">
              <w:rPr>
                <w:rFonts w:ascii="Times New Roman" w:hAnsi="Times New Roman" w:hint="default"/>
                <w:sz w:val="16"/>
                <w:szCs w:val="16"/>
              </w:rPr>
              <w:t>vereč</w:t>
            </w:r>
            <w:r w:rsidRPr="00C33068">
              <w:rPr>
                <w:rFonts w:ascii="Times New Roman" w:hAnsi="Times New Roman" w:hint="default"/>
                <w:sz w:val="16"/>
                <w:szCs w:val="16"/>
              </w:rPr>
              <w:t>nej č</w:t>
            </w:r>
            <w:r w:rsidRPr="00C33068">
              <w:rPr>
                <w:rFonts w:ascii="Times New Roman" w:hAnsi="Times New Roman" w:hint="default"/>
                <w:sz w:val="16"/>
                <w:szCs w:val="16"/>
              </w:rPr>
              <w:t>asti mierové</w:t>
            </w:r>
            <w:r w:rsidRPr="00C33068">
              <w:rPr>
                <w:rFonts w:ascii="Times New Roman" w:hAnsi="Times New Roman" w:hint="default"/>
                <w:sz w:val="16"/>
                <w:szCs w:val="16"/>
              </w:rPr>
              <w:t>ho využí</w:t>
            </w:r>
            <w:r w:rsidRPr="00C33068">
              <w:rPr>
                <w:rFonts w:ascii="Times New Roman" w:hAnsi="Times New Roman" w:hint="default"/>
                <w:sz w:val="16"/>
                <w:szCs w:val="16"/>
              </w:rPr>
              <w:t>vania jadrovej energie v </w:t>
            </w:r>
            <w:r w:rsidRPr="00C33068">
              <w:rPr>
                <w:rFonts w:ascii="Times New Roman" w:hAnsi="Times New Roman" w:hint="default"/>
                <w:sz w:val="16"/>
                <w:szCs w:val="16"/>
              </w:rPr>
              <w:t>SR siahajú</w:t>
            </w:r>
            <w:r w:rsidRPr="00C33068">
              <w:rPr>
                <w:rFonts w:ascii="Times New Roman" w:hAnsi="Times New Roman" w:hint="default"/>
                <w:sz w:val="16"/>
                <w:szCs w:val="16"/>
              </w:rPr>
              <w:t xml:space="preserve"> po rok 2140.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7C1220" w:rsidRPr="00C33068" w:rsidP="00002A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3306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Zdroj: MF SR</w:t>
            </w:r>
          </w:p>
        </w:tc>
      </w:tr>
    </w:tbl>
    <w:p w:rsidR="00BA123E" w:rsidRPr="00C33068" w:rsidP="00495B3F">
      <w:pPr>
        <w:bidi w:val="0"/>
        <w:jc w:val="both"/>
        <w:rPr>
          <w:rFonts w:ascii="Times New Roman" w:hAnsi="Times New Roman"/>
        </w:rPr>
      </w:pPr>
    </w:p>
    <w:sectPr w:rsidSect="00C33068">
      <w:footerReference w:type="defaul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NeueHaasGroteskText W02">
    <w:altName w:val="Segoe Script"/>
    <w:panose1 w:val="020B0504020202020204"/>
    <w:charset w:val="EE"/>
    <w:family w:val="swiss"/>
    <w:pitch w:val="variable"/>
    <w:sig w:usb0="00000000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E4" w:rsidRPr="00C33068" w:rsidP="00C33068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C33068">
      <w:rPr>
        <w:rFonts w:ascii="Times New Roman" w:hAnsi="Times New Roman"/>
        <w:sz w:val="24"/>
        <w:szCs w:val="24"/>
      </w:rPr>
      <w:fldChar w:fldCharType="begin"/>
    </w:r>
    <w:r w:rsidRPr="00C33068">
      <w:rPr>
        <w:rFonts w:ascii="Times New Roman" w:hAnsi="Times New Roman"/>
        <w:sz w:val="24"/>
        <w:szCs w:val="24"/>
      </w:rPr>
      <w:instrText xml:space="preserve"> PAGE   \* MERGEFORMAT </w:instrText>
    </w:r>
    <w:r w:rsidRPr="00C33068">
      <w:rPr>
        <w:rFonts w:ascii="Times New Roman" w:hAnsi="Times New Roman"/>
        <w:sz w:val="24"/>
        <w:szCs w:val="24"/>
      </w:rPr>
      <w:fldChar w:fldCharType="separate"/>
    </w:r>
    <w:r w:rsidR="00BB66AE">
      <w:rPr>
        <w:rFonts w:ascii="Times New Roman" w:hAnsi="Times New Roman"/>
        <w:noProof/>
        <w:sz w:val="24"/>
        <w:szCs w:val="24"/>
      </w:rPr>
      <w:t>5</w:t>
    </w:r>
    <w:r w:rsidRPr="00C33068">
      <w:rPr>
        <w:rFonts w:ascii="Times New Roman" w:hAnsi="Times New Roman"/>
        <w:sz w:val="24"/>
        <w:szCs w:val="24"/>
      </w:rPr>
      <w:fldChar w:fldCharType="end"/>
    </w:r>
  </w:p>
  <w:p w:rsidR="00DB6BE4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59" w:rsidP="00FA25AD">
      <w:pPr>
        <w:bidi w:val="0"/>
        <w:spacing w:after="0" w:line="240" w:lineRule="auto"/>
      </w:pPr>
      <w:r>
        <w:separator/>
      </w:r>
    </w:p>
  </w:footnote>
  <w:footnote w:type="continuationSeparator" w:id="1">
    <w:p w:rsidR="00847F59" w:rsidP="00FA25AD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C33068" w:rsidR="00DB6BE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DB6BE4">
        <w:rPr>
          <w:rFonts w:ascii="Times New Roman" w:hAnsi="Times New Roman"/>
          <w:sz w:val="18"/>
          <w:szCs w:val="18"/>
        </w:rPr>
        <w:t xml:space="preserve"> </w:t>
      </w:r>
      <w:r w:rsidRPr="00C33068" w:rsidR="0013749E">
        <w:rPr>
          <w:rFonts w:ascii="Times New Roman" w:hAnsi="Times New Roman" w:hint="default"/>
          <w:sz w:val="18"/>
          <w:szCs w:val="18"/>
        </w:rPr>
        <w:t>Metodika vý</w:t>
      </w:r>
      <w:r w:rsidRPr="00C33068" w:rsidR="0013749E">
        <w:rPr>
          <w:rFonts w:ascii="Times New Roman" w:hAnsi="Times New Roman" w:hint="default"/>
          <w:sz w:val="18"/>
          <w:szCs w:val="18"/>
        </w:rPr>
        <w:t>poč</w:t>
      </w:r>
      <w:r w:rsidRPr="00C33068" w:rsidR="0013749E">
        <w:rPr>
          <w:rFonts w:ascii="Times New Roman" w:hAnsi="Times New Roman" w:hint="default"/>
          <w:sz w:val="18"/>
          <w:szCs w:val="18"/>
        </w:rPr>
        <w:t>tu implicitný</w:t>
      </w:r>
      <w:r w:rsidRPr="00C33068" w:rsidR="0013749E">
        <w:rPr>
          <w:rFonts w:ascii="Times New Roman" w:hAnsi="Times New Roman" w:hint="default"/>
          <w:sz w:val="18"/>
          <w:szCs w:val="18"/>
        </w:rPr>
        <w:t>ch zá</w:t>
      </w:r>
      <w:r w:rsidRPr="00C33068" w:rsidR="0013749E">
        <w:rPr>
          <w:rFonts w:ascii="Times New Roman" w:hAnsi="Times New Roman" w:hint="default"/>
          <w:sz w:val="18"/>
          <w:szCs w:val="18"/>
        </w:rPr>
        <w:t>vä</w:t>
      </w:r>
      <w:r w:rsidRPr="00C33068" w:rsidR="0013749E">
        <w:rPr>
          <w:rFonts w:ascii="Times New Roman" w:hAnsi="Times New Roman" w:hint="default"/>
          <w:sz w:val="18"/>
          <w:szCs w:val="18"/>
        </w:rPr>
        <w:t>zkov (</w:t>
      </w:r>
      <w:hyperlink r:id="rId1" w:history="1">
        <w:r w:rsidRPr="00C33068" w:rsidR="0013749E">
          <w:rPr>
            <w:rStyle w:val="Hyperlink"/>
            <w:rFonts w:ascii="Times New Roman" w:hAnsi="Times New Roman"/>
            <w:sz w:val="18"/>
            <w:szCs w:val="18"/>
          </w:rPr>
          <w:t>http://mfsr.sk/Default.aspx?CatID=9696</w:t>
        </w:r>
      </w:hyperlink>
      <w:r w:rsidRPr="00C33068" w:rsidR="0013749E">
        <w:rPr>
          <w:rFonts w:ascii="Times New Roman" w:hAnsi="Times New Roman"/>
          <w:sz w:val="18"/>
          <w:szCs w:val="18"/>
        </w:rPr>
        <w:t>).</w:t>
      </w:r>
    </w:p>
  </w:footnote>
  <w:footnote w:id="3">
    <w:p w:rsidP="00A52219">
      <w:pPr>
        <w:pStyle w:val="FootnoteText"/>
        <w:bidi w:val="0"/>
        <w:ind w:left="113" w:hanging="113"/>
      </w:pPr>
      <w:r w:rsidRPr="00C33068" w:rsidR="00A5221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A52219">
        <w:rPr>
          <w:rFonts w:ascii="Times New Roman" w:hAnsi="Times New Roman" w:hint="default"/>
          <w:sz w:val="18"/>
          <w:szCs w:val="18"/>
        </w:rPr>
        <w:t xml:space="preserve"> Zmeny je mož</w:t>
      </w:r>
      <w:r w:rsidRPr="00C33068" w:rsidR="00A52219">
        <w:rPr>
          <w:rFonts w:ascii="Times New Roman" w:hAnsi="Times New Roman" w:hint="default"/>
          <w:sz w:val="18"/>
          <w:szCs w:val="18"/>
        </w:rPr>
        <w:t>né</w:t>
      </w:r>
      <w:r w:rsidRPr="00C33068" w:rsidR="00A52219">
        <w:rPr>
          <w:rFonts w:ascii="Times New Roman" w:hAnsi="Times New Roman" w:hint="default"/>
          <w:sz w:val="18"/>
          <w:szCs w:val="18"/>
        </w:rPr>
        <w:t xml:space="preserve"> rozdeliť</w:t>
      </w:r>
      <w:r w:rsidRPr="00C33068" w:rsidR="00A52219">
        <w:rPr>
          <w:rFonts w:ascii="Times New Roman" w:hAnsi="Times New Roman" w:hint="default"/>
          <w:sz w:val="18"/>
          <w:szCs w:val="18"/>
        </w:rPr>
        <w:t xml:space="preserve"> podľ</w:t>
      </w:r>
      <w:r w:rsidRPr="00C33068" w:rsidR="00A52219">
        <w:rPr>
          <w:rFonts w:ascii="Times New Roman" w:hAnsi="Times New Roman" w:hint="default"/>
          <w:sz w:val="18"/>
          <w:szCs w:val="18"/>
        </w:rPr>
        <w:t>a toho, č</w:t>
      </w:r>
      <w:r w:rsidRPr="00C33068" w:rsidR="00A52219">
        <w:rPr>
          <w:rFonts w:ascii="Times New Roman" w:hAnsi="Times New Roman" w:hint="default"/>
          <w:sz w:val="18"/>
          <w:szCs w:val="18"/>
        </w:rPr>
        <w:t>i sa jedná</w:t>
      </w:r>
      <w:r w:rsidRPr="00C33068" w:rsidR="00A52219">
        <w:rPr>
          <w:rFonts w:ascii="Times New Roman" w:hAnsi="Times New Roman" w:hint="default"/>
          <w:sz w:val="18"/>
          <w:szCs w:val="18"/>
        </w:rPr>
        <w:t xml:space="preserve"> o </w:t>
      </w:r>
      <w:r w:rsidRPr="00C33068" w:rsidR="00A52219">
        <w:rPr>
          <w:rFonts w:ascii="Times New Roman" w:hAnsi="Times New Roman" w:hint="default"/>
          <w:sz w:val="18"/>
          <w:szCs w:val="18"/>
        </w:rPr>
        <w:t>vplyv makroekonomické</w:t>
      </w:r>
      <w:r w:rsidRPr="00C33068" w:rsidR="00A52219">
        <w:rPr>
          <w:rFonts w:ascii="Times New Roman" w:hAnsi="Times New Roman" w:hint="default"/>
          <w:sz w:val="18"/>
          <w:szCs w:val="18"/>
        </w:rPr>
        <w:t>ho vý</w:t>
      </w:r>
      <w:r w:rsidRPr="00C33068" w:rsidR="00A52219">
        <w:rPr>
          <w:rFonts w:ascii="Times New Roman" w:hAnsi="Times New Roman" w:hint="default"/>
          <w:sz w:val="18"/>
          <w:szCs w:val="18"/>
        </w:rPr>
        <w:t>voja alebo z iný</w:t>
      </w:r>
      <w:r w:rsidRPr="00C33068" w:rsidR="00A52219">
        <w:rPr>
          <w:rFonts w:ascii="Times New Roman" w:hAnsi="Times New Roman" w:hint="default"/>
          <w:sz w:val="18"/>
          <w:szCs w:val="18"/>
        </w:rPr>
        <w:t>ch dô</w:t>
      </w:r>
      <w:r w:rsidRPr="00C33068" w:rsidR="00A52219">
        <w:rPr>
          <w:rFonts w:ascii="Times New Roman" w:hAnsi="Times New Roman" w:hint="default"/>
          <w:sz w:val="18"/>
          <w:szCs w:val="18"/>
        </w:rPr>
        <w:t>vodov, na</w:t>
      </w:r>
      <w:r w:rsidRPr="00C33068" w:rsidR="00A52219">
        <w:rPr>
          <w:rFonts w:ascii="Times New Roman" w:hAnsi="Times New Roman" w:hint="default"/>
          <w:sz w:val="18"/>
          <w:szCs w:val="18"/>
        </w:rPr>
        <w:t>prí</w:t>
      </w:r>
      <w:r w:rsidRPr="00C33068" w:rsidR="00A52219">
        <w:rPr>
          <w:rFonts w:ascii="Times New Roman" w:hAnsi="Times New Roman" w:hint="default"/>
          <w:sz w:val="18"/>
          <w:szCs w:val="18"/>
        </w:rPr>
        <w:t>klad kvô</w:t>
      </w:r>
      <w:r w:rsidRPr="00C33068" w:rsidR="00A52219">
        <w:rPr>
          <w:rFonts w:ascii="Times New Roman" w:hAnsi="Times New Roman" w:hint="default"/>
          <w:sz w:val="18"/>
          <w:szCs w:val="18"/>
        </w:rPr>
        <w:t>li spresneniu metodiky alebo legislatí</w:t>
      </w:r>
      <w:r w:rsidRPr="00C33068" w:rsidR="00A52219">
        <w:rPr>
          <w:rFonts w:ascii="Times New Roman" w:hAnsi="Times New Roman" w:hint="default"/>
          <w:sz w:val="18"/>
          <w:szCs w:val="18"/>
        </w:rPr>
        <w:t>vneho odhadu. Metodika aktualizá</w:t>
      </w:r>
      <w:r w:rsidRPr="00C33068" w:rsidR="00A52219">
        <w:rPr>
          <w:rFonts w:ascii="Times New Roman" w:hAnsi="Times New Roman" w:hint="default"/>
          <w:sz w:val="18"/>
          <w:szCs w:val="18"/>
        </w:rPr>
        <w:t>cie scená</w:t>
      </w:r>
      <w:r w:rsidRPr="00C33068" w:rsidR="00A52219">
        <w:rPr>
          <w:rFonts w:ascii="Times New Roman" w:hAnsi="Times New Roman" w:hint="default"/>
          <w:sz w:val="18"/>
          <w:szCs w:val="18"/>
        </w:rPr>
        <w:t>ra bola popí</w:t>
      </w:r>
      <w:r w:rsidRPr="00C33068" w:rsidR="00A52219">
        <w:rPr>
          <w:rFonts w:ascii="Times New Roman" w:hAnsi="Times New Roman" w:hint="default"/>
          <w:sz w:val="18"/>
          <w:szCs w:val="18"/>
        </w:rPr>
        <w:t>saná</w:t>
      </w:r>
      <w:r w:rsidRPr="00C33068" w:rsidR="00A52219">
        <w:rPr>
          <w:rFonts w:ascii="Times New Roman" w:hAnsi="Times New Roman" w:hint="default"/>
          <w:sz w:val="18"/>
          <w:szCs w:val="18"/>
        </w:rPr>
        <w:t xml:space="preserve"> v rozpoč</w:t>
      </w:r>
      <w:r w:rsidRPr="00C33068" w:rsidR="00A52219">
        <w:rPr>
          <w:rFonts w:ascii="Times New Roman" w:hAnsi="Times New Roman" w:hint="default"/>
          <w:sz w:val="18"/>
          <w:szCs w:val="18"/>
        </w:rPr>
        <w:t xml:space="preserve">te VS </w:t>
      </w:r>
      <w:r w:rsidRPr="00C33068" w:rsidR="00B927A3">
        <w:rPr>
          <w:rFonts w:ascii="Times New Roman" w:hAnsi="Times New Roman"/>
          <w:sz w:val="18"/>
          <w:szCs w:val="18"/>
        </w:rPr>
        <w:t xml:space="preserve">na </w:t>
      </w:r>
      <w:r w:rsidRPr="00C33068" w:rsidR="00A52219">
        <w:rPr>
          <w:rFonts w:ascii="Times New Roman" w:hAnsi="Times New Roman"/>
          <w:sz w:val="18"/>
          <w:szCs w:val="18"/>
        </w:rPr>
        <w:t>roky 2014-2016.</w:t>
      </w:r>
    </w:p>
  </w:footnote>
  <w:footnote w:id="4">
    <w:p w:rsidP="00DC7715">
      <w:pPr>
        <w:pStyle w:val="FootnoteText"/>
        <w:bidi w:val="0"/>
        <w:ind w:left="159" w:hanging="159"/>
        <w:jc w:val="both"/>
      </w:pPr>
      <w:r w:rsidRPr="00C33068" w:rsidR="00DB6BE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DB6BE4">
        <w:rPr>
          <w:rFonts w:ascii="Times New Roman" w:hAnsi="Times New Roman"/>
          <w:sz w:val="18"/>
          <w:szCs w:val="18"/>
        </w:rPr>
        <w:t xml:space="preserve"> Ageing working group </w:t>
      </w:r>
      <w:r w:rsidRPr="00C33068" w:rsidR="00DB6BE4">
        <w:rPr>
          <w:rFonts w:ascii="Times New Roman" w:hAnsi="Times New Roman" w:hint="default"/>
          <w:sz w:val="18"/>
          <w:szCs w:val="18"/>
        </w:rPr>
        <w:t>–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pracovná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skupina Euró</w:t>
      </w:r>
      <w:r w:rsidRPr="00C33068" w:rsidR="00DB6BE4">
        <w:rPr>
          <w:rFonts w:ascii="Times New Roman" w:hAnsi="Times New Roman" w:hint="default"/>
          <w:sz w:val="18"/>
          <w:szCs w:val="18"/>
        </w:rPr>
        <w:t>pskej komisie zaoberajú</w:t>
      </w:r>
      <w:r w:rsidRPr="00C33068" w:rsidR="00DB6BE4">
        <w:rPr>
          <w:rFonts w:ascii="Times New Roman" w:hAnsi="Times New Roman" w:hint="default"/>
          <w:sz w:val="18"/>
          <w:szCs w:val="18"/>
        </w:rPr>
        <w:t>ca sa vplyvom starnutia obyvateľ</w:t>
      </w:r>
      <w:r w:rsidRPr="00C33068" w:rsidR="00DB6BE4">
        <w:rPr>
          <w:rFonts w:ascii="Times New Roman" w:hAnsi="Times New Roman" w:hint="default"/>
          <w:sz w:val="18"/>
          <w:szCs w:val="18"/>
        </w:rPr>
        <w:t>stva na verejné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financie v dlhodobom horizonte.</w:t>
      </w:r>
    </w:p>
  </w:footnote>
  <w:footnote w:id="5">
    <w:p w:rsidP="00C33068">
      <w:pPr>
        <w:pStyle w:val="FootnoteText"/>
        <w:bidi w:val="0"/>
        <w:ind w:left="159" w:hanging="159"/>
      </w:pPr>
      <w:r w:rsidRPr="00C33068" w:rsidR="00DB6BE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Detailný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popis vý</w:t>
      </w:r>
      <w:r w:rsidRPr="00C33068" w:rsidR="00DB6BE4">
        <w:rPr>
          <w:rFonts w:ascii="Times New Roman" w:hAnsi="Times New Roman" w:hint="default"/>
          <w:sz w:val="18"/>
          <w:szCs w:val="18"/>
        </w:rPr>
        <w:t>sledkov a </w:t>
      </w:r>
      <w:r w:rsidRPr="00C33068" w:rsidR="00DB6BE4">
        <w:rPr>
          <w:rFonts w:ascii="Times New Roman" w:hAnsi="Times New Roman" w:hint="default"/>
          <w:sz w:val="18"/>
          <w:szCs w:val="18"/>
        </w:rPr>
        <w:t>predpokladov použ</w:t>
      </w:r>
      <w:r w:rsidRPr="00C33068" w:rsidR="00DB6BE4">
        <w:rPr>
          <w:rFonts w:ascii="Times New Roman" w:hAnsi="Times New Roman" w:hint="default"/>
          <w:sz w:val="18"/>
          <w:szCs w:val="18"/>
        </w:rPr>
        <w:t>itý</w:t>
      </w:r>
      <w:r w:rsidRPr="00C33068" w:rsidR="00DB6BE4">
        <w:rPr>
          <w:rFonts w:ascii="Times New Roman" w:hAnsi="Times New Roman" w:hint="default"/>
          <w:sz w:val="18"/>
          <w:szCs w:val="18"/>
        </w:rPr>
        <w:t>ch pri kvantifiká</w:t>
      </w:r>
      <w:r w:rsidRPr="00C33068" w:rsidR="00DB6BE4">
        <w:rPr>
          <w:rFonts w:ascii="Times New Roman" w:hAnsi="Times New Roman" w:hint="default"/>
          <w:sz w:val="18"/>
          <w:szCs w:val="18"/>
        </w:rPr>
        <w:t>cii dlhodobý</w:t>
      </w:r>
      <w:r w:rsidRPr="00C33068" w:rsidR="00DB6BE4">
        <w:rPr>
          <w:rFonts w:ascii="Times New Roman" w:hAnsi="Times New Roman" w:hint="default"/>
          <w:sz w:val="18"/>
          <w:szCs w:val="18"/>
        </w:rPr>
        <w:t>ch projekcií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je uvedený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v </w:t>
      </w:r>
      <w:r w:rsidRPr="00C33068" w:rsidR="00DB6BE4">
        <w:rPr>
          <w:rFonts w:ascii="Times New Roman" w:hAnsi="Times New Roman" w:hint="default"/>
          <w:sz w:val="18"/>
          <w:szCs w:val="18"/>
        </w:rPr>
        <w:t>tzv. Country fiche, ktorý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je sprievodný</w:t>
      </w:r>
      <w:r w:rsidRPr="00C33068" w:rsidR="00DB6BE4">
        <w:rPr>
          <w:rFonts w:ascii="Times New Roman" w:hAnsi="Times New Roman" w:hint="default"/>
          <w:sz w:val="18"/>
          <w:szCs w:val="18"/>
        </w:rPr>
        <w:t>m dokumentom k </w:t>
      </w:r>
      <w:r w:rsidRPr="00C33068" w:rsidR="00DB6BE4">
        <w:rPr>
          <w:rFonts w:ascii="Times New Roman" w:hAnsi="Times New Roman" w:hint="default"/>
          <w:sz w:val="18"/>
          <w:szCs w:val="18"/>
        </w:rPr>
        <w:t>projekciá</w:t>
      </w:r>
      <w:r w:rsidRPr="00C33068" w:rsidR="00DB6BE4">
        <w:rPr>
          <w:rFonts w:ascii="Times New Roman" w:hAnsi="Times New Roman" w:hint="default"/>
          <w:sz w:val="18"/>
          <w:szCs w:val="18"/>
        </w:rPr>
        <w:t>m predkladaný</w:t>
      </w:r>
      <w:r w:rsidRPr="00C33068" w:rsidR="00DB6BE4">
        <w:rPr>
          <w:rFonts w:ascii="Times New Roman" w:hAnsi="Times New Roman" w:hint="default"/>
          <w:sz w:val="18"/>
          <w:szCs w:val="18"/>
        </w:rPr>
        <w:t>m EK</w:t>
      </w:r>
      <w:r w:rsidR="00C33068">
        <w:rPr>
          <w:rFonts w:ascii="Times New Roman" w:hAnsi="Times New Roman"/>
          <w:sz w:val="18"/>
          <w:szCs w:val="18"/>
        </w:rPr>
        <w:t xml:space="preserve"> </w:t>
      </w:r>
      <w:r w:rsidRPr="00C33068" w:rsidR="00DB6BE4">
        <w:rPr>
          <w:rFonts w:ascii="Times New Roman" w:hAnsi="Times New Roman"/>
          <w:sz w:val="18"/>
          <w:szCs w:val="18"/>
        </w:rPr>
        <w:t>(</w:t>
      </w:r>
      <w:hyperlink r:id="rId2" w:history="1">
        <w:r w:rsidRPr="00C33068" w:rsidR="00DB6BE4">
          <w:rPr>
            <w:rStyle w:val="Hyperlink"/>
            <w:rFonts w:ascii="Times New Roman" w:hAnsi="Times New Roman"/>
            <w:sz w:val="18"/>
            <w:szCs w:val="18"/>
          </w:rPr>
          <w:t>http://europa.eu/epc/pdf/latest_version_country_fiches.zip</w:t>
        </w:r>
      </w:hyperlink>
      <w:r w:rsidRPr="00C33068" w:rsidR="00DB6BE4">
        <w:rPr>
          <w:rFonts w:ascii="Times New Roman" w:hAnsi="Times New Roman"/>
          <w:sz w:val="18"/>
          <w:szCs w:val="18"/>
        </w:rPr>
        <w:t>).</w:t>
      </w:r>
    </w:p>
  </w:footnote>
  <w:footnote w:id="6">
    <w:p w:rsidP="00A52219">
      <w:pPr>
        <w:pStyle w:val="FootnoteText"/>
        <w:bidi w:val="0"/>
        <w:ind w:left="113" w:hanging="113"/>
      </w:pPr>
      <w:r w:rsidRPr="00C33068" w:rsidR="00A5221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A52219">
        <w:rPr>
          <w:rFonts w:ascii="Times New Roman" w:hAnsi="Times New Roman"/>
          <w:sz w:val="18"/>
          <w:szCs w:val="18"/>
        </w:rPr>
        <w:t xml:space="preserve"> </w:t>
      </w:r>
      <w:r w:rsidRPr="00C33068" w:rsidR="00A52219">
        <w:rPr>
          <w:rFonts w:ascii="Times New Roman" w:hAnsi="Times New Roman"/>
          <w:iCs/>
          <w:sz w:val="18"/>
          <w:szCs w:val="18"/>
        </w:rPr>
        <w:t>Ide o 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š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tandardnú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 xml:space="preserve"> procedú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ru, tzv. peer review, kedy č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lenská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 xml:space="preserve"> krajina môž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e pož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iadať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 xml:space="preserve"> pracovnú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 xml:space="preserve"> skupinu AWG a EK o 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posú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denie aktualizá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cie projekcií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 xml:space="preserve"> z 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dô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>vodu prij</w:t>
      </w:r>
      <w:r w:rsidRPr="00C33068" w:rsidR="00A52219">
        <w:rPr>
          <w:rFonts w:ascii="Times New Roman" w:hAnsi="Times New Roman" w:hint="default"/>
          <w:iCs/>
          <w:sz w:val="18"/>
          <w:szCs w:val="18"/>
        </w:rPr>
        <w:t xml:space="preserve">atia </w:t>
      </w:r>
      <w:r w:rsidRPr="00C33068" w:rsidR="00A52219">
        <w:rPr>
          <w:rFonts w:ascii="Times New Roman" w:hAnsi="Times New Roman" w:hint="default"/>
          <w:sz w:val="18"/>
          <w:szCs w:val="18"/>
        </w:rPr>
        <w:t>vý</w:t>
      </w:r>
      <w:r w:rsidRPr="00C33068" w:rsidR="00A52219">
        <w:rPr>
          <w:rFonts w:ascii="Times New Roman" w:hAnsi="Times New Roman" w:hint="default"/>
          <w:sz w:val="18"/>
          <w:szCs w:val="18"/>
        </w:rPr>
        <w:t>znamnej</w:t>
      </w:r>
      <w:r w:rsidRPr="00C33068" w:rsidR="00A52219">
        <w:rPr>
          <w:rFonts w:ascii="Times New Roman" w:hAnsi="Times New Roman"/>
          <w:iCs/>
          <w:sz w:val="18"/>
          <w:szCs w:val="18"/>
        </w:rPr>
        <w:t xml:space="preserve"> reformy.</w:t>
      </w:r>
    </w:p>
  </w:footnote>
  <w:footnote w:id="7">
    <w:p w:rsidP="00431A4A">
      <w:pPr>
        <w:pStyle w:val="FootnoteText"/>
        <w:bidi w:val="0"/>
        <w:ind w:left="142" w:hanging="142"/>
        <w:jc w:val="both"/>
      </w:pPr>
      <w:r w:rsidRPr="00C33068" w:rsidR="00DB6BE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Keďž</w:t>
      </w:r>
      <w:r w:rsidRPr="00C33068" w:rsidR="00DB6BE4">
        <w:rPr>
          <w:rFonts w:ascii="Times New Roman" w:hAnsi="Times New Roman" w:hint="default"/>
          <w:sz w:val="18"/>
          <w:szCs w:val="18"/>
        </w:rPr>
        <w:t>e cieľ</w:t>
      </w:r>
      <w:r w:rsidRPr="00C33068" w:rsidR="00DB6BE4">
        <w:rPr>
          <w:rFonts w:ascii="Times New Roman" w:hAnsi="Times New Roman" w:hint="default"/>
          <w:sz w:val="18"/>
          <w:szCs w:val="18"/>
        </w:rPr>
        <w:t>om tejto č</w:t>
      </w:r>
      <w:r w:rsidRPr="00C33068" w:rsidR="00DB6BE4">
        <w:rPr>
          <w:rFonts w:ascii="Times New Roman" w:hAnsi="Times New Roman" w:hint="default"/>
          <w:sz w:val="18"/>
          <w:szCs w:val="18"/>
        </w:rPr>
        <w:t>asti je odhadnúť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veľ</w:t>
      </w:r>
      <w:r w:rsidRPr="00C33068" w:rsidR="00DB6BE4">
        <w:rPr>
          <w:rFonts w:ascii="Times New Roman" w:hAnsi="Times New Roman" w:hint="default"/>
          <w:sz w:val="18"/>
          <w:szCs w:val="18"/>
        </w:rPr>
        <w:t>kosť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implicitný</w:t>
      </w:r>
      <w:r w:rsidRPr="00C33068" w:rsidR="00DB6BE4">
        <w:rPr>
          <w:rFonts w:ascii="Times New Roman" w:hAnsi="Times New Roman" w:hint="default"/>
          <w:sz w:val="18"/>
          <w:szCs w:val="18"/>
        </w:rPr>
        <w:t>ch zá</w:t>
      </w:r>
      <w:r w:rsidRPr="00C33068" w:rsidR="00DB6BE4">
        <w:rPr>
          <w:rFonts w:ascii="Times New Roman" w:hAnsi="Times New Roman" w:hint="default"/>
          <w:sz w:val="18"/>
          <w:szCs w:val="18"/>
        </w:rPr>
        <w:t>vä</w:t>
      </w:r>
      <w:r w:rsidRPr="00C33068" w:rsidR="00DB6BE4">
        <w:rPr>
          <w:rFonts w:ascii="Times New Roman" w:hAnsi="Times New Roman" w:hint="default"/>
          <w:sz w:val="18"/>
          <w:szCs w:val="18"/>
        </w:rPr>
        <w:t>zkov spojený</w:t>
      </w:r>
      <w:r w:rsidRPr="00C33068" w:rsidR="00DB6BE4">
        <w:rPr>
          <w:rFonts w:ascii="Times New Roman" w:hAnsi="Times New Roman" w:hint="default"/>
          <w:sz w:val="18"/>
          <w:szCs w:val="18"/>
        </w:rPr>
        <w:t>ch so starnutí</w:t>
      </w:r>
      <w:r w:rsidRPr="00C33068" w:rsidR="00DB6BE4">
        <w:rPr>
          <w:rFonts w:ascii="Times New Roman" w:hAnsi="Times New Roman" w:hint="default"/>
          <w:sz w:val="18"/>
          <w:szCs w:val="18"/>
        </w:rPr>
        <w:t>m populá</w:t>
      </w:r>
      <w:r w:rsidRPr="00C33068" w:rsidR="00DB6BE4">
        <w:rPr>
          <w:rFonts w:ascii="Times New Roman" w:hAnsi="Times New Roman" w:hint="default"/>
          <w:sz w:val="18"/>
          <w:szCs w:val="18"/>
        </w:rPr>
        <w:t>cie, vychá</w:t>
      </w:r>
      <w:r w:rsidRPr="00C33068" w:rsidR="00DB6BE4">
        <w:rPr>
          <w:rFonts w:ascii="Times New Roman" w:hAnsi="Times New Roman" w:hint="default"/>
          <w:sz w:val="18"/>
          <w:szCs w:val="18"/>
        </w:rPr>
        <w:t>dza sa z </w:t>
      </w:r>
      <w:r w:rsidRPr="00C33068" w:rsidR="00DB6BE4">
        <w:rPr>
          <w:rFonts w:ascii="Times New Roman" w:hAnsi="Times New Roman" w:hint="default"/>
          <w:sz w:val="18"/>
          <w:szCs w:val="18"/>
        </w:rPr>
        <w:t>predpokladu vyrovnanej bilancie prí</w:t>
      </w:r>
      <w:r w:rsidRPr="00C33068" w:rsidR="00DB6BE4">
        <w:rPr>
          <w:rFonts w:ascii="Times New Roman" w:hAnsi="Times New Roman" w:hint="default"/>
          <w:sz w:val="18"/>
          <w:szCs w:val="18"/>
        </w:rPr>
        <w:t>jmov a </w:t>
      </w:r>
      <w:r w:rsidRPr="00C33068" w:rsidR="00DB6BE4">
        <w:rPr>
          <w:rFonts w:ascii="Times New Roman" w:hAnsi="Times New Roman" w:hint="default"/>
          <w:sz w:val="18"/>
          <w:szCs w:val="18"/>
        </w:rPr>
        <w:t>vý</w:t>
      </w:r>
      <w:r w:rsidRPr="00C33068" w:rsidR="00DB6BE4">
        <w:rPr>
          <w:rFonts w:ascii="Times New Roman" w:hAnsi="Times New Roman" w:hint="default"/>
          <w:sz w:val="18"/>
          <w:szCs w:val="18"/>
        </w:rPr>
        <w:t>davkov vo vý</w:t>
      </w:r>
      <w:r w:rsidRPr="00C33068" w:rsidR="00DB6BE4">
        <w:rPr>
          <w:rFonts w:ascii="Times New Roman" w:hAnsi="Times New Roman" w:hint="default"/>
          <w:sz w:val="18"/>
          <w:szCs w:val="18"/>
        </w:rPr>
        <w:t>chodiskovom roku. Znamená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to, ž</w:t>
      </w:r>
      <w:r w:rsidRPr="00C33068" w:rsidR="00DB6BE4">
        <w:rPr>
          <w:rFonts w:ascii="Times New Roman" w:hAnsi="Times New Roman" w:hint="default"/>
          <w:sz w:val="18"/>
          <w:szCs w:val="18"/>
        </w:rPr>
        <w:t>e implicitné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zá</w:t>
      </w:r>
      <w:r w:rsidRPr="00C33068" w:rsidR="00DB6BE4">
        <w:rPr>
          <w:rFonts w:ascii="Times New Roman" w:hAnsi="Times New Roman" w:hint="default"/>
          <w:sz w:val="18"/>
          <w:szCs w:val="18"/>
        </w:rPr>
        <w:t>vä</w:t>
      </w:r>
      <w:r w:rsidRPr="00C33068" w:rsidR="00DB6BE4">
        <w:rPr>
          <w:rFonts w:ascii="Times New Roman" w:hAnsi="Times New Roman" w:hint="default"/>
          <w:sz w:val="18"/>
          <w:szCs w:val="18"/>
        </w:rPr>
        <w:t>zky vznikaj</w:t>
      </w:r>
      <w:r w:rsidRPr="00C33068" w:rsidR="00DB6BE4">
        <w:rPr>
          <w:rFonts w:ascii="Times New Roman" w:hAnsi="Times New Roman" w:hint="default"/>
          <w:sz w:val="18"/>
          <w:szCs w:val="18"/>
        </w:rPr>
        <w:t>ú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len z </w:t>
      </w:r>
      <w:r w:rsidRPr="00C33068" w:rsidR="00DB6BE4">
        <w:rPr>
          <w:rFonts w:ascii="Times New Roman" w:hAnsi="Times New Roman" w:hint="default"/>
          <w:sz w:val="18"/>
          <w:szCs w:val="18"/>
        </w:rPr>
        <w:t>odchý</w:t>
      </w:r>
      <w:r w:rsidRPr="00C33068" w:rsidR="00DB6BE4">
        <w:rPr>
          <w:rFonts w:ascii="Times New Roman" w:hAnsi="Times New Roman" w:hint="default"/>
          <w:sz w:val="18"/>
          <w:szCs w:val="18"/>
        </w:rPr>
        <w:t>lok prí</w:t>
      </w:r>
      <w:r w:rsidRPr="00C33068" w:rsidR="00DB6BE4">
        <w:rPr>
          <w:rFonts w:ascii="Times New Roman" w:hAnsi="Times New Roman" w:hint="default"/>
          <w:sz w:val="18"/>
          <w:szCs w:val="18"/>
        </w:rPr>
        <w:t>jmov a </w:t>
      </w:r>
      <w:r w:rsidRPr="00C33068" w:rsidR="00DB6BE4">
        <w:rPr>
          <w:rFonts w:ascii="Times New Roman" w:hAnsi="Times New Roman" w:hint="default"/>
          <w:sz w:val="18"/>
          <w:szCs w:val="18"/>
        </w:rPr>
        <w:t>vý</w:t>
      </w:r>
      <w:r w:rsidRPr="00C33068" w:rsidR="00DB6BE4">
        <w:rPr>
          <w:rFonts w:ascii="Times New Roman" w:hAnsi="Times New Roman" w:hint="default"/>
          <w:sz w:val="18"/>
          <w:szCs w:val="18"/>
        </w:rPr>
        <w:t>davkov spojený</w:t>
      </w:r>
      <w:r w:rsidRPr="00C33068" w:rsidR="00DB6BE4">
        <w:rPr>
          <w:rFonts w:ascii="Times New Roman" w:hAnsi="Times New Roman" w:hint="default"/>
          <w:sz w:val="18"/>
          <w:szCs w:val="18"/>
        </w:rPr>
        <w:t>ch so starnutí</w:t>
      </w:r>
      <w:r w:rsidRPr="00C33068" w:rsidR="00DB6BE4">
        <w:rPr>
          <w:rFonts w:ascii="Times New Roman" w:hAnsi="Times New Roman" w:hint="default"/>
          <w:sz w:val="18"/>
          <w:szCs w:val="18"/>
        </w:rPr>
        <w:t>m populá</w:t>
      </w:r>
      <w:r w:rsidRPr="00C33068" w:rsidR="00DB6BE4">
        <w:rPr>
          <w:rFonts w:ascii="Times New Roman" w:hAnsi="Times New Roman" w:hint="default"/>
          <w:sz w:val="18"/>
          <w:szCs w:val="18"/>
        </w:rPr>
        <w:t>cie od hodnô</w:t>
      </w:r>
      <w:r w:rsidRPr="00C33068" w:rsidR="00DB6BE4">
        <w:rPr>
          <w:rFonts w:ascii="Times New Roman" w:hAnsi="Times New Roman" w:hint="default"/>
          <w:sz w:val="18"/>
          <w:szCs w:val="18"/>
        </w:rPr>
        <w:t>t vo vý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chodiskovom roku. </w:t>
      </w:r>
    </w:p>
  </w:footnote>
  <w:footnote w:id="8">
    <w:p w:rsidP="00431A4A">
      <w:pPr>
        <w:pStyle w:val="FootnoteText"/>
        <w:bidi w:val="0"/>
        <w:ind w:left="142" w:hanging="142"/>
        <w:jc w:val="both"/>
      </w:pPr>
      <w:r w:rsidRPr="00C33068" w:rsidR="00DB6BE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 Taký</w:t>
      </w:r>
      <w:r w:rsidRPr="00C33068" w:rsidR="00DB6BE4">
        <w:rPr>
          <w:rFonts w:ascii="Times New Roman" w:hAnsi="Times New Roman" w:hint="default"/>
          <w:sz w:val="18"/>
          <w:szCs w:val="18"/>
        </w:rPr>
        <w:t>to prí</w:t>
      </w:r>
      <w:r w:rsidRPr="00C33068" w:rsidR="00DB6BE4">
        <w:rPr>
          <w:rFonts w:ascii="Times New Roman" w:hAnsi="Times New Roman" w:hint="default"/>
          <w:sz w:val="18"/>
          <w:szCs w:val="18"/>
        </w:rPr>
        <w:t>stup k </w:t>
      </w:r>
      <w:r w:rsidRPr="00C33068" w:rsidR="00DB6BE4">
        <w:rPr>
          <w:rFonts w:ascii="Times New Roman" w:hAnsi="Times New Roman" w:hint="default"/>
          <w:sz w:val="18"/>
          <w:szCs w:val="18"/>
        </w:rPr>
        <w:t>projekcii prí</w:t>
      </w:r>
      <w:r w:rsidRPr="00C33068" w:rsidR="00DB6BE4">
        <w:rPr>
          <w:rFonts w:ascii="Times New Roman" w:hAnsi="Times New Roman" w:hint="default"/>
          <w:sz w:val="18"/>
          <w:szCs w:val="18"/>
        </w:rPr>
        <w:t>jmov sa použí</w:t>
      </w:r>
      <w:r w:rsidRPr="00C33068" w:rsidR="00DB6BE4">
        <w:rPr>
          <w:rFonts w:ascii="Times New Roman" w:hAnsi="Times New Roman" w:hint="default"/>
          <w:sz w:val="18"/>
          <w:szCs w:val="18"/>
        </w:rPr>
        <w:t>va aj v </w:t>
      </w:r>
      <w:r w:rsidRPr="00C33068" w:rsidR="00DB6BE4">
        <w:rPr>
          <w:rFonts w:ascii="Times New Roman" w:hAnsi="Times New Roman" w:hint="default"/>
          <w:sz w:val="18"/>
          <w:szCs w:val="18"/>
        </w:rPr>
        <w:t>rá</w:t>
      </w:r>
      <w:r w:rsidRPr="00C33068" w:rsidR="00DB6BE4">
        <w:rPr>
          <w:rFonts w:ascii="Times New Roman" w:hAnsi="Times New Roman" w:hint="default"/>
          <w:sz w:val="18"/>
          <w:szCs w:val="18"/>
        </w:rPr>
        <w:t>mci pracovnej skupiny AWG.</w:t>
      </w:r>
    </w:p>
  </w:footnote>
  <w:footnote w:id="9">
    <w:p w:rsidP="001C40A3">
      <w:pPr>
        <w:pStyle w:val="FootnoteText"/>
        <w:bidi w:val="0"/>
        <w:ind w:left="142" w:hanging="142"/>
        <w:jc w:val="both"/>
      </w:pPr>
      <w:r w:rsidRPr="00C33068" w:rsidR="00DB6BE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Pri zmená</w:t>
      </w:r>
      <w:r w:rsidRPr="00C33068" w:rsidR="00DB6BE4">
        <w:rPr>
          <w:rFonts w:ascii="Times New Roman" w:hAnsi="Times New Roman" w:hint="default"/>
          <w:sz w:val="18"/>
          <w:szCs w:val="18"/>
        </w:rPr>
        <w:t>ch primá</w:t>
      </w:r>
      <w:r w:rsidRPr="00C33068" w:rsidR="00DB6BE4">
        <w:rPr>
          <w:rFonts w:ascii="Times New Roman" w:hAnsi="Times New Roman" w:hint="default"/>
          <w:sz w:val="18"/>
          <w:szCs w:val="18"/>
        </w:rPr>
        <w:t>rneho salda dochá</w:t>
      </w:r>
      <w:r w:rsidRPr="00C33068" w:rsidR="00DB6BE4">
        <w:rPr>
          <w:rFonts w:ascii="Times New Roman" w:hAnsi="Times New Roman" w:hint="default"/>
          <w:sz w:val="18"/>
          <w:szCs w:val="18"/>
        </w:rPr>
        <w:t>dza aj k </w:t>
      </w:r>
      <w:r w:rsidRPr="00C33068" w:rsidR="00DB6BE4">
        <w:rPr>
          <w:rFonts w:ascii="Times New Roman" w:hAnsi="Times New Roman" w:hint="default"/>
          <w:sz w:val="18"/>
          <w:szCs w:val="18"/>
        </w:rPr>
        <w:t>zmená</w:t>
      </w:r>
      <w:r w:rsidRPr="00C33068" w:rsidR="00DB6BE4">
        <w:rPr>
          <w:rFonts w:ascii="Times New Roman" w:hAnsi="Times New Roman" w:hint="default"/>
          <w:sz w:val="18"/>
          <w:szCs w:val="18"/>
        </w:rPr>
        <w:t>m v </w:t>
      </w:r>
      <w:r w:rsidRPr="00C33068" w:rsidR="00DB6BE4">
        <w:rPr>
          <w:rFonts w:ascii="Times New Roman" w:hAnsi="Times New Roman" w:hint="default"/>
          <w:sz w:val="18"/>
          <w:szCs w:val="18"/>
        </w:rPr>
        <w:t>ú</w:t>
      </w:r>
      <w:r w:rsidRPr="00C33068" w:rsidR="00DB6BE4">
        <w:rPr>
          <w:rFonts w:ascii="Times New Roman" w:hAnsi="Times New Roman" w:hint="default"/>
          <w:sz w:val="18"/>
          <w:szCs w:val="18"/>
        </w:rPr>
        <w:t>rokový</w:t>
      </w:r>
      <w:r w:rsidRPr="00C33068" w:rsidR="00DB6BE4">
        <w:rPr>
          <w:rFonts w:ascii="Times New Roman" w:hAnsi="Times New Roman" w:hint="default"/>
          <w:sz w:val="18"/>
          <w:szCs w:val="18"/>
        </w:rPr>
        <w:t>ch ná</w:t>
      </w:r>
      <w:r w:rsidRPr="00C33068" w:rsidR="00DB6BE4">
        <w:rPr>
          <w:rFonts w:ascii="Times New Roman" w:hAnsi="Times New Roman" w:hint="default"/>
          <w:sz w:val="18"/>
          <w:szCs w:val="18"/>
        </w:rPr>
        <w:t>klad</w:t>
      </w:r>
      <w:r w:rsidRPr="00C33068" w:rsidR="00DB6BE4">
        <w:rPr>
          <w:rFonts w:ascii="Times New Roman" w:hAnsi="Times New Roman" w:hint="default"/>
          <w:sz w:val="18"/>
          <w:szCs w:val="18"/>
        </w:rPr>
        <w:t>och resp. ú</w:t>
      </w:r>
      <w:r w:rsidRPr="00C33068" w:rsidR="00DB6BE4">
        <w:rPr>
          <w:rFonts w:ascii="Times New Roman" w:hAnsi="Times New Roman" w:hint="default"/>
          <w:sz w:val="18"/>
          <w:szCs w:val="18"/>
        </w:rPr>
        <w:t>rokový</w:t>
      </w:r>
      <w:r w:rsidRPr="00C33068" w:rsidR="00DB6BE4">
        <w:rPr>
          <w:rFonts w:ascii="Times New Roman" w:hAnsi="Times New Roman" w:hint="default"/>
          <w:sz w:val="18"/>
          <w:szCs w:val="18"/>
        </w:rPr>
        <w:t>ch prí</w:t>
      </w:r>
      <w:r w:rsidRPr="00C33068" w:rsidR="00DB6BE4">
        <w:rPr>
          <w:rFonts w:ascii="Times New Roman" w:hAnsi="Times New Roman" w:hint="default"/>
          <w:sz w:val="18"/>
          <w:szCs w:val="18"/>
        </w:rPr>
        <w:t>jmoch verejnej sprá</w:t>
      </w:r>
      <w:r w:rsidRPr="00C33068" w:rsidR="00DB6BE4">
        <w:rPr>
          <w:rFonts w:ascii="Times New Roman" w:hAnsi="Times New Roman" w:hint="default"/>
          <w:sz w:val="18"/>
          <w:szCs w:val="18"/>
        </w:rPr>
        <w:t>vy. Ak vlá</w:t>
      </w:r>
      <w:r w:rsidRPr="00C33068" w:rsidR="00DB6BE4">
        <w:rPr>
          <w:rFonts w:ascii="Times New Roman" w:hAnsi="Times New Roman" w:hint="default"/>
          <w:sz w:val="18"/>
          <w:szCs w:val="18"/>
        </w:rPr>
        <w:t>da uskutoč</w:t>
      </w:r>
      <w:r w:rsidRPr="00C33068" w:rsidR="00DB6BE4">
        <w:rPr>
          <w:rFonts w:ascii="Times New Roman" w:hAnsi="Times New Roman" w:hint="default"/>
          <w:sz w:val="18"/>
          <w:szCs w:val="18"/>
        </w:rPr>
        <w:t>ní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opatrenia zlepš</w:t>
      </w:r>
      <w:r w:rsidRPr="00C33068" w:rsidR="00DB6BE4">
        <w:rPr>
          <w:rFonts w:ascii="Times New Roman" w:hAnsi="Times New Roman" w:hint="default"/>
          <w:sz w:val="18"/>
          <w:szCs w:val="18"/>
        </w:rPr>
        <w:t>ujú</w:t>
      </w:r>
      <w:r w:rsidRPr="00C33068" w:rsidR="00DB6BE4">
        <w:rPr>
          <w:rFonts w:ascii="Times New Roman" w:hAnsi="Times New Roman" w:hint="default"/>
          <w:sz w:val="18"/>
          <w:szCs w:val="18"/>
        </w:rPr>
        <w:t>ce primá</w:t>
      </w:r>
      <w:r w:rsidRPr="00C33068" w:rsidR="00DB6BE4">
        <w:rPr>
          <w:rFonts w:ascii="Times New Roman" w:hAnsi="Times New Roman" w:hint="default"/>
          <w:sz w:val="18"/>
          <w:szCs w:val="18"/>
        </w:rPr>
        <w:t>rne saldo, automaticky to povedie aj k </w:t>
      </w:r>
      <w:r w:rsidRPr="00C33068" w:rsidR="00DB6BE4">
        <w:rPr>
          <w:rFonts w:ascii="Times New Roman" w:hAnsi="Times New Roman" w:hint="default"/>
          <w:sz w:val="18"/>
          <w:szCs w:val="18"/>
        </w:rPr>
        <w:t>poklesu ú</w:t>
      </w:r>
      <w:r w:rsidRPr="00C33068" w:rsidR="00DB6BE4">
        <w:rPr>
          <w:rFonts w:ascii="Times New Roman" w:hAnsi="Times New Roman" w:hint="default"/>
          <w:sz w:val="18"/>
          <w:szCs w:val="18"/>
        </w:rPr>
        <w:t>rokový</w:t>
      </w:r>
      <w:r w:rsidRPr="00C33068" w:rsidR="00DB6BE4">
        <w:rPr>
          <w:rFonts w:ascii="Times New Roman" w:hAnsi="Times New Roman" w:hint="default"/>
          <w:sz w:val="18"/>
          <w:szCs w:val="18"/>
        </w:rPr>
        <w:t>ch ná</w:t>
      </w:r>
      <w:r w:rsidRPr="00C33068" w:rsidR="00DB6BE4">
        <w:rPr>
          <w:rFonts w:ascii="Times New Roman" w:hAnsi="Times New Roman" w:hint="default"/>
          <w:sz w:val="18"/>
          <w:szCs w:val="18"/>
        </w:rPr>
        <w:t>kladov resp. ná</w:t>
      </w:r>
      <w:r w:rsidRPr="00C33068" w:rsidR="00DB6BE4">
        <w:rPr>
          <w:rFonts w:ascii="Times New Roman" w:hAnsi="Times New Roman" w:hint="default"/>
          <w:sz w:val="18"/>
          <w:szCs w:val="18"/>
        </w:rPr>
        <w:t>rastu ú</w:t>
      </w:r>
      <w:r w:rsidRPr="00C33068" w:rsidR="00DB6BE4">
        <w:rPr>
          <w:rFonts w:ascii="Times New Roman" w:hAnsi="Times New Roman" w:hint="default"/>
          <w:sz w:val="18"/>
          <w:szCs w:val="18"/>
        </w:rPr>
        <w:t>rokový</w:t>
      </w:r>
      <w:r w:rsidRPr="00C33068" w:rsidR="00DB6BE4">
        <w:rPr>
          <w:rFonts w:ascii="Times New Roman" w:hAnsi="Times New Roman" w:hint="default"/>
          <w:sz w:val="18"/>
          <w:szCs w:val="18"/>
        </w:rPr>
        <w:t>ch prí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jmov. </w:t>
      </w:r>
    </w:p>
  </w:footnote>
  <w:footnote w:id="10">
    <w:p w:rsidP="0083649B">
      <w:pPr>
        <w:pStyle w:val="FootnoteText"/>
        <w:bidi w:val="0"/>
        <w:jc w:val="both"/>
      </w:pPr>
      <w:r w:rsidRPr="00C33068" w:rsidR="00DB6BE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Vý</w:t>
      </w:r>
      <w:r w:rsidRPr="00C33068" w:rsidR="00DB6BE4">
        <w:rPr>
          <w:rFonts w:ascii="Times New Roman" w:hAnsi="Times New Roman" w:hint="default"/>
          <w:sz w:val="18"/>
          <w:szCs w:val="18"/>
        </w:rPr>
        <w:t>poč</w:t>
      </w:r>
      <w:r w:rsidRPr="00C33068" w:rsidR="00DB6BE4">
        <w:rPr>
          <w:rFonts w:ascii="Times New Roman" w:hAnsi="Times New Roman" w:hint="default"/>
          <w:sz w:val="18"/>
          <w:szCs w:val="18"/>
        </w:rPr>
        <w:t>et zahŕň</w:t>
      </w:r>
      <w:r w:rsidRPr="00C33068" w:rsidR="00DB6BE4">
        <w:rPr>
          <w:rFonts w:ascii="Times New Roman" w:hAnsi="Times New Roman" w:hint="default"/>
          <w:sz w:val="18"/>
          <w:szCs w:val="18"/>
        </w:rPr>
        <w:t>a odhad celkovej výš</w:t>
      </w:r>
      <w:r w:rsidRPr="00C33068" w:rsidR="00DB6BE4">
        <w:rPr>
          <w:rFonts w:ascii="Times New Roman" w:hAnsi="Times New Roman" w:hint="default"/>
          <w:sz w:val="18"/>
          <w:szCs w:val="18"/>
        </w:rPr>
        <w:t>ky zá</w:t>
      </w:r>
      <w:r w:rsidRPr="00C33068" w:rsidR="00DB6BE4">
        <w:rPr>
          <w:rFonts w:ascii="Times New Roman" w:hAnsi="Times New Roman" w:hint="default"/>
          <w:sz w:val="18"/>
          <w:szCs w:val="18"/>
        </w:rPr>
        <w:t>vä</w:t>
      </w:r>
      <w:r w:rsidRPr="00C33068" w:rsidR="00DB6BE4">
        <w:rPr>
          <w:rFonts w:ascii="Times New Roman" w:hAnsi="Times New Roman" w:hint="default"/>
          <w:sz w:val="18"/>
          <w:szCs w:val="18"/>
        </w:rPr>
        <w:t>zkov z </w:t>
      </w:r>
      <w:r w:rsidRPr="00C33068" w:rsidR="00DB6BE4">
        <w:rPr>
          <w:rFonts w:ascii="Times New Roman" w:hAnsi="Times New Roman" w:hint="default"/>
          <w:sz w:val="18"/>
          <w:szCs w:val="18"/>
        </w:rPr>
        <w:t>dané</w:t>
      </w:r>
      <w:r w:rsidRPr="00C33068" w:rsidR="00DB6BE4">
        <w:rPr>
          <w:rFonts w:ascii="Times New Roman" w:hAnsi="Times New Roman" w:hint="default"/>
          <w:sz w:val="18"/>
          <w:szCs w:val="18"/>
        </w:rPr>
        <w:t>ho projektu.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Nezohľ</w:t>
      </w:r>
      <w:r w:rsidRPr="00C33068" w:rsidR="00DB6BE4">
        <w:rPr>
          <w:rFonts w:ascii="Times New Roman" w:hAnsi="Times New Roman" w:hint="default"/>
          <w:sz w:val="18"/>
          <w:szCs w:val="18"/>
        </w:rPr>
        <w:t>adň</w:t>
      </w:r>
      <w:r w:rsidRPr="00C33068" w:rsidR="00DB6BE4">
        <w:rPr>
          <w:rFonts w:ascii="Times New Roman" w:hAnsi="Times New Roman" w:hint="default"/>
          <w:sz w:val="18"/>
          <w:szCs w:val="18"/>
        </w:rPr>
        <w:t>uje sa v </w:t>
      </w:r>
      <w:r w:rsidRPr="00C33068" w:rsidR="00DB6BE4">
        <w:rPr>
          <w:rFonts w:ascii="Times New Roman" w:hAnsi="Times New Roman" w:hint="default"/>
          <w:sz w:val="18"/>
          <w:szCs w:val="18"/>
        </w:rPr>
        <w:t>ň</w:t>
      </w:r>
      <w:r w:rsidRPr="00C33068" w:rsidR="00DB6BE4">
        <w:rPr>
          <w:rFonts w:ascii="Times New Roman" w:hAnsi="Times New Roman" w:hint="default"/>
          <w:sz w:val="18"/>
          <w:szCs w:val="18"/>
        </w:rPr>
        <w:t>om skutoč</w:t>
      </w:r>
      <w:r w:rsidRPr="00C33068" w:rsidR="00DB6BE4">
        <w:rPr>
          <w:rFonts w:ascii="Times New Roman" w:hAnsi="Times New Roman" w:hint="default"/>
          <w:sz w:val="18"/>
          <w:szCs w:val="18"/>
        </w:rPr>
        <w:t>nosť</w:t>
      </w:r>
      <w:r w:rsidRPr="00C33068" w:rsidR="00DB6BE4">
        <w:rPr>
          <w:rFonts w:ascii="Times New Roman" w:hAnsi="Times New Roman" w:hint="default"/>
          <w:sz w:val="18"/>
          <w:szCs w:val="18"/>
        </w:rPr>
        <w:t>, ž</w:t>
      </w:r>
      <w:r w:rsidRPr="00C33068" w:rsidR="00DB6BE4">
        <w:rPr>
          <w:rFonts w:ascii="Times New Roman" w:hAnsi="Times New Roman" w:hint="default"/>
          <w:sz w:val="18"/>
          <w:szCs w:val="18"/>
        </w:rPr>
        <w:t>e tý</w:t>
      </w:r>
      <w:r w:rsidRPr="00C33068" w:rsidR="00DB6BE4">
        <w:rPr>
          <w:rFonts w:ascii="Times New Roman" w:hAnsi="Times New Roman" w:hint="default"/>
          <w:sz w:val="18"/>
          <w:szCs w:val="18"/>
        </w:rPr>
        <w:t>mto projektom sa zá</w:t>
      </w:r>
      <w:r w:rsidRPr="00C33068" w:rsidR="00DB6BE4">
        <w:rPr>
          <w:rFonts w:ascii="Times New Roman" w:hAnsi="Times New Roman" w:hint="default"/>
          <w:sz w:val="18"/>
          <w:szCs w:val="18"/>
        </w:rPr>
        <w:t>roveň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zvýš</w:t>
      </w:r>
      <w:r w:rsidRPr="00C33068" w:rsidR="00DB6BE4">
        <w:rPr>
          <w:rFonts w:ascii="Times New Roman" w:hAnsi="Times New Roman" w:hint="default"/>
          <w:sz w:val="18"/>
          <w:szCs w:val="18"/>
        </w:rPr>
        <w:t>ili aktí</w:t>
      </w:r>
      <w:r w:rsidRPr="00C33068" w:rsidR="00DB6BE4">
        <w:rPr>
          <w:rFonts w:ascii="Times New Roman" w:hAnsi="Times New Roman" w:hint="default"/>
          <w:sz w:val="18"/>
          <w:szCs w:val="18"/>
        </w:rPr>
        <w:t>va š</w:t>
      </w:r>
      <w:r w:rsidRPr="00C33068" w:rsidR="00DB6BE4">
        <w:rPr>
          <w:rFonts w:ascii="Times New Roman" w:hAnsi="Times New Roman" w:hint="default"/>
          <w:sz w:val="18"/>
          <w:szCs w:val="18"/>
        </w:rPr>
        <w:t>tá</w:t>
      </w:r>
      <w:r w:rsidRPr="00C33068" w:rsidR="00DB6BE4">
        <w:rPr>
          <w:rFonts w:ascii="Times New Roman" w:hAnsi="Times New Roman" w:hint="default"/>
          <w:sz w:val="18"/>
          <w:szCs w:val="18"/>
        </w:rPr>
        <w:t>tu (rý</w:t>
      </w:r>
      <w:r w:rsidRPr="00C33068" w:rsidR="00DB6BE4">
        <w:rPr>
          <w:rFonts w:ascii="Times New Roman" w:hAnsi="Times New Roman" w:hint="default"/>
          <w:sz w:val="18"/>
          <w:szCs w:val="18"/>
        </w:rPr>
        <w:t>chlostná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cesta), t.j. vplyv na č</w:t>
      </w:r>
      <w:r w:rsidRPr="00C33068" w:rsidR="00DB6BE4">
        <w:rPr>
          <w:rFonts w:ascii="Times New Roman" w:hAnsi="Times New Roman" w:hint="default"/>
          <w:sz w:val="18"/>
          <w:szCs w:val="18"/>
        </w:rPr>
        <w:t>isté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bohatstvo š</w:t>
      </w:r>
      <w:r w:rsidRPr="00C33068" w:rsidR="00DB6BE4">
        <w:rPr>
          <w:rFonts w:ascii="Times New Roman" w:hAnsi="Times New Roman" w:hint="default"/>
          <w:sz w:val="18"/>
          <w:szCs w:val="18"/>
        </w:rPr>
        <w:t>tá</w:t>
      </w:r>
      <w:r w:rsidRPr="00C33068" w:rsidR="00DB6BE4">
        <w:rPr>
          <w:rFonts w:ascii="Times New Roman" w:hAnsi="Times New Roman" w:hint="default"/>
          <w:sz w:val="18"/>
          <w:szCs w:val="18"/>
        </w:rPr>
        <w:t>tu by bol v </w:t>
      </w:r>
      <w:r w:rsidRPr="00C33068" w:rsidR="00DB6BE4">
        <w:rPr>
          <w:rFonts w:ascii="Times New Roman" w:hAnsi="Times New Roman" w:hint="default"/>
          <w:sz w:val="18"/>
          <w:szCs w:val="18"/>
        </w:rPr>
        <w:t>porovnaní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so samotný</w:t>
      </w:r>
      <w:r w:rsidRPr="00C33068" w:rsidR="00DB6BE4">
        <w:rPr>
          <w:rFonts w:ascii="Times New Roman" w:hAnsi="Times New Roman" w:hint="default"/>
          <w:sz w:val="18"/>
          <w:szCs w:val="18"/>
        </w:rPr>
        <w:t>m ná</w:t>
      </w:r>
      <w:r w:rsidRPr="00C33068" w:rsidR="00DB6BE4">
        <w:rPr>
          <w:rFonts w:ascii="Times New Roman" w:hAnsi="Times New Roman" w:hint="default"/>
          <w:sz w:val="18"/>
          <w:szCs w:val="18"/>
        </w:rPr>
        <w:t>rastom zá</w:t>
      </w:r>
      <w:r w:rsidRPr="00C33068" w:rsidR="00DB6BE4">
        <w:rPr>
          <w:rFonts w:ascii="Times New Roman" w:hAnsi="Times New Roman" w:hint="default"/>
          <w:sz w:val="18"/>
          <w:szCs w:val="18"/>
        </w:rPr>
        <w:t>vä</w:t>
      </w:r>
      <w:r w:rsidRPr="00C33068" w:rsidR="00DB6BE4">
        <w:rPr>
          <w:rFonts w:ascii="Times New Roman" w:hAnsi="Times New Roman" w:hint="default"/>
          <w:sz w:val="18"/>
          <w:szCs w:val="18"/>
        </w:rPr>
        <w:t>zkov miernejší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. </w:t>
      </w:r>
    </w:p>
  </w:footnote>
  <w:footnote w:id="11">
    <w:p w:rsidP="00E92121">
      <w:pPr>
        <w:pStyle w:val="FootnoteText"/>
        <w:bidi w:val="0"/>
        <w:jc w:val="both"/>
      </w:pPr>
      <w:r w:rsidRPr="00C33068" w:rsidR="00DB6BE4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DB6BE4">
        <w:rPr>
          <w:rFonts w:ascii="Times New Roman" w:hAnsi="Times New Roman"/>
          <w:sz w:val="18"/>
          <w:szCs w:val="18"/>
        </w:rPr>
        <w:t xml:space="preserve"> V </w:t>
      </w:r>
      <w:r w:rsidRPr="00C33068" w:rsidR="00DB6BE4">
        <w:rPr>
          <w:rFonts w:ascii="Times New Roman" w:hAnsi="Times New Roman" w:hint="default"/>
          <w:sz w:val="18"/>
          <w:szCs w:val="18"/>
        </w:rPr>
        <w:t>č</w:t>
      </w:r>
      <w:r w:rsidRPr="00C33068" w:rsidR="00DB6BE4">
        <w:rPr>
          <w:rFonts w:ascii="Times New Roman" w:hAnsi="Times New Roman" w:hint="default"/>
          <w:sz w:val="18"/>
          <w:szCs w:val="18"/>
        </w:rPr>
        <w:t>ase odovzdania jednotlivý</w:t>
      </w:r>
      <w:r w:rsidRPr="00C33068" w:rsidR="00DB6BE4">
        <w:rPr>
          <w:rFonts w:ascii="Times New Roman" w:hAnsi="Times New Roman" w:hint="default"/>
          <w:sz w:val="18"/>
          <w:szCs w:val="18"/>
        </w:rPr>
        <w:t>ch ú</w:t>
      </w:r>
      <w:r w:rsidRPr="00C33068" w:rsidR="00DB6BE4">
        <w:rPr>
          <w:rFonts w:ascii="Times New Roman" w:hAnsi="Times New Roman" w:hint="default"/>
          <w:sz w:val="18"/>
          <w:szCs w:val="18"/>
        </w:rPr>
        <w:t>sekov rý</w:t>
      </w:r>
      <w:r w:rsidRPr="00C33068" w:rsidR="00DB6BE4">
        <w:rPr>
          <w:rFonts w:ascii="Times New Roman" w:hAnsi="Times New Roman" w:hint="default"/>
          <w:sz w:val="18"/>
          <w:szCs w:val="18"/>
        </w:rPr>
        <w:t>chlostnej c</w:t>
      </w:r>
      <w:r w:rsidRPr="00C33068" w:rsidR="00DB6BE4">
        <w:rPr>
          <w:rFonts w:ascii="Times New Roman" w:hAnsi="Times New Roman" w:hint="default"/>
          <w:sz w:val="18"/>
          <w:szCs w:val="18"/>
        </w:rPr>
        <w:t>esty v </w:t>
      </w:r>
      <w:r w:rsidRPr="00C33068" w:rsidR="00DB6BE4">
        <w:rPr>
          <w:rFonts w:ascii="Times New Roman" w:hAnsi="Times New Roman" w:hint="default"/>
          <w:sz w:val="18"/>
          <w:szCs w:val="18"/>
        </w:rPr>
        <w:t>roku 2011 doš</w:t>
      </w:r>
      <w:r w:rsidRPr="00C33068" w:rsidR="00DB6BE4">
        <w:rPr>
          <w:rFonts w:ascii="Times New Roman" w:hAnsi="Times New Roman" w:hint="default"/>
          <w:sz w:val="18"/>
          <w:szCs w:val="18"/>
        </w:rPr>
        <w:t>lo k odvedeniu DPH zo strany investora v </w:t>
      </w:r>
      <w:r w:rsidRPr="00C33068" w:rsidR="00DB6BE4">
        <w:rPr>
          <w:rFonts w:ascii="Times New Roman" w:hAnsi="Times New Roman" w:hint="default"/>
          <w:sz w:val="18"/>
          <w:szCs w:val="18"/>
        </w:rPr>
        <w:t>sume 174 mil. eur (po zaplatení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zo strany š</w:t>
      </w:r>
      <w:r w:rsidRPr="00C33068" w:rsidR="00DB6BE4">
        <w:rPr>
          <w:rFonts w:ascii="Times New Roman" w:hAnsi="Times New Roman" w:hint="default"/>
          <w:sz w:val="18"/>
          <w:szCs w:val="18"/>
        </w:rPr>
        <w:t>tá</w:t>
      </w:r>
      <w:r w:rsidRPr="00C33068" w:rsidR="00DB6BE4">
        <w:rPr>
          <w:rFonts w:ascii="Times New Roman" w:hAnsi="Times New Roman" w:hint="default"/>
          <w:sz w:val="18"/>
          <w:szCs w:val="18"/>
        </w:rPr>
        <w:t>tu), č</w:t>
      </w:r>
      <w:r w:rsidRPr="00C33068" w:rsidR="00DB6BE4">
        <w:rPr>
          <w:rFonts w:ascii="Times New Roman" w:hAnsi="Times New Roman" w:hint="default"/>
          <w:sz w:val="18"/>
          <w:szCs w:val="18"/>
        </w:rPr>
        <w:t>o sa prejavilo v </w:t>
      </w:r>
      <w:r w:rsidRPr="00C33068" w:rsidR="00DB6BE4">
        <w:rPr>
          <w:rFonts w:ascii="Times New Roman" w:hAnsi="Times New Roman" w:hint="default"/>
          <w:sz w:val="18"/>
          <w:szCs w:val="18"/>
        </w:rPr>
        <w:t>daň</w:t>
      </w:r>
      <w:r w:rsidRPr="00C33068" w:rsidR="00DB6BE4">
        <w:rPr>
          <w:rFonts w:ascii="Times New Roman" w:hAnsi="Times New Roman" w:hint="default"/>
          <w:sz w:val="18"/>
          <w:szCs w:val="18"/>
        </w:rPr>
        <w:t>ový</w:t>
      </w:r>
      <w:r w:rsidRPr="00C33068" w:rsidR="00DB6BE4">
        <w:rPr>
          <w:rFonts w:ascii="Times New Roman" w:hAnsi="Times New Roman" w:hint="default"/>
          <w:sz w:val="18"/>
          <w:szCs w:val="18"/>
        </w:rPr>
        <w:t>ch prí</w:t>
      </w:r>
      <w:r w:rsidRPr="00C33068" w:rsidR="00DB6BE4">
        <w:rPr>
          <w:rFonts w:ascii="Times New Roman" w:hAnsi="Times New Roman" w:hint="default"/>
          <w:sz w:val="18"/>
          <w:szCs w:val="18"/>
        </w:rPr>
        <w:t>jmoch a </w:t>
      </w:r>
      <w:r w:rsidRPr="00C33068" w:rsidR="00DB6BE4">
        <w:rPr>
          <w:rFonts w:ascii="Times New Roman" w:hAnsi="Times New Roman" w:hint="default"/>
          <w:sz w:val="18"/>
          <w:szCs w:val="18"/>
        </w:rPr>
        <w:t>pozití</w:t>
      </w:r>
      <w:r w:rsidRPr="00C33068" w:rsidR="00DB6BE4">
        <w:rPr>
          <w:rFonts w:ascii="Times New Roman" w:hAnsi="Times New Roman" w:hint="default"/>
          <w:sz w:val="18"/>
          <w:szCs w:val="18"/>
        </w:rPr>
        <w:t>vne ovplyvnilo saldo verejnej sprá</w:t>
      </w:r>
      <w:r w:rsidRPr="00C33068" w:rsidR="00DB6BE4">
        <w:rPr>
          <w:rFonts w:ascii="Times New Roman" w:hAnsi="Times New Roman" w:hint="default"/>
          <w:sz w:val="18"/>
          <w:szCs w:val="18"/>
        </w:rPr>
        <w:t>vy v </w:t>
      </w:r>
      <w:r w:rsidRPr="00C33068" w:rsidR="00DB6BE4">
        <w:rPr>
          <w:rFonts w:ascii="Times New Roman" w:hAnsi="Times New Roman" w:hint="default"/>
          <w:sz w:val="18"/>
          <w:szCs w:val="18"/>
        </w:rPr>
        <w:t>uvedenej sume. Vzhľ</w:t>
      </w:r>
      <w:r w:rsidRPr="00C33068" w:rsidR="00DB6BE4">
        <w:rPr>
          <w:rFonts w:ascii="Times New Roman" w:hAnsi="Times New Roman" w:hint="default"/>
          <w:sz w:val="18"/>
          <w:szCs w:val="18"/>
        </w:rPr>
        <w:t>adom na to, ž</w:t>
      </w:r>
      <w:r w:rsidRPr="00C33068" w:rsidR="00DB6BE4">
        <w:rPr>
          <w:rFonts w:ascii="Times New Roman" w:hAnsi="Times New Roman" w:hint="default"/>
          <w:sz w:val="18"/>
          <w:szCs w:val="18"/>
        </w:rPr>
        <w:t>e uvedený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projekt je zaznamen</w:t>
      </w:r>
      <w:r w:rsidRPr="00C33068" w:rsidR="00DB6BE4">
        <w:rPr>
          <w:rFonts w:ascii="Times New Roman" w:hAnsi="Times New Roman" w:hint="default"/>
          <w:sz w:val="18"/>
          <w:szCs w:val="18"/>
        </w:rPr>
        <w:t>a</w:t>
      </w:r>
      <w:r w:rsidRPr="00C33068" w:rsidR="00DB6BE4">
        <w:rPr>
          <w:rFonts w:ascii="Times New Roman" w:hAnsi="Times New Roman" w:hint="default"/>
          <w:sz w:val="18"/>
          <w:szCs w:val="18"/>
        </w:rPr>
        <w:t>ný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mimo bilancie verejnej sprá</w:t>
      </w:r>
      <w:r w:rsidRPr="00C33068" w:rsidR="00DB6BE4">
        <w:rPr>
          <w:rFonts w:ascii="Times New Roman" w:hAnsi="Times New Roman" w:hint="default"/>
          <w:sz w:val="18"/>
          <w:szCs w:val="18"/>
        </w:rPr>
        <w:t>vy, zaplatená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DPH zo strany š</w:t>
      </w:r>
      <w:r w:rsidRPr="00C33068" w:rsidR="00DB6BE4">
        <w:rPr>
          <w:rFonts w:ascii="Times New Roman" w:hAnsi="Times New Roman" w:hint="default"/>
          <w:sz w:val="18"/>
          <w:szCs w:val="18"/>
        </w:rPr>
        <w:t>tá</w:t>
      </w:r>
      <w:r w:rsidRPr="00C33068" w:rsidR="00DB6BE4">
        <w:rPr>
          <w:rFonts w:ascii="Times New Roman" w:hAnsi="Times New Roman" w:hint="default"/>
          <w:sz w:val="18"/>
          <w:szCs w:val="18"/>
        </w:rPr>
        <w:t>tu sa rovnomerne zaznamená</w:t>
      </w:r>
      <w:r w:rsidRPr="00C33068" w:rsidR="00DB6BE4">
        <w:rPr>
          <w:rFonts w:ascii="Times New Roman" w:hAnsi="Times New Roman" w:hint="default"/>
          <w:sz w:val="18"/>
          <w:szCs w:val="18"/>
        </w:rPr>
        <w:t>va poč</w:t>
      </w:r>
      <w:r w:rsidRPr="00C33068" w:rsidR="00DB6BE4">
        <w:rPr>
          <w:rFonts w:ascii="Times New Roman" w:hAnsi="Times New Roman" w:hint="default"/>
          <w:sz w:val="18"/>
          <w:szCs w:val="18"/>
        </w:rPr>
        <w:t>as celé</w:t>
      </w:r>
      <w:r w:rsidRPr="00C33068" w:rsidR="00DB6BE4">
        <w:rPr>
          <w:rFonts w:ascii="Times New Roman" w:hAnsi="Times New Roman" w:hint="default"/>
          <w:sz w:val="18"/>
          <w:szCs w:val="18"/>
        </w:rPr>
        <w:t>ho obdobia trvania koncesie spolu s </w:t>
      </w:r>
      <w:r w:rsidRPr="00C33068" w:rsidR="00DB6BE4">
        <w:rPr>
          <w:rFonts w:ascii="Times New Roman" w:hAnsi="Times New Roman" w:hint="default"/>
          <w:sz w:val="18"/>
          <w:szCs w:val="18"/>
        </w:rPr>
        <w:t>platbami š</w:t>
      </w:r>
      <w:r w:rsidRPr="00C33068" w:rsidR="00DB6BE4">
        <w:rPr>
          <w:rFonts w:ascii="Times New Roman" w:hAnsi="Times New Roman" w:hint="default"/>
          <w:sz w:val="18"/>
          <w:szCs w:val="18"/>
        </w:rPr>
        <w:t>tá</w:t>
      </w:r>
      <w:r w:rsidRPr="00C33068" w:rsidR="00DB6BE4">
        <w:rPr>
          <w:rFonts w:ascii="Times New Roman" w:hAnsi="Times New Roman" w:hint="default"/>
          <w:sz w:val="18"/>
          <w:szCs w:val="18"/>
        </w:rPr>
        <w:t>tu za dostupnosť</w:t>
      </w:r>
      <w:r w:rsidRPr="00C33068" w:rsidR="00DB6BE4">
        <w:rPr>
          <w:rFonts w:ascii="Times New Roman" w:hAnsi="Times New Roman" w:hint="default"/>
          <w:sz w:val="18"/>
          <w:szCs w:val="18"/>
        </w:rPr>
        <w:t>, č</w:t>
      </w:r>
      <w:r w:rsidRPr="00C33068" w:rsidR="00DB6BE4">
        <w:rPr>
          <w:rFonts w:ascii="Times New Roman" w:hAnsi="Times New Roman" w:hint="default"/>
          <w:sz w:val="18"/>
          <w:szCs w:val="18"/>
        </w:rPr>
        <w:t>o kaž</w:t>
      </w:r>
      <w:r w:rsidRPr="00C33068" w:rsidR="00DB6BE4">
        <w:rPr>
          <w:rFonts w:ascii="Times New Roman" w:hAnsi="Times New Roman" w:hint="default"/>
          <w:sz w:val="18"/>
          <w:szCs w:val="18"/>
        </w:rPr>
        <w:t>dý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rok zhorší</w:t>
      </w:r>
      <w:r w:rsidRPr="00C33068" w:rsidR="00DB6BE4">
        <w:rPr>
          <w:rFonts w:ascii="Times New Roman" w:hAnsi="Times New Roman" w:hint="default"/>
          <w:sz w:val="18"/>
          <w:szCs w:val="18"/>
        </w:rPr>
        <w:t xml:space="preserve"> saldo o takmer 6 mil. eur. Z </w:t>
      </w:r>
      <w:r w:rsidRPr="00C33068" w:rsidR="00DB6BE4">
        <w:rPr>
          <w:rFonts w:ascii="Times New Roman" w:hAnsi="Times New Roman" w:hint="default"/>
          <w:sz w:val="18"/>
          <w:szCs w:val="18"/>
        </w:rPr>
        <w:t>pohľ</w:t>
      </w:r>
      <w:r w:rsidRPr="00C33068" w:rsidR="00DB6BE4">
        <w:rPr>
          <w:rFonts w:ascii="Times New Roman" w:hAnsi="Times New Roman" w:hint="default"/>
          <w:sz w:val="18"/>
          <w:szCs w:val="18"/>
        </w:rPr>
        <w:t>adu vplyvu na dlh vš</w:t>
      </w:r>
      <w:r w:rsidRPr="00C33068" w:rsidR="00DB6BE4">
        <w:rPr>
          <w:rFonts w:ascii="Times New Roman" w:hAnsi="Times New Roman" w:hint="default"/>
          <w:sz w:val="18"/>
          <w:szCs w:val="18"/>
        </w:rPr>
        <w:t>ak ide o </w:t>
      </w:r>
      <w:r w:rsidRPr="00C33068" w:rsidR="00DB6BE4">
        <w:rPr>
          <w:rFonts w:ascii="Times New Roman" w:hAnsi="Times New Roman" w:hint="default"/>
          <w:sz w:val="18"/>
          <w:szCs w:val="18"/>
        </w:rPr>
        <w:t>neutrá</w:t>
      </w:r>
      <w:r w:rsidRPr="00C33068" w:rsidR="00DB6BE4">
        <w:rPr>
          <w:rFonts w:ascii="Times New Roman" w:hAnsi="Times New Roman" w:hint="default"/>
          <w:sz w:val="18"/>
          <w:szCs w:val="18"/>
        </w:rPr>
        <w:t>l</w:t>
      </w:r>
      <w:r w:rsidRPr="00C33068" w:rsidR="00DB6BE4">
        <w:rPr>
          <w:rFonts w:ascii="Times New Roman" w:hAnsi="Times New Roman" w:hint="default"/>
          <w:sz w:val="18"/>
          <w:szCs w:val="18"/>
        </w:rPr>
        <w:t>n</w:t>
      </w:r>
      <w:r w:rsidRPr="00C33068" w:rsidR="00DB6BE4">
        <w:rPr>
          <w:rFonts w:ascii="Times New Roman" w:hAnsi="Times New Roman" w:hint="default"/>
          <w:sz w:val="18"/>
          <w:szCs w:val="18"/>
        </w:rPr>
        <w:t>u operá</w:t>
      </w:r>
      <w:r w:rsidRPr="00C33068" w:rsidR="00DB6BE4">
        <w:rPr>
          <w:rFonts w:ascii="Times New Roman" w:hAnsi="Times New Roman" w:hint="default"/>
          <w:sz w:val="18"/>
          <w:szCs w:val="18"/>
        </w:rPr>
        <w:t>ciu.</w:t>
      </w:r>
    </w:p>
  </w:footnote>
  <w:footnote w:id="12">
    <w:p w:rsidP="00E156E0">
      <w:pPr>
        <w:pStyle w:val="FootnoteText"/>
        <w:bidi w:val="0"/>
      </w:pPr>
      <w:r w:rsidRPr="00C33068" w:rsidR="00E156E0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33068" w:rsidR="00E156E0">
        <w:rPr>
          <w:rFonts w:ascii="Times New Roman" w:hAnsi="Times New Roman" w:hint="default"/>
          <w:sz w:val="18"/>
          <w:szCs w:val="18"/>
        </w:rPr>
        <w:t xml:space="preserve"> Straté</w:t>
      </w:r>
      <w:r w:rsidRPr="00C33068" w:rsidR="00E156E0">
        <w:rPr>
          <w:rFonts w:ascii="Times New Roman" w:hAnsi="Times New Roman" w:hint="default"/>
          <w:sz w:val="18"/>
          <w:szCs w:val="18"/>
        </w:rPr>
        <w:t>gia zá</w:t>
      </w:r>
      <w:r w:rsidRPr="00C33068" w:rsidR="00E156E0">
        <w:rPr>
          <w:rFonts w:ascii="Times New Roman" w:hAnsi="Times New Roman" w:hint="default"/>
          <w:sz w:val="18"/>
          <w:szCs w:val="18"/>
        </w:rPr>
        <w:t>vereč</w:t>
      </w:r>
      <w:r w:rsidRPr="00C33068" w:rsidR="00E156E0">
        <w:rPr>
          <w:rFonts w:ascii="Times New Roman" w:hAnsi="Times New Roman" w:hint="default"/>
          <w:sz w:val="18"/>
          <w:szCs w:val="18"/>
        </w:rPr>
        <w:t>nej č</w:t>
      </w:r>
      <w:r w:rsidRPr="00C33068" w:rsidR="00E156E0">
        <w:rPr>
          <w:rFonts w:ascii="Times New Roman" w:hAnsi="Times New Roman" w:hint="default"/>
          <w:sz w:val="18"/>
          <w:szCs w:val="18"/>
        </w:rPr>
        <w:t>asti mierové</w:t>
      </w:r>
      <w:r w:rsidRPr="00C33068" w:rsidR="00E156E0">
        <w:rPr>
          <w:rFonts w:ascii="Times New Roman" w:hAnsi="Times New Roman" w:hint="default"/>
          <w:sz w:val="18"/>
          <w:szCs w:val="18"/>
        </w:rPr>
        <w:t>ho využí</w:t>
      </w:r>
      <w:r w:rsidRPr="00C33068" w:rsidR="00E156E0">
        <w:rPr>
          <w:rFonts w:ascii="Times New Roman" w:hAnsi="Times New Roman" w:hint="default"/>
          <w:sz w:val="18"/>
          <w:szCs w:val="18"/>
        </w:rPr>
        <w:t>vania jadrovej energie v </w:t>
      </w:r>
      <w:r w:rsidRPr="00C33068" w:rsidR="007C1220">
        <w:rPr>
          <w:rFonts w:ascii="Times New Roman" w:hAnsi="Times New Roman"/>
          <w:sz w:val="18"/>
          <w:szCs w:val="18"/>
        </w:rPr>
        <w:t>SR</w:t>
      </w:r>
      <w:r w:rsidRPr="00C33068" w:rsidR="00E156E0">
        <w:rPr>
          <w:rFonts w:ascii="Times New Roman" w:hAnsi="Times New Roman" w:hint="default"/>
          <w:sz w:val="18"/>
          <w:szCs w:val="18"/>
        </w:rPr>
        <w:t xml:space="preserve"> schvá</w:t>
      </w:r>
      <w:r w:rsidRPr="00C33068" w:rsidR="00E156E0">
        <w:rPr>
          <w:rFonts w:ascii="Times New Roman" w:hAnsi="Times New Roman" w:hint="default"/>
          <w:sz w:val="18"/>
          <w:szCs w:val="18"/>
        </w:rPr>
        <w:t>lená</w:t>
      </w:r>
      <w:r w:rsidRPr="00C33068" w:rsidR="00E156E0">
        <w:rPr>
          <w:rFonts w:ascii="Times New Roman" w:hAnsi="Times New Roman" w:hint="default"/>
          <w:sz w:val="18"/>
          <w:szCs w:val="18"/>
        </w:rPr>
        <w:t xml:space="preserve"> uznesení</w:t>
      </w:r>
      <w:r w:rsidRPr="00C33068" w:rsidR="00E156E0">
        <w:rPr>
          <w:rFonts w:ascii="Times New Roman" w:hAnsi="Times New Roman" w:hint="default"/>
          <w:sz w:val="18"/>
          <w:szCs w:val="18"/>
        </w:rPr>
        <w:t>m vlá</w:t>
      </w:r>
      <w:r w:rsidRPr="00C33068" w:rsidR="00E156E0">
        <w:rPr>
          <w:rFonts w:ascii="Times New Roman" w:hAnsi="Times New Roman" w:hint="default"/>
          <w:sz w:val="18"/>
          <w:szCs w:val="18"/>
        </w:rPr>
        <w:t>dy č</w:t>
      </w:r>
      <w:r w:rsidRPr="00C33068" w:rsidR="00E156E0">
        <w:rPr>
          <w:rFonts w:ascii="Times New Roman" w:hAnsi="Times New Roman" w:hint="default"/>
          <w:sz w:val="18"/>
          <w:szCs w:val="18"/>
        </w:rPr>
        <w:t>. 26/2014 z 15. januá</w:t>
      </w:r>
      <w:r w:rsidRPr="00C33068" w:rsidR="00E156E0">
        <w:rPr>
          <w:rFonts w:ascii="Times New Roman" w:hAnsi="Times New Roman" w:hint="default"/>
          <w:sz w:val="18"/>
          <w:szCs w:val="18"/>
        </w:rPr>
        <w:t>ra 2014</w:t>
      </w:r>
      <w:r w:rsidRPr="00C33068" w:rsidR="007C1220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AE2"/>
    <w:multiLevelType w:val="hybridMultilevel"/>
    <w:tmpl w:val="FC7E1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23C5"/>
    <w:multiLevelType w:val="hybridMultilevel"/>
    <w:tmpl w:val="D37CF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1056E23"/>
    <w:multiLevelType w:val="hybridMultilevel"/>
    <w:tmpl w:val="0ADAA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B5B7D"/>
    <w:multiLevelType w:val="hybridMultilevel"/>
    <w:tmpl w:val="59021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2C2"/>
    <w:multiLevelType w:val="hybridMultilevel"/>
    <w:tmpl w:val="6882DE1A"/>
    <w:lvl w:ilvl="0">
      <w:start w:val="1"/>
      <w:numFmt w:val="decimal"/>
      <w:lvlText w:val="%1."/>
      <w:lvlJc w:val="left"/>
      <w:pPr>
        <w:ind w:left="3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6" w:hanging="180"/>
      </w:pPr>
      <w:rPr>
        <w:rFonts w:cs="Times New Roman"/>
        <w:rtl w:val="0"/>
        <w:cs w:val="0"/>
      </w:rPr>
    </w:lvl>
  </w:abstractNum>
  <w:abstractNum w:abstractNumId="5">
    <w:nsid w:val="586C74A6"/>
    <w:multiLevelType w:val="hybridMultilevel"/>
    <w:tmpl w:val="7084E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7B2223"/>
    <w:multiLevelType w:val="hybridMultilevel"/>
    <w:tmpl w:val="1B5C05F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4236F"/>
    <w:multiLevelType w:val="hybridMultilevel"/>
    <w:tmpl w:val="59021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20E14"/>
    <w:multiLevelType w:val="hybridMultilevel"/>
    <w:tmpl w:val="FB44F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627A2A"/>
    <w:rsid w:val="00002AC2"/>
    <w:rsid w:val="000049C3"/>
    <w:rsid w:val="00007A86"/>
    <w:rsid w:val="00012A9F"/>
    <w:rsid w:val="000241D8"/>
    <w:rsid w:val="00024F64"/>
    <w:rsid w:val="00026841"/>
    <w:rsid w:val="00035500"/>
    <w:rsid w:val="00042615"/>
    <w:rsid w:val="00050159"/>
    <w:rsid w:val="00055AE7"/>
    <w:rsid w:val="000613B8"/>
    <w:rsid w:val="00064C0D"/>
    <w:rsid w:val="00073117"/>
    <w:rsid w:val="000779D6"/>
    <w:rsid w:val="0008369B"/>
    <w:rsid w:val="00085646"/>
    <w:rsid w:val="00090047"/>
    <w:rsid w:val="000945C7"/>
    <w:rsid w:val="000A1148"/>
    <w:rsid w:val="000A5BD0"/>
    <w:rsid w:val="000D08F6"/>
    <w:rsid w:val="000D6D87"/>
    <w:rsid w:val="000E21DF"/>
    <w:rsid w:val="000E3E92"/>
    <w:rsid w:val="000E7EEF"/>
    <w:rsid w:val="000F00ED"/>
    <w:rsid w:val="000F2F51"/>
    <w:rsid w:val="000F6D6A"/>
    <w:rsid w:val="001051E1"/>
    <w:rsid w:val="00127CA4"/>
    <w:rsid w:val="00134024"/>
    <w:rsid w:val="001366B1"/>
    <w:rsid w:val="0013749E"/>
    <w:rsid w:val="00137DEF"/>
    <w:rsid w:val="0015041D"/>
    <w:rsid w:val="0015119F"/>
    <w:rsid w:val="001632FE"/>
    <w:rsid w:val="00167410"/>
    <w:rsid w:val="001675D0"/>
    <w:rsid w:val="0017284D"/>
    <w:rsid w:val="00177AA2"/>
    <w:rsid w:val="00182E17"/>
    <w:rsid w:val="001856ED"/>
    <w:rsid w:val="001941E5"/>
    <w:rsid w:val="0019700D"/>
    <w:rsid w:val="001A6B9A"/>
    <w:rsid w:val="001B57C8"/>
    <w:rsid w:val="001B68A6"/>
    <w:rsid w:val="001C210F"/>
    <w:rsid w:val="001C40A3"/>
    <w:rsid w:val="001D3BAF"/>
    <w:rsid w:val="001D661E"/>
    <w:rsid w:val="001E6853"/>
    <w:rsid w:val="001F141E"/>
    <w:rsid w:val="001F7F6E"/>
    <w:rsid w:val="002045D4"/>
    <w:rsid w:val="00204B3E"/>
    <w:rsid w:val="002056A0"/>
    <w:rsid w:val="00210ABF"/>
    <w:rsid w:val="00226CB4"/>
    <w:rsid w:val="00232024"/>
    <w:rsid w:val="00237F5B"/>
    <w:rsid w:val="00247489"/>
    <w:rsid w:val="00251360"/>
    <w:rsid w:val="00253119"/>
    <w:rsid w:val="00256A85"/>
    <w:rsid w:val="002630F2"/>
    <w:rsid w:val="002A48DC"/>
    <w:rsid w:val="002B3EA6"/>
    <w:rsid w:val="002C008A"/>
    <w:rsid w:val="002C37A1"/>
    <w:rsid w:val="002D364B"/>
    <w:rsid w:val="002E3222"/>
    <w:rsid w:val="002F7139"/>
    <w:rsid w:val="00306ACD"/>
    <w:rsid w:val="00310BC7"/>
    <w:rsid w:val="00320F75"/>
    <w:rsid w:val="00324CD5"/>
    <w:rsid w:val="003305EA"/>
    <w:rsid w:val="00340D77"/>
    <w:rsid w:val="0034423E"/>
    <w:rsid w:val="00345338"/>
    <w:rsid w:val="00345D3A"/>
    <w:rsid w:val="00353746"/>
    <w:rsid w:val="0036227D"/>
    <w:rsid w:val="00371ABB"/>
    <w:rsid w:val="00373B7C"/>
    <w:rsid w:val="00374999"/>
    <w:rsid w:val="00384414"/>
    <w:rsid w:val="00391B6F"/>
    <w:rsid w:val="003931F1"/>
    <w:rsid w:val="0039762B"/>
    <w:rsid w:val="00397E9A"/>
    <w:rsid w:val="003B0544"/>
    <w:rsid w:val="003B5D88"/>
    <w:rsid w:val="003C5779"/>
    <w:rsid w:val="003C67DE"/>
    <w:rsid w:val="003D49CE"/>
    <w:rsid w:val="003E6DE1"/>
    <w:rsid w:val="003F319C"/>
    <w:rsid w:val="0040053A"/>
    <w:rsid w:val="00401A00"/>
    <w:rsid w:val="004137E6"/>
    <w:rsid w:val="00422D1D"/>
    <w:rsid w:val="00431A4A"/>
    <w:rsid w:val="004347DE"/>
    <w:rsid w:val="0043648A"/>
    <w:rsid w:val="004378DA"/>
    <w:rsid w:val="0044008E"/>
    <w:rsid w:val="004407C0"/>
    <w:rsid w:val="004535C5"/>
    <w:rsid w:val="00454D37"/>
    <w:rsid w:val="004740EA"/>
    <w:rsid w:val="00483119"/>
    <w:rsid w:val="00495B3F"/>
    <w:rsid w:val="004A1BB4"/>
    <w:rsid w:val="004A3E24"/>
    <w:rsid w:val="004C1B5F"/>
    <w:rsid w:val="004C4D57"/>
    <w:rsid w:val="004D4C5F"/>
    <w:rsid w:val="004D68B4"/>
    <w:rsid w:val="004E503C"/>
    <w:rsid w:val="004F7E82"/>
    <w:rsid w:val="005124E5"/>
    <w:rsid w:val="005133B2"/>
    <w:rsid w:val="005211E9"/>
    <w:rsid w:val="00524A9C"/>
    <w:rsid w:val="00534B83"/>
    <w:rsid w:val="0054624F"/>
    <w:rsid w:val="00553882"/>
    <w:rsid w:val="00553DD2"/>
    <w:rsid w:val="00554B6B"/>
    <w:rsid w:val="00563367"/>
    <w:rsid w:val="00565053"/>
    <w:rsid w:val="00583D06"/>
    <w:rsid w:val="00585524"/>
    <w:rsid w:val="0059018F"/>
    <w:rsid w:val="00595577"/>
    <w:rsid w:val="0059693F"/>
    <w:rsid w:val="005C70C9"/>
    <w:rsid w:val="005D02DB"/>
    <w:rsid w:val="005D6E9E"/>
    <w:rsid w:val="005E3607"/>
    <w:rsid w:val="005E6060"/>
    <w:rsid w:val="005F26F8"/>
    <w:rsid w:val="005F3E30"/>
    <w:rsid w:val="006055A8"/>
    <w:rsid w:val="00614818"/>
    <w:rsid w:val="00617AF0"/>
    <w:rsid w:val="00622B79"/>
    <w:rsid w:val="006241FE"/>
    <w:rsid w:val="00627A2A"/>
    <w:rsid w:val="006303A3"/>
    <w:rsid w:val="006314B7"/>
    <w:rsid w:val="006325AE"/>
    <w:rsid w:val="0065412E"/>
    <w:rsid w:val="00666951"/>
    <w:rsid w:val="00693D75"/>
    <w:rsid w:val="00696199"/>
    <w:rsid w:val="00696808"/>
    <w:rsid w:val="00696D79"/>
    <w:rsid w:val="006A1E54"/>
    <w:rsid w:val="006A4E24"/>
    <w:rsid w:val="006C663A"/>
    <w:rsid w:val="006D7642"/>
    <w:rsid w:val="006D7CB3"/>
    <w:rsid w:val="006E6950"/>
    <w:rsid w:val="006F0A12"/>
    <w:rsid w:val="006F385E"/>
    <w:rsid w:val="006F7E4E"/>
    <w:rsid w:val="007110B3"/>
    <w:rsid w:val="00716865"/>
    <w:rsid w:val="00722962"/>
    <w:rsid w:val="00726358"/>
    <w:rsid w:val="007279E6"/>
    <w:rsid w:val="0073745A"/>
    <w:rsid w:val="00746170"/>
    <w:rsid w:val="007509DB"/>
    <w:rsid w:val="00772EE8"/>
    <w:rsid w:val="00777453"/>
    <w:rsid w:val="007A2BD6"/>
    <w:rsid w:val="007A3598"/>
    <w:rsid w:val="007A43D0"/>
    <w:rsid w:val="007B46E1"/>
    <w:rsid w:val="007B4901"/>
    <w:rsid w:val="007B70A2"/>
    <w:rsid w:val="007C1220"/>
    <w:rsid w:val="007F211C"/>
    <w:rsid w:val="007F4A3D"/>
    <w:rsid w:val="007F6022"/>
    <w:rsid w:val="0080034D"/>
    <w:rsid w:val="008141F5"/>
    <w:rsid w:val="0083649B"/>
    <w:rsid w:val="00842968"/>
    <w:rsid w:val="00847F59"/>
    <w:rsid w:val="00852376"/>
    <w:rsid w:val="00867C88"/>
    <w:rsid w:val="00871F29"/>
    <w:rsid w:val="008757C1"/>
    <w:rsid w:val="00875835"/>
    <w:rsid w:val="0088390C"/>
    <w:rsid w:val="0089092A"/>
    <w:rsid w:val="00894E41"/>
    <w:rsid w:val="008963F0"/>
    <w:rsid w:val="008A5094"/>
    <w:rsid w:val="008C10D5"/>
    <w:rsid w:val="008C658A"/>
    <w:rsid w:val="008C738B"/>
    <w:rsid w:val="008D2D7D"/>
    <w:rsid w:val="008D4A49"/>
    <w:rsid w:val="008E19DA"/>
    <w:rsid w:val="008E27BC"/>
    <w:rsid w:val="008E4952"/>
    <w:rsid w:val="0090062F"/>
    <w:rsid w:val="00902B2B"/>
    <w:rsid w:val="00924645"/>
    <w:rsid w:val="0092626C"/>
    <w:rsid w:val="00934778"/>
    <w:rsid w:val="00945941"/>
    <w:rsid w:val="0094656C"/>
    <w:rsid w:val="009530C6"/>
    <w:rsid w:val="009605C5"/>
    <w:rsid w:val="00965759"/>
    <w:rsid w:val="00970BD1"/>
    <w:rsid w:val="00983223"/>
    <w:rsid w:val="0098784B"/>
    <w:rsid w:val="00994912"/>
    <w:rsid w:val="009B1E2F"/>
    <w:rsid w:val="009C0A3A"/>
    <w:rsid w:val="009C2757"/>
    <w:rsid w:val="009E5F9D"/>
    <w:rsid w:val="009E6EB2"/>
    <w:rsid w:val="009F6DBF"/>
    <w:rsid w:val="00A01FC8"/>
    <w:rsid w:val="00A02F78"/>
    <w:rsid w:val="00A32DA1"/>
    <w:rsid w:val="00A50ECB"/>
    <w:rsid w:val="00A52219"/>
    <w:rsid w:val="00A53342"/>
    <w:rsid w:val="00A6498C"/>
    <w:rsid w:val="00A8025E"/>
    <w:rsid w:val="00A83BDC"/>
    <w:rsid w:val="00A84A65"/>
    <w:rsid w:val="00A92872"/>
    <w:rsid w:val="00A9489D"/>
    <w:rsid w:val="00A96113"/>
    <w:rsid w:val="00AA01F1"/>
    <w:rsid w:val="00AA06CE"/>
    <w:rsid w:val="00AA6F75"/>
    <w:rsid w:val="00AA758F"/>
    <w:rsid w:val="00AC19E7"/>
    <w:rsid w:val="00AC3F9A"/>
    <w:rsid w:val="00AD5687"/>
    <w:rsid w:val="00AD5D10"/>
    <w:rsid w:val="00AD6879"/>
    <w:rsid w:val="00AE5547"/>
    <w:rsid w:val="00AE6760"/>
    <w:rsid w:val="00AF3A4A"/>
    <w:rsid w:val="00AF7D84"/>
    <w:rsid w:val="00B07057"/>
    <w:rsid w:val="00B37C85"/>
    <w:rsid w:val="00B4156E"/>
    <w:rsid w:val="00B669F1"/>
    <w:rsid w:val="00B839B2"/>
    <w:rsid w:val="00B85BA3"/>
    <w:rsid w:val="00B927A3"/>
    <w:rsid w:val="00BA123E"/>
    <w:rsid w:val="00BA39E3"/>
    <w:rsid w:val="00BA7ED3"/>
    <w:rsid w:val="00BB23E9"/>
    <w:rsid w:val="00BB4385"/>
    <w:rsid w:val="00BB66AE"/>
    <w:rsid w:val="00BB6823"/>
    <w:rsid w:val="00BC2413"/>
    <w:rsid w:val="00BC3950"/>
    <w:rsid w:val="00BD13E5"/>
    <w:rsid w:val="00BD64C5"/>
    <w:rsid w:val="00BD67B0"/>
    <w:rsid w:val="00BE4E2F"/>
    <w:rsid w:val="00BF7256"/>
    <w:rsid w:val="00C1232F"/>
    <w:rsid w:val="00C1700F"/>
    <w:rsid w:val="00C21229"/>
    <w:rsid w:val="00C22539"/>
    <w:rsid w:val="00C25EF1"/>
    <w:rsid w:val="00C3001A"/>
    <w:rsid w:val="00C33068"/>
    <w:rsid w:val="00C3437D"/>
    <w:rsid w:val="00C40D05"/>
    <w:rsid w:val="00C5011D"/>
    <w:rsid w:val="00C53E0E"/>
    <w:rsid w:val="00C56F46"/>
    <w:rsid w:val="00C5744E"/>
    <w:rsid w:val="00C74F67"/>
    <w:rsid w:val="00C956FA"/>
    <w:rsid w:val="00CB12EE"/>
    <w:rsid w:val="00CC0F85"/>
    <w:rsid w:val="00CC1448"/>
    <w:rsid w:val="00CC2A7F"/>
    <w:rsid w:val="00CD07AE"/>
    <w:rsid w:val="00CE6764"/>
    <w:rsid w:val="00CE6886"/>
    <w:rsid w:val="00D031ED"/>
    <w:rsid w:val="00D064A5"/>
    <w:rsid w:val="00D11B80"/>
    <w:rsid w:val="00D1718A"/>
    <w:rsid w:val="00D22ABF"/>
    <w:rsid w:val="00D3362A"/>
    <w:rsid w:val="00D37119"/>
    <w:rsid w:val="00D5493B"/>
    <w:rsid w:val="00D665B4"/>
    <w:rsid w:val="00D73235"/>
    <w:rsid w:val="00D90E07"/>
    <w:rsid w:val="00D96842"/>
    <w:rsid w:val="00DA3424"/>
    <w:rsid w:val="00DB6BE4"/>
    <w:rsid w:val="00DC7715"/>
    <w:rsid w:val="00DE07B0"/>
    <w:rsid w:val="00DE0D2A"/>
    <w:rsid w:val="00DE2978"/>
    <w:rsid w:val="00E040D9"/>
    <w:rsid w:val="00E04798"/>
    <w:rsid w:val="00E137E9"/>
    <w:rsid w:val="00E156E0"/>
    <w:rsid w:val="00E26D2B"/>
    <w:rsid w:val="00E30C89"/>
    <w:rsid w:val="00E412F5"/>
    <w:rsid w:val="00E51A0A"/>
    <w:rsid w:val="00E83E86"/>
    <w:rsid w:val="00E92121"/>
    <w:rsid w:val="00EA1856"/>
    <w:rsid w:val="00EA3DF2"/>
    <w:rsid w:val="00EB5146"/>
    <w:rsid w:val="00EC0CAE"/>
    <w:rsid w:val="00EC5BB3"/>
    <w:rsid w:val="00ED284C"/>
    <w:rsid w:val="00ED7F59"/>
    <w:rsid w:val="00EE51DE"/>
    <w:rsid w:val="00EE5249"/>
    <w:rsid w:val="00EE7BB0"/>
    <w:rsid w:val="00F2259A"/>
    <w:rsid w:val="00F22AD3"/>
    <w:rsid w:val="00F23CD4"/>
    <w:rsid w:val="00F2433E"/>
    <w:rsid w:val="00F25CA4"/>
    <w:rsid w:val="00F26535"/>
    <w:rsid w:val="00F300A0"/>
    <w:rsid w:val="00F308DA"/>
    <w:rsid w:val="00F34603"/>
    <w:rsid w:val="00F4255F"/>
    <w:rsid w:val="00F50A82"/>
    <w:rsid w:val="00F53084"/>
    <w:rsid w:val="00F6396A"/>
    <w:rsid w:val="00F90C0A"/>
    <w:rsid w:val="00F930D6"/>
    <w:rsid w:val="00F979FA"/>
    <w:rsid w:val="00FA25AD"/>
    <w:rsid w:val="00FB08C9"/>
    <w:rsid w:val="00FB10C5"/>
    <w:rsid w:val="00FB1DC7"/>
    <w:rsid w:val="00FB2A5D"/>
    <w:rsid w:val="00FB4E47"/>
    <w:rsid w:val="00FB544B"/>
    <w:rsid w:val="00FB6FEE"/>
    <w:rsid w:val="00FC2153"/>
    <w:rsid w:val="00FE4684"/>
    <w:rsid w:val="00FF02CB"/>
    <w:rsid w:val="00FF1AB3"/>
    <w:rsid w:val="00FF3A31"/>
    <w:rsid w:val="00FF4C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5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eastAsia="Calibri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D57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Char24 Char Char,Char24 Char Char Char"/>
    <w:basedOn w:val="Heading1"/>
    <w:next w:val="Normal"/>
    <w:link w:val="Heading2Char"/>
    <w:uiPriority w:val="99"/>
    <w:qFormat/>
    <w:rsid w:val="004C4D57"/>
    <w:pPr>
      <w:keepLines w:val="0"/>
      <w:spacing w:before="120" w:after="120" w:line="240" w:lineRule="auto"/>
      <w:jc w:val="both"/>
      <w:outlineLvl w:val="1"/>
    </w:pPr>
    <w:rPr>
      <w:rFonts w:ascii="Arial Narrow" w:eastAsia="Times New Roman" w:hAnsi="Arial Narrow" w:cs="Book Antiqua"/>
      <w:b w:val="0"/>
      <w:bCs w:val="0"/>
      <w:color w:val="auto"/>
      <w:sz w:val="24"/>
      <w:szCs w:val="22"/>
      <w:lang w:eastAsia="sk-SK"/>
    </w:rPr>
  </w:style>
  <w:style w:type="paragraph" w:styleId="Heading3">
    <w:name w:val="heading 3"/>
    <w:aliases w:val="Tab"/>
    <w:basedOn w:val="Normal"/>
    <w:next w:val="Normal"/>
    <w:link w:val="Heading3Char"/>
    <w:uiPriority w:val="99"/>
    <w:qFormat/>
    <w:rsid w:val="004C4D57"/>
    <w:pPr>
      <w:keepNext/>
      <w:spacing w:after="0" w:line="240" w:lineRule="auto"/>
      <w:jc w:val="left"/>
      <w:outlineLvl w:val="2"/>
    </w:pPr>
    <w:rPr>
      <w:rFonts w:eastAsia="Times New Roman" w:cs="Arial"/>
      <w:b/>
      <w:bCs/>
      <w:sz w:val="20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Char24 Char Char Char Char,Char24 Char Char Char1"/>
    <w:link w:val="Heading2"/>
    <w:uiPriority w:val="99"/>
    <w:locked/>
    <w:rsid w:val="004C4D57"/>
    <w:rPr>
      <w:rFonts w:eastAsia="Times New Roman"/>
      <w:sz w:val="22"/>
      <w:lang w:val="x-none" w:eastAsia="sk-SK"/>
    </w:rPr>
  </w:style>
  <w:style w:type="character" w:customStyle="1" w:styleId="Heading3Char">
    <w:name w:val="Heading 3 Char"/>
    <w:aliases w:val="Tab Char"/>
    <w:link w:val="Heading3"/>
    <w:uiPriority w:val="99"/>
    <w:locked/>
    <w:rsid w:val="004C4D57"/>
    <w:rPr>
      <w:rFonts w:eastAsia="Times New Roman"/>
      <w:b/>
      <w:sz w:val="26"/>
      <w:lang w:val="x-none" w:eastAsia="sk-SK"/>
    </w:rPr>
  </w:style>
  <w:style w:type="character" w:customStyle="1" w:styleId="Heading1Char">
    <w:name w:val="Heading 1 Char"/>
    <w:link w:val="Heading1"/>
    <w:uiPriority w:val="9"/>
    <w:locked/>
    <w:rsid w:val="004C4D57"/>
    <w:rPr>
      <w:rFonts w:ascii="Cambria" w:hAnsi="Cambria" w:cs="Cambria"/>
      <w:b/>
      <w:color w:val="365F9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D5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C4D57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FF3A31"/>
    <w:pPr>
      <w:spacing w:after="0" w:line="240" w:lineRule="auto"/>
      <w:ind w:left="720"/>
      <w:contextualSpacing/>
      <w:jc w:val="left"/>
    </w:pPr>
    <w:rPr>
      <w:rFonts w:eastAsia="Times New Roman" w:cs="Book Antiqua"/>
      <w:szCs w:val="22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25AD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25AD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170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46170"/>
    <w:rPr>
      <w:sz w:val="20"/>
    </w:rPr>
  </w:style>
  <w:style w:type="character" w:styleId="FootnoteReference">
    <w:name w:val="footnote reference"/>
    <w:uiPriority w:val="99"/>
    <w:semiHidden/>
    <w:unhideWhenUsed/>
    <w:rsid w:val="00746170"/>
    <w:rPr>
      <w:vertAlign w:val="superscript"/>
    </w:rPr>
  </w:style>
  <w:style w:type="character" w:styleId="Hyperlink">
    <w:name w:val="Hyperlink"/>
    <w:uiPriority w:val="99"/>
    <w:unhideWhenUsed/>
    <w:rsid w:val="00AC3F9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10ABF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ABF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10AB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ABF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10ABF"/>
    <w:rPr>
      <w:b/>
      <w:sz w:val="20"/>
    </w:rPr>
  </w:style>
  <w:style w:type="paragraph" w:customStyle="1" w:styleId="Default">
    <w:name w:val="Default"/>
    <w:rsid w:val="00E040D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C300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fsr.sk/Default.aspx?CatID=9696" TargetMode="External" /><Relationship Id="rId2" Type="http://schemas.openxmlformats.org/officeDocument/2006/relationships/hyperlink" Target="http://europa.eu/epc/pdf/latest_version_country_fiche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8445-67FE-4C46-9CFD-AE33C795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1492</Words>
  <Characters>8506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Havlat Michal</dc:creator>
  <cp:lastModifiedBy>Gašparíková, Jarmila</cp:lastModifiedBy>
  <cp:revision>2</cp:revision>
  <cp:lastPrinted>2014-08-07T15:54:00Z</cp:lastPrinted>
  <dcterms:created xsi:type="dcterms:W3CDTF">2014-10-15T16:28:00Z</dcterms:created>
  <dcterms:modified xsi:type="dcterms:W3CDTF">2014-10-15T16:28:00Z</dcterms:modified>
</cp:coreProperties>
</file>