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00D0" w:rsidRPr="0024687B" w:rsidP="00B32E22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C00D0" w:rsidRPr="0024687B" w:rsidP="003C00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C00D0" w:rsidRPr="0024687B" w:rsidP="003C00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C00D0" w:rsidP="003C00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F47A0" w:rsidP="003C00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F47A0" w:rsidP="003C00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F47A0" w:rsidRPr="0024687B" w:rsidP="003C00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C00D0" w:rsidRPr="0024687B" w:rsidP="003C00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C00D0" w:rsidRPr="0024687B" w:rsidP="003C00D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C00D0" w:rsidRPr="0024687B" w:rsidP="003C00D0">
      <w:pPr>
        <w:bidi w:val="0"/>
        <w:jc w:val="center"/>
        <w:rPr>
          <w:rFonts w:ascii="Times New Roman" w:hAnsi="Times New Roman"/>
          <w:b/>
          <w:sz w:val="44"/>
          <w:szCs w:val="44"/>
        </w:rPr>
      </w:pPr>
      <w:r w:rsidRPr="0024687B">
        <w:rPr>
          <w:rFonts w:ascii="Times New Roman" w:hAnsi="Times New Roman"/>
          <w:b/>
          <w:sz w:val="44"/>
          <w:szCs w:val="44"/>
        </w:rPr>
        <w:t>Príloha č. 4</w:t>
      </w:r>
    </w:p>
    <w:p w:rsidR="003C00D0" w:rsidRPr="0024687B" w:rsidP="003C00D0">
      <w:pPr>
        <w:bidi w:val="0"/>
        <w:jc w:val="center"/>
        <w:rPr>
          <w:rFonts w:ascii="Times New Roman" w:hAnsi="Times New Roman"/>
          <w:b/>
          <w:sz w:val="44"/>
          <w:szCs w:val="44"/>
        </w:rPr>
      </w:pPr>
    </w:p>
    <w:p w:rsidR="001708DA" w:rsidRPr="0024687B" w:rsidP="003C00D0">
      <w:pPr>
        <w:bidi w:val="0"/>
        <w:jc w:val="center"/>
        <w:rPr>
          <w:rFonts w:ascii="Times New Roman" w:hAnsi="Times New Roman"/>
          <w:b/>
          <w:sz w:val="44"/>
          <w:szCs w:val="44"/>
        </w:rPr>
      </w:pPr>
      <w:r w:rsidRPr="0024687B" w:rsidR="003C00D0">
        <w:rPr>
          <w:rFonts w:ascii="Times New Roman" w:hAnsi="Times New Roman"/>
          <w:b/>
          <w:sz w:val="44"/>
          <w:szCs w:val="44"/>
        </w:rPr>
        <w:t xml:space="preserve">Informácia o podmienených záväzkoch subjektov </w:t>
      </w:r>
      <w:r w:rsidRPr="0024687B" w:rsidR="008069D2">
        <w:rPr>
          <w:rFonts w:ascii="Times New Roman" w:hAnsi="Times New Roman"/>
          <w:b/>
          <w:sz w:val="44"/>
          <w:szCs w:val="44"/>
        </w:rPr>
        <w:t>verejnej</w:t>
      </w:r>
      <w:r w:rsidRPr="0024687B" w:rsidR="003C00D0">
        <w:rPr>
          <w:rFonts w:ascii="Times New Roman" w:hAnsi="Times New Roman"/>
          <w:b/>
          <w:sz w:val="44"/>
          <w:szCs w:val="44"/>
        </w:rPr>
        <w:t xml:space="preserve"> správy</w:t>
      </w:r>
    </w:p>
    <w:p w:rsidR="008069D2" w:rsidRPr="0024687B" w:rsidP="001708DA">
      <w:pPr>
        <w:bidi w:val="0"/>
        <w:rPr>
          <w:rFonts w:ascii="Times New Roman" w:hAnsi="Times New Roman"/>
          <w:b/>
          <w:sz w:val="24"/>
          <w:szCs w:val="24"/>
        </w:rPr>
      </w:pPr>
      <w:r w:rsidRPr="0024687B" w:rsidR="001708DA">
        <w:rPr>
          <w:rFonts w:ascii="Times New Roman" w:hAnsi="Times New Roman"/>
          <w:b/>
          <w:sz w:val="44"/>
          <w:szCs w:val="44"/>
        </w:rPr>
        <w:br w:type="page"/>
      </w:r>
      <w:r w:rsidRPr="0024687B">
        <w:rPr>
          <w:rFonts w:ascii="Times New Roman" w:hAnsi="Times New Roman"/>
          <w:b/>
          <w:sz w:val="24"/>
          <w:szCs w:val="24"/>
        </w:rPr>
        <w:t>Informácia o podmienených záväzkoch subjektov verejnej správy</w:t>
      </w:r>
    </w:p>
    <w:p w:rsidR="008069D2" w:rsidRPr="0024687B" w:rsidP="008069D2">
      <w:pPr>
        <w:pStyle w:val="Zarkazkladnhotextu1"/>
        <w:bidi w:val="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24687B">
        <w:rPr>
          <w:rFonts w:ascii="Times New Roman" w:hAnsi="Times New Roman" w:cs="Times New Roman"/>
        </w:rPr>
        <w:t>V</w:t>
      </w:r>
      <w:r w:rsidRPr="0024687B" w:rsidR="00E721D6">
        <w:rPr>
          <w:rFonts w:ascii="Times New Roman" w:hAnsi="Times New Roman" w:cs="Times New Roman"/>
        </w:rPr>
        <w:t> </w:t>
      </w:r>
      <w:r w:rsidRPr="0024687B">
        <w:rPr>
          <w:rFonts w:ascii="Times New Roman" w:hAnsi="Times New Roman" w:cs="Times New Roman"/>
        </w:rPr>
        <w:t>zmysle</w:t>
      </w:r>
      <w:r w:rsidRPr="0024687B" w:rsidR="00E721D6">
        <w:rPr>
          <w:rFonts w:ascii="Times New Roman" w:hAnsi="Times New Roman" w:cs="Times New Roman"/>
        </w:rPr>
        <w:t xml:space="preserve"> článku 9 ods. 4</w:t>
      </w:r>
      <w:r w:rsidRPr="0024687B">
        <w:rPr>
          <w:rFonts w:ascii="Times New Roman" w:hAnsi="Times New Roman" w:cs="Times New Roman"/>
        </w:rPr>
        <w:t xml:space="preserve"> ústavného zákona č. 493/2011 Z. z. o rozpočtovej zodpovednosti návrh rozpočtu verejnej správy obsahuje</w:t>
      </w:r>
      <w:r w:rsidR="00022B75">
        <w:rPr>
          <w:rFonts w:ascii="Times New Roman" w:hAnsi="Times New Roman" w:cs="Times New Roman"/>
        </w:rPr>
        <w:t xml:space="preserve"> aj</w:t>
      </w:r>
      <w:r w:rsidRPr="0024687B">
        <w:rPr>
          <w:rFonts w:ascii="Times New Roman" w:hAnsi="Times New Roman" w:cs="Times New Roman"/>
        </w:rPr>
        <w:t xml:space="preserve"> informácie o podmienených záväzkoch subjektov verejnej správy.</w:t>
      </w:r>
    </w:p>
    <w:p w:rsidR="008069D2" w:rsidRPr="0024687B" w:rsidP="008069D2">
      <w:pPr>
        <w:pStyle w:val="Zarkazkladnhotextu1"/>
        <w:bidi w:val="0"/>
        <w:spacing w:after="0"/>
        <w:ind w:left="0" w:firstLine="708"/>
        <w:jc w:val="both"/>
        <w:rPr>
          <w:rFonts w:ascii="Times New Roman" w:hAnsi="Times New Roman" w:cs="Times New Roman"/>
        </w:rPr>
      </w:pPr>
    </w:p>
    <w:p w:rsidR="008069D2" w:rsidRPr="0024687B" w:rsidP="008069D2">
      <w:pPr>
        <w:pStyle w:val="Zarkazkladnhotextu1"/>
        <w:bidi w:val="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24687B">
        <w:rPr>
          <w:rFonts w:ascii="Times New Roman" w:hAnsi="Times New Roman" w:cs="Times New Roman"/>
        </w:rPr>
        <w:t xml:space="preserve">Podmienené záväzky sú </w:t>
      </w:r>
      <w:r w:rsidRPr="0024687B" w:rsidR="00E721D6">
        <w:rPr>
          <w:rFonts w:ascii="Times New Roman" w:hAnsi="Times New Roman" w:cs="Times New Roman"/>
        </w:rPr>
        <w:t>definované v legislatíve</w:t>
      </w:r>
      <w:r>
        <w:rPr>
          <w:rFonts w:ascii="Times New Roman" w:hAnsi="Times New Roman" w:cs="Times New Roman"/>
          <w:vertAlign w:val="superscript"/>
          <w:rtl w:val="0"/>
        </w:rPr>
        <w:footnoteReference w:id="2"/>
      </w:r>
      <w:r w:rsidRPr="0024687B">
        <w:rPr>
          <w:rFonts w:ascii="Times New Roman" w:hAnsi="Times New Roman" w:cs="Times New Roman"/>
        </w:rPr>
        <w:t xml:space="preserve"> ako iné pasíva účtovnej jednotky, ktorá ich vykazuje v poznámkach ako súčasti individuálnej účtovnej závierky. </w:t>
      </w:r>
      <w:r w:rsidR="00C632F3">
        <w:rPr>
          <w:rFonts w:ascii="Times New Roman" w:hAnsi="Times New Roman" w:cs="Times New Roman"/>
        </w:rPr>
        <w:t>Nejde</w:t>
      </w:r>
      <w:r w:rsidRPr="0024687B">
        <w:rPr>
          <w:rFonts w:ascii="Times New Roman" w:hAnsi="Times New Roman" w:cs="Times New Roman"/>
        </w:rPr>
        <w:t xml:space="preserve"> teda o záväzok, ktorý je vykázaný na súvahových položkách pasív, pretože nie je splnená podmienka na ich zaúčtovanie - výška záväzku sa nedá spoľahlivo oceniť, obdobie, ku ktorému sa povinnosť viaže nie je určené</w:t>
      </w:r>
      <w:r w:rsidR="00C632F3">
        <w:rPr>
          <w:rFonts w:ascii="Times New Roman" w:hAnsi="Times New Roman" w:cs="Times New Roman"/>
        </w:rPr>
        <w:t xml:space="preserve"> a</w:t>
      </w:r>
      <w:r w:rsidRPr="0024687B">
        <w:rPr>
          <w:rFonts w:ascii="Times New Roman" w:hAnsi="Times New Roman" w:cs="Times New Roman"/>
        </w:rPr>
        <w:t xml:space="preserve"> úbytok ekonomických úžitkov v budúcnosti nie je istý.</w:t>
      </w:r>
    </w:p>
    <w:p w:rsidR="008069D2" w:rsidRPr="0024687B" w:rsidP="008069D2">
      <w:pPr>
        <w:pStyle w:val="Zarkazkladnhotextu1"/>
        <w:bidi w:val="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24687B">
        <w:rPr>
          <w:rFonts w:ascii="Times New Roman" w:hAnsi="Times New Roman" w:cs="Times New Roman"/>
        </w:rPr>
        <w:t>Ako iné pasíva sa vykazuje:</w:t>
      </w:r>
    </w:p>
    <w:p w:rsidR="008069D2" w:rsidRPr="0024687B" w:rsidP="008069D2">
      <w:pPr>
        <w:pStyle w:val="Zarkazkladnhotextu1"/>
        <w:bidi w:val="0"/>
        <w:spacing w:after="0"/>
        <w:ind w:left="0" w:firstLine="708"/>
        <w:jc w:val="both"/>
        <w:rPr>
          <w:rFonts w:ascii="Times New Roman" w:hAnsi="Times New Roman" w:cs="Times New Roman"/>
        </w:rPr>
      </w:pPr>
    </w:p>
    <w:p w:rsidR="008069D2" w:rsidRPr="0024687B" w:rsidP="008069D2">
      <w:pPr>
        <w:pStyle w:val="Zarkazkladnhotextu1"/>
        <w:numPr>
          <w:numId w:val="4"/>
        </w:numPr>
        <w:bidi w:val="0"/>
        <w:spacing w:after="0"/>
        <w:jc w:val="both"/>
        <w:rPr>
          <w:rFonts w:ascii="Times New Roman" w:hAnsi="Times New Roman" w:cs="Times New Roman"/>
        </w:rPr>
      </w:pPr>
      <w:bookmarkStart w:id="0" w:name="_Ref331681245"/>
      <w:r w:rsidRPr="0024687B">
        <w:rPr>
          <w:rFonts w:ascii="Times New Roman" w:hAnsi="Times New Roman" w:cs="Times New Roman"/>
        </w:rPr>
        <w:t>možná povinnosť, ktorá vznikla ako dôsledok minulej udalosti a ktorej existencia závisí od toho, či nastane alebo nenastane jedna alebo viac neistých udalostí v budúcnosti, ktorých vznik nezávisí od účtovnej jednotky,</w:t>
      </w:r>
      <w:bookmarkEnd w:id="0"/>
      <w:r w:rsidRPr="0024687B">
        <w:rPr>
          <w:rFonts w:ascii="Times New Roman" w:hAnsi="Times New Roman" w:cs="Times New Roman"/>
        </w:rPr>
        <w:t xml:space="preserve"> alebo</w:t>
      </w:r>
    </w:p>
    <w:p w:rsidR="008069D2" w:rsidRPr="0024687B" w:rsidP="008069D2">
      <w:pPr>
        <w:pStyle w:val="Zarkazkladnhotextu1"/>
        <w:numPr>
          <w:numId w:val="4"/>
        </w:numPr>
        <w:bidi w:val="0"/>
        <w:spacing w:after="0"/>
        <w:jc w:val="both"/>
        <w:rPr>
          <w:rFonts w:ascii="Times New Roman" w:hAnsi="Times New Roman" w:cs="Times New Roman"/>
        </w:rPr>
      </w:pPr>
      <w:r w:rsidRPr="0024687B">
        <w:rPr>
          <w:rFonts w:ascii="Times New Roman" w:hAnsi="Times New Roman" w:cs="Times New Roman"/>
        </w:rPr>
        <w:t>povinnosť, ktorá vznikla ako dôsledok minulej udalosti, ale ktorá sa nevykazuje v súvahe, pretože nie je pravdepodobné, že na splnenie tejto povinnosti bude potrebný úbytok ekonomických úžitkov, alebo výška tejto povinnosti sa nedá spoľahlivo oceniť.</w:t>
      </w:r>
    </w:p>
    <w:p w:rsidR="008069D2" w:rsidRPr="0024687B" w:rsidP="008069D2">
      <w:pPr>
        <w:pStyle w:val="Zarkazkladnhotextu1"/>
        <w:bidi w:val="0"/>
        <w:spacing w:after="0"/>
        <w:ind w:left="0" w:firstLine="708"/>
        <w:jc w:val="both"/>
        <w:rPr>
          <w:rFonts w:ascii="Times New Roman" w:hAnsi="Times New Roman" w:cs="Times New Roman"/>
        </w:rPr>
      </w:pPr>
    </w:p>
    <w:p w:rsidR="007C0EBC" w:rsidP="008069D2">
      <w:pPr>
        <w:pStyle w:val="Zarkazkladnhotextu1"/>
        <w:bidi w:val="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24687B" w:rsidR="008069D2">
        <w:rPr>
          <w:rFonts w:ascii="Times New Roman" w:hAnsi="Times New Roman" w:cs="Times New Roman"/>
        </w:rPr>
        <w:t xml:space="preserve">Vzhľadom na uvedené sa vo verejnej správe vykazujú ako podmienené záväzky napríklad poskytnuté záruky, </w:t>
      </w:r>
      <w:r w:rsidR="00C632F3">
        <w:rPr>
          <w:rFonts w:ascii="Times New Roman" w:hAnsi="Times New Roman" w:cs="Times New Roman"/>
        </w:rPr>
        <w:t xml:space="preserve">hroziace záväzky z prebiehajúcich </w:t>
      </w:r>
      <w:r w:rsidRPr="0024687B" w:rsidR="008069D2">
        <w:rPr>
          <w:rFonts w:ascii="Times New Roman" w:hAnsi="Times New Roman" w:cs="Times New Roman"/>
        </w:rPr>
        <w:t>právn</w:t>
      </w:r>
      <w:r w:rsidR="00C632F3">
        <w:rPr>
          <w:rFonts w:ascii="Times New Roman" w:hAnsi="Times New Roman" w:cs="Times New Roman"/>
        </w:rPr>
        <w:t>ych</w:t>
      </w:r>
      <w:r w:rsidRPr="0024687B" w:rsidR="008069D2">
        <w:rPr>
          <w:rFonts w:ascii="Times New Roman" w:hAnsi="Times New Roman" w:cs="Times New Roman"/>
        </w:rPr>
        <w:t xml:space="preserve"> spor</w:t>
      </w:r>
      <w:r w:rsidR="00C632F3">
        <w:rPr>
          <w:rFonts w:ascii="Times New Roman" w:hAnsi="Times New Roman" w:cs="Times New Roman"/>
        </w:rPr>
        <w:t>ov</w:t>
      </w:r>
      <w:r w:rsidRPr="0024687B" w:rsidR="008069D2">
        <w:rPr>
          <w:rFonts w:ascii="Times New Roman" w:hAnsi="Times New Roman" w:cs="Times New Roman"/>
        </w:rPr>
        <w:t xml:space="preserve">, </w:t>
      </w:r>
      <w:r w:rsidR="00C632F3">
        <w:rPr>
          <w:rFonts w:ascii="Times New Roman" w:hAnsi="Times New Roman" w:cs="Times New Roman"/>
        </w:rPr>
        <w:t xml:space="preserve">budúce </w:t>
      </w:r>
      <w:r w:rsidRPr="0024687B" w:rsidR="008069D2">
        <w:rPr>
          <w:rFonts w:ascii="Times New Roman" w:hAnsi="Times New Roman" w:cs="Times New Roman"/>
        </w:rPr>
        <w:t>záväzky zo všeobecne platných právnych predpisov a podobne.</w:t>
      </w:r>
      <w:r w:rsidRPr="0024687B" w:rsidR="00255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Medziročne </w:t>
      </w:r>
      <w:r w:rsidRPr="0024687B" w:rsidR="00255FE8">
        <w:rPr>
          <w:rFonts w:ascii="Times New Roman" w:hAnsi="Times New Roman" w:cs="Times New Roman"/>
        </w:rPr>
        <w:t xml:space="preserve">došlo k zvýšeniu hodnoty </w:t>
      </w:r>
      <w:r>
        <w:rPr>
          <w:rFonts w:ascii="Times New Roman" w:hAnsi="Times New Roman" w:cs="Times New Roman"/>
        </w:rPr>
        <w:t>podmienených záväzkov</w:t>
      </w:r>
      <w:r w:rsidRPr="0024687B" w:rsidR="00255FE8">
        <w:rPr>
          <w:rFonts w:ascii="Times New Roman" w:hAnsi="Times New Roman" w:cs="Times New Roman"/>
        </w:rPr>
        <w:t xml:space="preserve"> verejnej správy</w:t>
      </w:r>
      <w:r>
        <w:rPr>
          <w:rFonts w:ascii="Times New Roman" w:hAnsi="Times New Roman" w:cs="Times New Roman"/>
        </w:rPr>
        <w:t xml:space="preserve"> najmä zahrnutím záruk </w:t>
      </w:r>
      <w:r w:rsidR="00C632F3">
        <w:rPr>
          <w:rFonts w:ascii="Times New Roman" w:hAnsi="Times New Roman" w:cs="Times New Roman"/>
        </w:rPr>
        <w:t>poskytnutých Slovenskou republikou/</w:t>
      </w:r>
      <w:r>
        <w:rPr>
          <w:rFonts w:ascii="Times New Roman" w:hAnsi="Times New Roman" w:cs="Times New Roman"/>
        </w:rPr>
        <w:t xml:space="preserve">Ministerstvom financií SR v rámci </w:t>
      </w:r>
      <w:r w:rsidR="00C632F3">
        <w:rPr>
          <w:rFonts w:ascii="Times New Roman" w:hAnsi="Times New Roman" w:cs="Times New Roman"/>
        </w:rPr>
        <w:t xml:space="preserve">dočasného </w:t>
      </w:r>
      <w:r w:rsidR="00D63423">
        <w:rPr>
          <w:rFonts w:ascii="Times New Roman" w:hAnsi="Times New Roman" w:cs="Times New Roman"/>
        </w:rPr>
        <w:t>záchran</w:t>
      </w:r>
      <w:r w:rsidR="00C632F3">
        <w:rPr>
          <w:rFonts w:ascii="Times New Roman" w:hAnsi="Times New Roman" w:cs="Times New Roman"/>
        </w:rPr>
        <w:t>ného</w:t>
      </w:r>
      <w:r w:rsidR="00D63423">
        <w:rPr>
          <w:rFonts w:ascii="Times New Roman" w:hAnsi="Times New Roman" w:cs="Times New Roman"/>
        </w:rPr>
        <w:t xml:space="preserve"> mechanizm</w:t>
      </w:r>
      <w:r w:rsidR="00C632F3">
        <w:rPr>
          <w:rFonts w:ascii="Times New Roman" w:hAnsi="Times New Roman" w:cs="Times New Roman"/>
        </w:rPr>
        <w:t>u</w:t>
      </w:r>
      <w:r w:rsidR="00D63423">
        <w:rPr>
          <w:rFonts w:ascii="Times New Roman" w:hAnsi="Times New Roman" w:cs="Times New Roman"/>
        </w:rPr>
        <w:t xml:space="preserve"> Eurozóny EFSF. Ďalej sa významnou hodnotou na celkových podmienených záväzkoch </w:t>
      </w:r>
      <w:r w:rsidR="000732A6">
        <w:rPr>
          <w:rFonts w:ascii="Times New Roman" w:hAnsi="Times New Roman" w:cs="Times New Roman"/>
        </w:rPr>
        <w:t xml:space="preserve">k 31.12.2013 </w:t>
      </w:r>
      <w:r w:rsidR="00D63423">
        <w:rPr>
          <w:rFonts w:ascii="Times New Roman" w:hAnsi="Times New Roman" w:cs="Times New Roman"/>
        </w:rPr>
        <w:t>podieľa</w:t>
      </w:r>
      <w:r w:rsidR="000732A6">
        <w:rPr>
          <w:rFonts w:ascii="Times New Roman" w:hAnsi="Times New Roman" w:cs="Times New Roman"/>
        </w:rPr>
        <w:t>li</w:t>
      </w:r>
      <w:r w:rsidR="00D63423">
        <w:rPr>
          <w:rFonts w:ascii="Times New Roman" w:hAnsi="Times New Roman" w:cs="Times New Roman"/>
        </w:rPr>
        <w:t xml:space="preserve"> medzinárodné </w:t>
      </w:r>
      <w:r w:rsidR="00C632F3">
        <w:rPr>
          <w:rFonts w:ascii="Times New Roman" w:hAnsi="Times New Roman" w:cs="Times New Roman"/>
        </w:rPr>
        <w:t xml:space="preserve">investičné </w:t>
      </w:r>
      <w:r w:rsidR="00D63423">
        <w:rPr>
          <w:rFonts w:ascii="Times New Roman" w:hAnsi="Times New Roman" w:cs="Times New Roman"/>
        </w:rPr>
        <w:t xml:space="preserve">arbitráže a kapitálové účasti v medzinárodných finančných inštitúciách </w:t>
      </w:r>
      <w:r w:rsidR="00C632F3">
        <w:rPr>
          <w:rFonts w:ascii="Times New Roman" w:hAnsi="Times New Roman" w:cs="Times New Roman"/>
        </w:rPr>
        <w:t xml:space="preserve">(EBOR, ESM, a pod.) </w:t>
      </w:r>
      <w:r w:rsidR="00D63423">
        <w:rPr>
          <w:rFonts w:ascii="Times New Roman" w:hAnsi="Times New Roman" w:cs="Times New Roman"/>
        </w:rPr>
        <w:t xml:space="preserve">splatné na vyzvanie, tzv. call capital. </w:t>
      </w:r>
      <w:r>
        <w:rPr>
          <w:rFonts w:ascii="Times New Roman" w:hAnsi="Times New Roman" w:cs="Times New Roman"/>
        </w:rPr>
        <w:t xml:space="preserve">   </w:t>
      </w:r>
    </w:p>
    <w:p w:rsidR="007C0EBC" w:rsidP="008069D2">
      <w:pPr>
        <w:pStyle w:val="Zarkazkladnhotextu1"/>
        <w:bidi w:val="0"/>
        <w:spacing w:after="0"/>
        <w:ind w:left="0" w:firstLine="708"/>
        <w:jc w:val="both"/>
        <w:rPr>
          <w:rFonts w:ascii="Times New Roman" w:hAnsi="Times New Roman" w:cs="Times New Roman"/>
        </w:rPr>
      </w:pPr>
    </w:p>
    <w:p w:rsidR="008069D2" w:rsidRPr="0024687B" w:rsidP="008069D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4687B">
        <w:rPr>
          <w:rFonts w:ascii="Times New Roman" w:hAnsi="Times New Roman"/>
          <w:sz w:val="24"/>
          <w:szCs w:val="24"/>
        </w:rPr>
        <w:t>K 31.</w:t>
      </w:r>
      <w:r w:rsidRPr="0024687B" w:rsidR="00E721D6">
        <w:rPr>
          <w:rFonts w:ascii="Times New Roman" w:hAnsi="Times New Roman"/>
          <w:sz w:val="24"/>
          <w:szCs w:val="24"/>
        </w:rPr>
        <w:t xml:space="preserve"> decembru </w:t>
      </w:r>
      <w:r w:rsidRPr="0024687B">
        <w:rPr>
          <w:rFonts w:ascii="Times New Roman" w:hAnsi="Times New Roman"/>
          <w:sz w:val="24"/>
          <w:szCs w:val="24"/>
        </w:rPr>
        <w:t>201</w:t>
      </w:r>
      <w:r w:rsidR="00022B75">
        <w:rPr>
          <w:rFonts w:ascii="Times New Roman" w:hAnsi="Times New Roman"/>
          <w:sz w:val="24"/>
          <w:szCs w:val="24"/>
        </w:rPr>
        <w:t>3</w:t>
      </w:r>
      <w:r w:rsidRPr="0024687B">
        <w:rPr>
          <w:rFonts w:ascii="Times New Roman" w:hAnsi="Times New Roman"/>
          <w:sz w:val="24"/>
          <w:szCs w:val="24"/>
        </w:rPr>
        <w:t xml:space="preserve"> boli </w:t>
      </w:r>
      <w:r w:rsidRPr="0024687B" w:rsidR="00436449">
        <w:rPr>
          <w:rFonts w:ascii="Times New Roman" w:hAnsi="Times New Roman"/>
          <w:sz w:val="24"/>
          <w:szCs w:val="24"/>
        </w:rPr>
        <w:t xml:space="preserve">vyčíslené podmienené záväzky podľa jednotlivých zložiek verejnej správy nasledovne: </w:t>
      </w:r>
    </w:p>
    <w:p w:rsidR="009D4A81" w:rsidRPr="00512914" w:rsidP="00512914">
      <w:pPr>
        <w:bidi w:val="0"/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512914" w:rsidR="00863D60">
        <w:rPr>
          <w:rFonts w:ascii="Times New Roman" w:hAnsi="Times New Roman"/>
          <w:sz w:val="16"/>
          <w:szCs w:val="20"/>
        </w:rPr>
        <w:t>Tab. 1</w:t>
      </w:r>
      <w:r w:rsidRPr="00512914" w:rsidR="00D62962">
        <w:rPr>
          <w:rFonts w:ascii="Times New Roman" w:hAnsi="Times New Roman"/>
          <w:sz w:val="16"/>
          <w:szCs w:val="20"/>
        </w:rPr>
        <w:tab/>
        <w:tab/>
        <w:tab/>
        <w:tab/>
        <w:t xml:space="preserve"> </w:t>
        <w:tab/>
      </w:r>
      <w:r w:rsidRPr="00512914">
        <w:rPr>
          <w:rFonts w:ascii="Times New Roman" w:hAnsi="Times New Roman"/>
          <w:sz w:val="16"/>
          <w:szCs w:val="20"/>
        </w:rPr>
        <w:tab/>
        <w:tab/>
      </w:r>
      <w:r w:rsidR="00512914">
        <w:rPr>
          <w:rFonts w:ascii="Times New Roman" w:hAnsi="Times New Roman"/>
          <w:sz w:val="16"/>
          <w:szCs w:val="20"/>
        </w:rPr>
        <w:t xml:space="preserve">     </w:t>
      </w:r>
      <w:r w:rsidRPr="00512914">
        <w:rPr>
          <w:rFonts w:ascii="Times New Roman" w:hAnsi="Times New Roman"/>
          <w:sz w:val="16"/>
          <w:szCs w:val="20"/>
        </w:rPr>
        <w:tab/>
      </w:r>
      <w:r w:rsidR="00512914">
        <w:rPr>
          <w:rFonts w:ascii="Times New Roman" w:hAnsi="Times New Roman"/>
          <w:sz w:val="16"/>
          <w:szCs w:val="20"/>
        </w:rPr>
        <w:t xml:space="preserve">                                                                  </w:t>
      </w:r>
      <w:r w:rsidRPr="00512914">
        <w:rPr>
          <w:rFonts w:ascii="Times New Roman" w:hAnsi="Times New Roman"/>
          <w:sz w:val="16"/>
          <w:szCs w:val="20"/>
        </w:rPr>
        <w:t>(v tis. eur)</w:t>
      </w: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4"/>
        <w:gridCol w:w="2123"/>
        <w:gridCol w:w="2121"/>
      </w:tblGrid>
      <w:tr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45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C45FE3" w:rsidRPr="00512914" w:rsidP="00AA37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Zložka verejnej správy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C45FE3" w:rsidRPr="00512914" w:rsidP="00C45FE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Hodnota k 31.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</w:t>
            </w: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12.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2013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C45FE3" w:rsidRPr="00512914" w:rsidP="00AA37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Hodnota k 31.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</w:t>
            </w: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12.</w:t>
            </w:r>
            <w:r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</w:t>
            </w: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2012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30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45FE3" w:rsidRPr="002B7B99" w:rsidP="0051291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2B7B99">
              <w:rPr>
                <w:rFonts w:ascii="Times New Roman" w:hAnsi="Times New Roman"/>
                <w:sz w:val="16"/>
                <w:szCs w:val="20"/>
                <w:lang w:eastAsia="sk-SK"/>
              </w:rPr>
              <w:t>Štátne rozpočtové a štátne príspevkové organizácie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45FE3" w:rsidRPr="002B7B99" w:rsidP="00675AC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="00511B8C">
              <w:rPr>
                <w:rFonts w:ascii="Times New Roman" w:hAnsi="Times New Roman"/>
                <w:sz w:val="16"/>
                <w:szCs w:val="20"/>
                <w:lang w:eastAsia="sk-SK"/>
              </w:rPr>
              <w:t>9 609 468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45FE3" w:rsidRPr="002B7B99" w:rsidP="0022441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="003220EA">
              <w:rPr>
                <w:rFonts w:ascii="Times New Roman" w:hAnsi="Times New Roman"/>
                <w:sz w:val="16"/>
                <w:szCs w:val="20"/>
                <w:lang w:eastAsia="sk-SK"/>
              </w:rPr>
              <w:t>6 612 146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30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45FE3" w:rsidRPr="002B7B99" w:rsidP="0051291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2B7B99">
              <w:rPr>
                <w:rFonts w:ascii="Times New Roman" w:hAnsi="Times New Roman"/>
                <w:sz w:val="16"/>
                <w:szCs w:val="20"/>
                <w:lang w:eastAsia="sk-SK"/>
              </w:rPr>
              <w:t>Vyššie územné celky a ich rozpočtové a príspevkové organizácie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45FE3" w:rsidRPr="002B7B99" w:rsidP="007D29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2B7B99" w:rsidR="00A457C1">
              <w:rPr>
                <w:rFonts w:ascii="Times New Roman" w:hAnsi="Times New Roman"/>
                <w:sz w:val="16"/>
                <w:szCs w:val="20"/>
                <w:lang w:eastAsia="sk-SK"/>
              </w:rPr>
              <w:t>1 </w:t>
            </w:r>
            <w:r w:rsidR="007D2918">
              <w:rPr>
                <w:rFonts w:ascii="Times New Roman" w:hAnsi="Times New Roman"/>
                <w:sz w:val="16"/>
                <w:szCs w:val="20"/>
                <w:lang w:eastAsia="sk-SK"/>
              </w:rPr>
              <w:t>006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45FE3" w:rsidRPr="002B7B99" w:rsidP="0022441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2B7B99">
              <w:rPr>
                <w:rFonts w:ascii="Times New Roman" w:hAnsi="Times New Roman"/>
                <w:sz w:val="16"/>
                <w:szCs w:val="20"/>
                <w:lang w:eastAsia="sk-SK"/>
              </w:rPr>
              <w:t>1 855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30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45FE3" w:rsidRPr="002B7B99" w:rsidP="0051291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2B7B99">
              <w:rPr>
                <w:rFonts w:ascii="Times New Roman" w:hAnsi="Times New Roman"/>
                <w:sz w:val="16"/>
                <w:szCs w:val="20"/>
                <w:lang w:eastAsia="sk-SK"/>
              </w:rPr>
              <w:t>Obce a ich rozpočtové a príspevkové organizácie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F64DE" w:rsidRPr="002B7B99" w:rsidP="002B7B9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2B7B99" w:rsidR="00A457C1">
              <w:rPr>
                <w:rFonts w:ascii="Times New Roman" w:hAnsi="Times New Roman"/>
                <w:sz w:val="16"/>
                <w:szCs w:val="20"/>
                <w:lang w:eastAsia="sk-SK"/>
              </w:rPr>
              <w:t>21</w:t>
            </w:r>
            <w:r w:rsidRPr="002B7B99">
              <w:rPr>
                <w:rFonts w:ascii="Times New Roman" w:hAnsi="Times New Roman"/>
                <w:sz w:val="16"/>
                <w:szCs w:val="20"/>
                <w:lang w:eastAsia="sk-SK"/>
              </w:rPr>
              <w:t> 165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45FE3" w:rsidRPr="002B7B99" w:rsidP="003220E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2B7B99">
              <w:rPr>
                <w:rFonts w:ascii="Times New Roman" w:hAnsi="Times New Roman"/>
                <w:sz w:val="16"/>
                <w:szCs w:val="20"/>
                <w:lang w:eastAsia="sk-SK"/>
              </w:rPr>
              <w:t>8 71</w:t>
            </w:r>
            <w:r w:rsidR="003220EA">
              <w:rPr>
                <w:rFonts w:ascii="Times New Roman" w:hAnsi="Times New Roman"/>
                <w:sz w:val="16"/>
                <w:szCs w:val="20"/>
                <w:lang w:eastAsia="sk-SK"/>
              </w:rPr>
              <w:t>6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30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45FE3" w:rsidRPr="002B7B99" w:rsidP="0051291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2B7B99">
              <w:rPr>
                <w:rFonts w:ascii="Times New Roman" w:hAnsi="Times New Roman"/>
                <w:sz w:val="16"/>
                <w:szCs w:val="20"/>
                <w:lang w:eastAsia="sk-SK"/>
              </w:rPr>
              <w:t>Ostatné subjekty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45FE3" w:rsidRPr="002B7B99" w:rsidP="0030294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2B7B99" w:rsidR="00A457C1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1 439 </w:t>
            </w:r>
            <w:r w:rsidR="0030294D">
              <w:rPr>
                <w:rFonts w:ascii="Times New Roman" w:hAnsi="Times New Roman"/>
                <w:sz w:val="16"/>
                <w:szCs w:val="20"/>
                <w:lang w:eastAsia="sk-SK"/>
              </w:rPr>
              <w:t>842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45FE3" w:rsidRPr="002B7B99" w:rsidP="0022441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2B7B99">
              <w:rPr>
                <w:rFonts w:ascii="Times New Roman" w:hAnsi="Times New Roman"/>
                <w:sz w:val="16"/>
                <w:szCs w:val="20"/>
                <w:lang w:eastAsia="sk-SK"/>
              </w:rPr>
              <w:t>1 473 02</w:t>
            </w:r>
            <w:r w:rsidR="0022441E">
              <w:rPr>
                <w:rFonts w:ascii="Times New Roman" w:hAnsi="Times New Roman"/>
                <w:sz w:val="16"/>
                <w:szCs w:val="20"/>
                <w:lang w:eastAsia="sk-SK"/>
              </w:rPr>
              <w:t>4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24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bottom"/>
            <w:hideMark/>
          </w:tcPr>
          <w:p w:rsidR="00C45FE3" w:rsidRPr="002B7B99" w:rsidP="0051291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</w:pPr>
            <w:r w:rsidRPr="002B7B99"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  <w:t xml:space="preserve">Spolu 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bottom"/>
          </w:tcPr>
          <w:p w:rsidR="00C45FE3" w:rsidRPr="002B7B99" w:rsidP="002B7B9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</w:pPr>
            <w:r w:rsidR="00511B8C"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  <w:t>11 071 481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bottom"/>
            <w:hideMark/>
          </w:tcPr>
          <w:p w:rsidR="00C45FE3" w:rsidRPr="002B7B99" w:rsidP="0022441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</w:pPr>
            <w:r w:rsidR="003220EA">
              <w:rPr>
                <w:rFonts w:ascii="Times New Roman" w:hAnsi="Times New Roman"/>
                <w:b/>
                <w:bCs/>
                <w:sz w:val="16"/>
                <w:szCs w:val="20"/>
                <w:lang w:eastAsia="sk-SK"/>
              </w:rPr>
              <w:t>8 095 741</w:t>
            </w:r>
          </w:p>
        </w:tc>
      </w:tr>
    </w:tbl>
    <w:p w:rsidR="00863D60" w:rsidRPr="00512914" w:rsidP="00512914">
      <w:pPr>
        <w:bidi w:val="0"/>
        <w:spacing w:after="0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512914" w:rsidR="00DD788A">
        <w:rPr>
          <w:rFonts w:ascii="Times New Roman" w:hAnsi="Times New Roman"/>
          <w:sz w:val="16"/>
          <w:szCs w:val="20"/>
        </w:rPr>
        <w:t>Zdroj: MF</w:t>
      </w:r>
      <w:r w:rsidR="00512914">
        <w:rPr>
          <w:rFonts w:ascii="Times New Roman" w:hAnsi="Times New Roman"/>
          <w:sz w:val="16"/>
          <w:szCs w:val="20"/>
        </w:rPr>
        <w:t xml:space="preserve"> </w:t>
      </w:r>
      <w:r w:rsidRPr="00512914" w:rsidR="00DD788A">
        <w:rPr>
          <w:rFonts w:ascii="Times New Roman" w:hAnsi="Times New Roman"/>
          <w:sz w:val="16"/>
          <w:szCs w:val="20"/>
        </w:rPr>
        <w:t>SR</w:t>
      </w:r>
    </w:p>
    <w:p w:rsidR="00512914" w:rsidP="004875F9">
      <w:pPr>
        <w:bidi w:val="0"/>
        <w:spacing w:after="0"/>
        <w:ind w:left="709" w:hanging="709"/>
        <w:jc w:val="both"/>
        <w:rPr>
          <w:rFonts w:ascii="Times New Roman" w:hAnsi="Times New Roman"/>
          <w:sz w:val="16"/>
          <w:szCs w:val="20"/>
        </w:rPr>
      </w:pPr>
      <w:r w:rsidRPr="00512914" w:rsidR="00273391">
        <w:rPr>
          <w:rFonts w:ascii="Times New Roman" w:hAnsi="Times New Roman"/>
          <w:sz w:val="16"/>
          <w:szCs w:val="20"/>
        </w:rPr>
        <w:t xml:space="preserve">Poznámka: Okrem uvedených podmienených záväzkov evidujú viaceré kapitoly </w:t>
      </w:r>
      <w:r w:rsidR="00AD304A">
        <w:rPr>
          <w:rFonts w:ascii="Times New Roman" w:hAnsi="Times New Roman"/>
          <w:sz w:val="16"/>
          <w:szCs w:val="20"/>
        </w:rPr>
        <w:t>štátneho rozpočtu</w:t>
      </w:r>
      <w:r w:rsidRPr="00512914" w:rsidR="00273391">
        <w:rPr>
          <w:rFonts w:ascii="Times New Roman" w:hAnsi="Times New Roman"/>
          <w:sz w:val="16"/>
          <w:szCs w:val="20"/>
        </w:rPr>
        <w:t xml:space="preserve"> právne spory, ktorých výška zatiaľ nebola vyčíslená. </w:t>
      </w:r>
      <w:r w:rsidR="00906CB1">
        <w:rPr>
          <w:rFonts w:ascii="Times New Roman" w:hAnsi="Times New Roman"/>
          <w:sz w:val="16"/>
          <w:szCs w:val="20"/>
        </w:rPr>
        <w:t xml:space="preserve">Údaje k 31.12.2012 boli revidované na základe </w:t>
      </w:r>
      <w:r w:rsidR="00983AE3">
        <w:rPr>
          <w:rFonts w:ascii="Times New Roman" w:hAnsi="Times New Roman"/>
          <w:sz w:val="16"/>
          <w:szCs w:val="20"/>
        </w:rPr>
        <w:t xml:space="preserve">podkladov k </w:t>
      </w:r>
      <w:r w:rsidR="00906CB1">
        <w:rPr>
          <w:rFonts w:ascii="Times New Roman" w:hAnsi="Times New Roman"/>
          <w:sz w:val="16"/>
          <w:szCs w:val="20"/>
        </w:rPr>
        <w:t>Súhrnnej výročnej správ</w:t>
      </w:r>
      <w:r w:rsidR="00983AE3">
        <w:rPr>
          <w:rFonts w:ascii="Times New Roman" w:hAnsi="Times New Roman"/>
          <w:sz w:val="16"/>
          <w:szCs w:val="20"/>
        </w:rPr>
        <w:t>e</w:t>
      </w:r>
      <w:r w:rsidR="00906CB1">
        <w:rPr>
          <w:rFonts w:ascii="Times New Roman" w:hAnsi="Times New Roman"/>
          <w:sz w:val="16"/>
          <w:szCs w:val="20"/>
        </w:rPr>
        <w:t xml:space="preserve"> SR za rok 2012</w:t>
      </w:r>
      <w:r w:rsidR="00983AE3">
        <w:rPr>
          <w:rFonts w:ascii="Times New Roman" w:hAnsi="Times New Roman"/>
          <w:sz w:val="16"/>
          <w:szCs w:val="20"/>
        </w:rPr>
        <w:t>.</w:t>
      </w:r>
      <w:r w:rsidR="00906CB1">
        <w:rPr>
          <w:rFonts w:ascii="Times New Roman" w:hAnsi="Times New Roman"/>
          <w:sz w:val="16"/>
          <w:szCs w:val="20"/>
        </w:rPr>
        <w:t xml:space="preserve"> </w:t>
      </w:r>
    </w:p>
    <w:p w:rsidR="00936B7B" w:rsidRPr="00512914" w:rsidP="00512914">
      <w:pPr>
        <w:bidi w:val="0"/>
        <w:spacing w:after="0"/>
        <w:ind w:left="567" w:hanging="567"/>
        <w:jc w:val="both"/>
        <w:rPr>
          <w:rFonts w:ascii="Times New Roman" w:hAnsi="Times New Roman"/>
          <w:sz w:val="16"/>
          <w:szCs w:val="20"/>
        </w:rPr>
      </w:pPr>
    </w:p>
    <w:p w:rsidR="00D63423" w:rsidP="00863D60">
      <w:pPr>
        <w:bidi w:val="0"/>
        <w:spacing w:after="0"/>
        <w:jc w:val="both"/>
        <w:rPr>
          <w:rFonts w:ascii="Times New Roman" w:hAnsi="Times New Roman"/>
          <w:sz w:val="16"/>
          <w:szCs w:val="20"/>
        </w:rPr>
      </w:pPr>
    </w:p>
    <w:p w:rsidR="00863D60" w:rsidRPr="00512914" w:rsidP="00863D60">
      <w:pPr>
        <w:bidi w:val="0"/>
        <w:spacing w:after="0"/>
        <w:jc w:val="both"/>
        <w:rPr>
          <w:rFonts w:ascii="Times New Roman" w:hAnsi="Times New Roman"/>
          <w:sz w:val="16"/>
          <w:szCs w:val="20"/>
        </w:rPr>
      </w:pPr>
      <w:r w:rsidRPr="00512914">
        <w:rPr>
          <w:rFonts w:ascii="Times New Roman" w:hAnsi="Times New Roman"/>
          <w:sz w:val="16"/>
          <w:szCs w:val="20"/>
        </w:rPr>
        <w:t>Tab. 2</w:t>
        <w:tab/>
        <w:tab/>
        <w:tab/>
        <w:tab/>
        <w:tab/>
        <w:tab/>
        <w:tab/>
        <w:tab/>
      </w:r>
      <w:r w:rsidR="00936B7B">
        <w:rPr>
          <w:rFonts w:ascii="Times New Roman" w:hAnsi="Times New Roman"/>
          <w:sz w:val="16"/>
          <w:szCs w:val="20"/>
        </w:rPr>
        <w:t xml:space="preserve">   </w:t>
      </w:r>
      <w:r w:rsidRPr="00512914">
        <w:rPr>
          <w:rFonts w:ascii="Times New Roman" w:hAnsi="Times New Roman"/>
          <w:sz w:val="16"/>
          <w:szCs w:val="20"/>
        </w:rPr>
        <w:tab/>
        <w:tab/>
        <w:tab/>
      </w:r>
      <w:r w:rsidR="00936B7B">
        <w:rPr>
          <w:rFonts w:ascii="Times New Roman" w:hAnsi="Times New Roman"/>
          <w:sz w:val="16"/>
          <w:szCs w:val="20"/>
        </w:rPr>
        <w:t xml:space="preserve">             </w:t>
      </w:r>
      <w:r w:rsidRPr="00512914">
        <w:rPr>
          <w:rFonts w:ascii="Times New Roman" w:hAnsi="Times New Roman"/>
          <w:sz w:val="16"/>
          <w:szCs w:val="20"/>
        </w:rPr>
        <w:t>(v tis. eur)</w:t>
      </w: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4729"/>
        <w:gridCol w:w="2094"/>
      </w:tblGrid>
      <w:tr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84"/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8069D2" w:rsidRPr="00512914" w:rsidP="00863D60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Subjekt verejnej správy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8069D2" w:rsidRPr="00512914" w:rsidP="00863D60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Podmienené záväzky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8069D2" w:rsidRPr="00512914" w:rsidP="00863D6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sk-SK"/>
              </w:rPr>
            </w:pPr>
            <w:r w:rsidRPr="00512914" w:rsidR="00863D60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Hodnota k 31.</w:t>
            </w:r>
            <w:r w:rsid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</w:t>
            </w:r>
            <w:r w:rsidRPr="00512914" w:rsidR="00863D60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12.</w:t>
            </w:r>
            <w:r w:rsidR="0051291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 xml:space="preserve"> </w:t>
            </w:r>
            <w:r w:rsidR="00027694">
              <w:rPr>
                <w:rFonts w:ascii="Times New Roman" w:hAnsi="Times New Roman"/>
                <w:b/>
                <w:sz w:val="16"/>
                <w:szCs w:val="20"/>
                <w:lang w:eastAsia="sk-SK"/>
              </w:rPr>
              <w:t>2013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1AC" w:rsidRPr="00675ACB" w:rsidP="00584C3C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  <w:p w:rsidR="00E141AC" w:rsidRPr="003863AC" w:rsidP="00584C3C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  <w:r w:rsidRPr="00675ACB">
              <w:rPr>
                <w:rFonts w:ascii="Times New Roman" w:hAnsi="Times New Roman"/>
                <w:sz w:val="16"/>
                <w:szCs w:val="20"/>
                <w:lang w:eastAsia="sk-SK"/>
              </w:rPr>
              <w:t>Ministerstvo financií SR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584C3C" w:rsidP="00975658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584C3C">
              <w:rPr>
                <w:rFonts w:ascii="Times New Roman" w:hAnsi="Times New Roman"/>
                <w:sz w:val="16"/>
                <w:szCs w:val="20"/>
                <w:lang w:eastAsia="sk-SK"/>
              </w:rPr>
              <w:t>Európsky mechanizmus pre stabilitu</w:t>
            </w: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(ESM)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584C3C" w:rsidP="007535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584C3C">
              <w:rPr>
                <w:rFonts w:ascii="Times New Roman" w:hAnsi="Times New Roman"/>
                <w:sz w:val="16"/>
                <w:szCs w:val="20"/>
                <w:lang w:eastAsia="sk-SK"/>
              </w:rPr>
              <w:t>5 109 000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675ACB" w:rsidP="00975658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675ACB">
              <w:rPr>
                <w:rFonts w:ascii="Times New Roman" w:hAnsi="Times New Roman"/>
                <w:sz w:val="16"/>
                <w:szCs w:val="20"/>
                <w:lang w:eastAsia="sk-SK"/>
              </w:rPr>
              <w:t>Európsky nástroj finančnej stability (EFSF)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675ACB" w:rsidP="007535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675ACB">
              <w:rPr>
                <w:rFonts w:ascii="Times New Roman" w:hAnsi="Times New Roman"/>
                <w:sz w:val="16"/>
                <w:szCs w:val="20"/>
                <w:lang w:eastAsia="sk-SK"/>
              </w:rPr>
              <w:t>2 188 070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675ACB" w:rsidP="00975658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675ACB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Arbitráž s akcionármi ZP Union 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511B8C" w:rsidP="007535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511B8C">
              <w:rPr>
                <w:rFonts w:ascii="Times New Roman" w:hAnsi="Times New Roman"/>
                <w:sz w:val="16"/>
                <w:szCs w:val="20"/>
                <w:lang w:eastAsia="sk-SK"/>
              </w:rPr>
              <w:t>26 000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675ACB" w:rsidP="00975658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675ACB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Arbitráž s akcionármi bývalej ZP Apollo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511B8C" w:rsidP="007535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511B8C">
              <w:rPr>
                <w:rFonts w:ascii="Times New Roman" w:hAnsi="Times New Roman"/>
                <w:sz w:val="16"/>
                <w:szCs w:val="20"/>
                <w:lang w:eastAsia="sk-SK"/>
              </w:rPr>
              <w:t>131 400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675ACB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675ACB">
              <w:rPr>
                <w:rFonts w:ascii="Times New Roman" w:hAnsi="Times New Roman"/>
                <w:sz w:val="16"/>
                <w:szCs w:val="20"/>
                <w:lang w:eastAsia="sk-SK"/>
              </w:rPr>
              <w:t>Arbitráž s akcionármi U.S. Steel Košice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511B8C" w:rsidP="007535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511B8C">
              <w:rPr>
                <w:rFonts w:ascii="Times New Roman" w:hAnsi="Times New Roman"/>
                <w:sz w:val="16"/>
                <w:szCs w:val="20"/>
                <w:lang w:eastAsia="sk-SK"/>
              </w:rPr>
              <w:t>257 439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B436AD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B436AD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Členstvo v EBOR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511B8C" w:rsidP="007535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511B8C">
              <w:rPr>
                <w:rFonts w:ascii="Times New Roman" w:hAnsi="Times New Roman"/>
                <w:sz w:val="16"/>
                <w:szCs w:val="20"/>
                <w:lang w:eastAsia="sk-SK"/>
              </w:rPr>
              <w:t>101 359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B436AD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B436AD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Členstvo v RB RE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511B8C" w:rsidP="00B436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511B8C">
              <w:rPr>
                <w:rFonts w:ascii="Times New Roman" w:hAnsi="Times New Roman"/>
                <w:sz w:val="16"/>
                <w:szCs w:val="20"/>
                <w:lang w:eastAsia="sk-SK"/>
              </w:rPr>
              <w:t>16 853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yellow"/>
                <w:lang w:eastAsia="sk-SK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B436AD" w:rsidP="00B63A0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B436AD">
              <w:rPr>
                <w:rFonts w:ascii="Times New Roman" w:hAnsi="Times New Roman"/>
                <w:sz w:val="16"/>
                <w:szCs w:val="20"/>
                <w:lang w:eastAsia="sk-SK"/>
              </w:rPr>
              <w:t>Členstvo v MBHS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RPr="00511B8C" w:rsidP="00B436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511B8C">
              <w:rPr>
                <w:rFonts w:ascii="Times New Roman" w:hAnsi="Times New Roman"/>
                <w:sz w:val="16"/>
                <w:szCs w:val="20"/>
                <w:lang w:eastAsia="sk-SK"/>
              </w:rPr>
              <w:t>11 526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420"/>
          <w:jc w:val="center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P="00675ACB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Členstvo v MIGA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P="00447B5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2 485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420"/>
          <w:jc w:val="center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E141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Členstvo v MIB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141AC" w:rsidP="00447B5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47 612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420"/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7F1D36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Kancelária národnej rady SR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F1D36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Existujúce a hroziace súdne spory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F1D36" w:rsidP="009B3B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>
              <w:rPr>
                <w:rFonts w:ascii="Times New Roman" w:hAnsi="Times New Roman"/>
                <w:sz w:val="16"/>
                <w:szCs w:val="20"/>
                <w:lang w:eastAsia="sk-SK"/>
              </w:rPr>
              <w:t>7</w:t>
            </w:r>
            <w:r w:rsidR="00447B52">
              <w:rPr>
                <w:rFonts w:ascii="Times New Roman" w:hAnsi="Times New Roman"/>
                <w:sz w:val="16"/>
                <w:szCs w:val="20"/>
                <w:lang w:eastAsia="sk-SK"/>
              </w:rPr>
              <w:t>24 73</w:t>
            </w:r>
            <w:r w:rsidR="009B3B25">
              <w:rPr>
                <w:rFonts w:ascii="Times New Roman" w:hAnsi="Times New Roman"/>
                <w:sz w:val="16"/>
                <w:szCs w:val="20"/>
                <w:lang w:eastAsia="sk-SK"/>
              </w:rPr>
              <w:t>5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420"/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8069D2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>Fond národného majetku</w:t>
            </w:r>
            <w:r w:rsidRPr="003863AC" w:rsidR="00AD304A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SR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069D2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>Ručenie vyplývajúce z § 15 ods.4 zákona č. 92/1991 Zb.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069D2" w:rsidRPr="00512914" w:rsidP="0002769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="009B3B25">
              <w:rPr>
                <w:rFonts w:ascii="Times New Roman" w:hAnsi="Times New Roman"/>
                <w:sz w:val="16"/>
                <w:szCs w:val="20"/>
                <w:lang w:eastAsia="sk-SK"/>
              </w:rPr>
              <w:t>1 114 433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8069D2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069D2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>Právne spory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069D2" w:rsidRPr="00512914" w:rsidP="00C316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="009B3B25">
              <w:rPr>
                <w:rFonts w:ascii="Times New Roman" w:hAnsi="Times New Roman"/>
                <w:sz w:val="16"/>
                <w:szCs w:val="20"/>
                <w:lang w:eastAsia="sk-SK"/>
              </w:rPr>
              <w:t>208 543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069D2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069D2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>Nevyrovnané reštitučné nároky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069D2" w:rsidRPr="00512914" w:rsidP="009B3B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="00027694">
              <w:rPr>
                <w:rFonts w:ascii="Times New Roman" w:hAnsi="Times New Roman"/>
                <w:sz w:val="16"/>
                <w:szCs w:val="20"/>
                <w:lang w:eastAsia="sk-SK"/>
              </w:rPr>
              <w:t>2</w:t>
            </w:r>
            <w:r w:rsidR="009B3B25">
              <w:rPr>
                <w:rFonts w:ascii="Times New Roman" w:hAnsi="Times New Roman"/>
                <w:sz w:val="16"/>
                <w:szCs w:val="20"/>
                <w:lang w:eastAsia="sk-SK"/>
              </w:rPr>
              <w:t>7</w:t>
            </w:r>
          </w:p>
        </w:tc>
      </w:tr>
      <w:tr>
        <w:tblPrEx>
          <w:tblW w:w="5000" w:type="pct"/>
          <w:jc w:val="center"/>
          <w:tblLook w:val="04A0"/>
        </w:tblPrEx>
        <w:trPr>
          <w:trHeight w:val="340"/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336E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>Slovenský pozemkový fond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336E" w:rsidRPr="003863AC" w:rsidP="00753544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3863AC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Právne spory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336E" w:rsidRPr="00512914" w:rsidP="0002769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  <w:lang w:eastAsia="sk-SK"/>
              </w:rPr>
            </w:pPr>
            <w:r w:rsidRPr="00512914">
              <w:rPr>
                <w:rFonts w:ascii="Times New Roman" w:hAnsi="Times New Roman"/>
                <w:sz w:val="16"/>
                <w:szCs w:val="20"/>
                <w:lang w:eastAsia="sk-SK"/>
              </w:rPr>
              <w:t>116</w:t>
            </w:r>
            <w:r w:rsidR="00027694">
              <w:rPr>
                <w:rFonts w:ascii="Times New Roman" w:hAnsi="Times New Roman"/>
                <w:sz w:val="16"/>
                <w:szCs w:val="20"/>
                <w:lang w:eastAsia="sk-SK"/>
              </w:rPr>
              <w:t xml:space="preserve"> 131</w:t>
            </w:r>
          </w:p>
        </w:tc>
      </w:tr>
    </w:tbl>
    <w:p w:rsidR="008069D2" w:rsidRPr="00512914" w:rsidP="00E721D6">
      <w:pPr>
        <w:bidi w:val="0"/>
        <w:spacing w:after="0" w:line="240" w:lineRule="auto"/>
        <w:rPr>
          <w:rFonts w:ascii="Times New Roman" w:hAnsi="Times New Roman"/>
          <w:sz w:val="16"/>
          <w:szCs w:val="20"/>
        </w:rPr>
      </w:pPr>
      <w:r w:rsidRPr="00512914">
        <w:rPr>
          <w:rFonts w:ascii="Times New Roman" w:hAnsi="Times New Roman"/>
          <w:sz w:val="16"/>
          <w:szCs w:val="20"/>
        </w:rPr>
        <w:t>Zdroj: MF SR</w:t>
      </w:r>
      <w:r w:rsidRPr="00512914" w:rsidR="004733CE">
        <w:rPr>
          <w:rFonts w:ascii="Times New Roman" w:hAnsi="Times New Roman"/>
          <w:sz w:val="16"/>
          <w:szCs w:val="20"/>
        </w:rPr>
        <w:t xml:space="preserve">, </w:t>
      </w:r>
      <w:r w:rsidRPr="00512914" w:rsidR="001708DA">
        <w:rPr>
          <w:rFonts w:ascii="Times New Roman" w:hAnsi="Times New Roman"/>
          <w:sz w:val="16"/>
          <w:szCs w:val="20"/>
        </w:rPr>
        <w:t>FNM SR</w:t>
      </w:r>
      <w:r w:rsidRPr="00512914" w:rsidR="00F0336E">
        <w:rPr>
          <w:rFonts w:ascii="Times New Roman" w:hAnsi="Times New Roman"/>
          <w:sz w:val="16"/>
          <w:szCs w:val="20"/>
        </w:rPr>
        <w:t>, SPF</w:t>
      </w:r>
    </w:p>
    <w:p w:rsidR="00E721D6" w:rsidRPr="0024687B" w:rsidP="00E721D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0CB" w:rsidP="00D26566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87B" w:rsidR="00D26566">
        <w:rPr>
          <w:rFonts w:ascii="Times New Roman" w:hAnsi="Times New Roman"/>
          <w:sz w:val="24"/>
          <w:szCs w:val="24"/>
        </w:rPr>
        <w:t xml:space="preserve">V rámci verejnej správy vykazuje najvyššie podmienené záväzky Ministerstvo financií </w:t>
      </w:r>
      <w:r w:rsidR="00711985">
        <w:rPr>
          <w:rFonts w:ascii="Times New Roman" w:hAnsi="Times New Roman"/>
          <w:sz w:val="24"/>
          <w:szCs w:val="24"/>
        </w:rPr>
        <w:t xml:space="preserve">SR </w:t>
      </w:r>
      <w:r w:rsidRPr="0024687B" w:rsidR="00D26566">
        <w:rPr>
          <w:rFonts w:ascii="Times New Roman" w:hAnsi="Times New Roman"/>
          <w:sz w:val="24"/>
          <w:szCs w:val="24"/>
        </w:rPr>
        <w:t>z</w:t>
      </w:r>
      <w:r w:rsidR="00DB7B66">
        <w:rPr>
          <w:rFonts w:ascii="Times New Roman" w:hAnsi="Times New Roman"/>
          <w:sz w:val="24"/>
          <w:szCs w:val="24"/>
        </w:rPr>
        <w:t> poskytnutých záruk EFSF a upísan</w:t>
      </w:r>
      <w:r w:rsidR="008B07B2">
        <w:rPr>
          <w:rFonts w:ascii="Times New Roman" w:hAnsi="Times New Roman"/>
          <w:sz w:val="24"/>
          <w:szCs w:val="24"/>
        </w:rPr>
        <w:t>ej</w:t>
      </w:r>
      <w:r w:rsidR="00DB7B66">
        <w:rPr>
          <w:rFonts w:ascii="Times New Roman" w:hAnsi="Times New Roman"/>
          <w:sz w:val="24"/>
          <w:szCs w:val="24"/>
        </w:rPr>
        <w:t xml:space="preserve"> </w:t>
      </w:r>
      <w:r w:rsidR="008B07B2">
        <w:rPr>
          <w:rFonts w:ascii="Times New Roman" w:hAnsi="Times New Roman"/>
          <w:sz w:val="24"/>
          <w:szCs w:val="24"/>
        </w:rPr>
        <w:t>kapitálovej</w:t>
      </w:r>
      <w:r w:rsidR="00DB7B66">
        <w:rPr>
          <w:rFonts w:ascii="Times New Roman" w:hAnsi="Times New Roman"/>
          <w:sz w:val="24"/>
          <w:szCs w:val="24"/>
        </w:rPr>
        <w:t xml:space="preserve"> </w:t>
      </w:r>
      <w:r w:rsidR="008B07B2">
        <w:rPr>
          <w:rFonts w:ascii="Times New Roman" w:hAnsi="Times New Roman"/>
          <w:sz w:val="24"/>
          <w:szCs w:val="24"/>
        </w:rPr>
        <w:t xml:space="preserve">účasti </w:t>
      </w:r>
      <w:r w:rsidR="00DB7B66">
        <w:rPr>
          <w:rFonts w:ascii="Times New Roman" w:hAnsi="Times New Roman"/>
          <w:sz w:val="24"/>
          <w:szCs w:val="24"/>
        </w:rPr>
        <w:t>splatn</w:t>
      </w:r>
      <w:r w:rsidR="008B07B2">
        <w:rPr>
          <w:rFonts w:ascii="Times New Roman" w:hAnsi="Times New Roman"/>
          <w:sz w:val="24"/>
          <w:szCs w:val="24"/>
        </w:rPr>
        <w:t>ej</w:t>
      </w:r>
      <w:r w:rsidR="00DB7B66">
        <w:rPr>
          <w:rFonts w:ascii="Times New Roman" w:hAnsi="Times New Roman"/>
          <w:sz w:val="24"/>
          <w:szCs w:val="24"/>
        </w:rPr>
        <w:t xml:space="preserve"> na vyzvanie v ESM. Ďalej ide o </w:t>
      </w:r>
      <w:r w:rsidRPr="0024687B" w:rsidR="00D26566">
        <w:rPr>
          <w:rFonts w:ascii="Times New Roman" w:hAnsi="Times New Roman"/>
          <w:sz w:val="24"/>
          <w:szCs w:val="24"/>
        </w:rPr>
        <w:t>medzinárodn</w:t>
      </w:r>
      <w:r w:rsidR="00DB7B66">
        <w:rPr>
          <w:rFonts w:ascii="Times New Roman" w:hAnsi="Times New Roman"/>
          <w:sz w:val="24"/>
          <w:szCs w:val="24"/>
        </w:rPr>
        <w:t>é</w:t>
      </w:r>
      <w:r w:rsidRPr="0024687B" w:rsidR="00D26566">
        <w:rPr>
          <w:rFonts w:ascii="Times New Roman" w:hAnsi="Times New Roman"/>
          <w:sz w:val="24"/>
          <w:szCs w:val="24"/>
        </w:rPr>
        <w:t xml:space="preserve"> investičn</w:t>
      </w:r>
      <w:r w:rsidR="00DB7B66">
        <w:rPr>
          <w:rFonts w:ascii="Times New Roman" w:hAnsi="Times New Roman"/>
          <w:sz w:val="24"/>
          <w:szCs w:val="24"/>
        </w:rPr>
        <w:t>é</w:t>
      </w:r>
      <w:r w:rsidRPr="0024687B" w:rsidR="00D26566">
        <w:rPr>
          <w:rFonts w:ascii="Times New Roman" w:hAnsi="Times New Roman"/>
          <w:sz w:val="24"/>
          <w:szCs w:val="24"/>
        </w:rPr>
        <w:t xml:space="preserve"> arbitráž</w:t>
      </w:r>
      <w:r w:rsidR="00DB7B66">
        <w:rPr>
          <w:rFonts w:ascii="Times New Roman" w:hAnsi="Times New Roman"/>
          <w:sz w:val="24"/>
          <w:szCs w:val="24"/>
        </w:rPr>
        <w:t>e</w:t>
      </w:r>
      <w:r w:rsidRPr="0024687B" w:rsidR="00D26566">
        <w:rPr>
          <w:rFonts w:ascii="Times New Roman" w:hAnsi="Times New Roman"/>
          <w:sz w:val="24"/>
          <w:szCs w:val="24"/>
        </w:rPr>
        <w:t>, ktoré vznikajú domnelým porušením bilaterálnych investičných dohôd uzatváraných medzi suverénnymi štátmi n</w:t>
      </w:r>
      <w:r>
        <w:rPr>
          <w:rFonts w:ascii="Times New Roman" w:hAnsi="Times New Roman"/>
          <w:sz w:val="24"/>
          <w:szCs w:val="24"/>
        </w:rPr>
        <w:t>a podporu a ochranu investícií.</w:t>
      </w:r>
      <w:r w:rsidR="00C632F3">
        <w:rPr>
          <w:rFonts w:ascii="Times New Roman" w:hAnsi="Times New Roman"/>
          <w:sz w:val="24"/>
          <w:szCs w:val="24"/>
        </w:rPr>
        <w:t xml:space="preserve">  V porovnaní s údajmi uvedenými v tabuľke č. 2 došlo v priebehu roka 2014 k nasledovným zmenám: </w:t>
      </w:r>
    </w:p>
    <w:p w:rsidR="00D130CB" w:rsidRPr="002D0172" w:rsidP="002D0172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2F3">
        <w:rPr>
          <w:rFonts w:ascii="Times New Roman" w:hAnsi="Times New Roman"/>
          <w:sz w:val="24"/>
          <w:szCs w:val="24"/>
        </w:rPr>
        <w:t>A</w:t>
      </w:r>
      <w:r w:rsidRPr="002D0172" w:rsidR="0044476B">
        <w:rPr>
          <w:rFonts w:ascii="Times New Roman" w:hAnsi="Times New Roman"/>
          <w:sz w:val="24"/>
          <w:szCs w:val="24"/>
        </w:rPr>
        <w:t>rbitráž s</w:t>
      </w:r>
      <w:r w:rsidRPr="009D13E3" w:rsidR="0044476B">
        <w:rPr>
          <w:rFonts w:ascii="Times New Roman" w:hAnsi="Times New Roman"/>
          <w:sz w:val="24"/>
          <w:szCs w:val="24"/>
        </w:rPr>
        <w:t> </w:t>
      </w:r>
      <w:r w:rsidRPr="002D0172" w:rsidR="0044476B">
        <w:rPr>
          <w:rFonts w:ascii="Times New Roman" w:hAnsi="Times New Roman"/>
          <w:sz w:val="24"/>
          <w:szCs w:val="24"/>
        </w:rPr>
        <w:t>akcionármi bývalej zdravotnej poisťovne Apollo</w:t>
      </w:r>
      <w:r w:rsidRPr="002D0172">
        <w:rPr>
          <w:rFonts w:ascii="Times New Roman" w:hAnsi="Times New Roman"/>
          <w:sz w:val="24"/>
          <w:szCs w:val="24"/>
        </w:rPr>
        <w:t xml:space="preserve"> bola ukončená jurisdikčným  rozhodnutím arbitrážneho tribunálu zo 4.6.2014, ktorým bol zamietnutý celý žalovaný nárok z</w:t>
      </w:r>
      <w:r w:rsidRPr="009D13E3">
        <w:rPr>
          <w:rFonts w:ascii="Times New Roman" w:hAnsi="Times New Roman"/>
          <w:sz w:val="24"/>
          <w:szCs w:val="24"/>
        </w:rPr>
        <w:t> </w:t>
      </w:r>
      <w:r w:rsidRPr="002D0172">
        <w:rPr>
          <w:rFonts w:ascii="Times New Roman" w:hAnsi="Times New Roman"/>
          <w:sz w:val="24"/>
          <w:szCs w:val="24"/>
        </w:rPr>
        <w:t xml:space="preserve">dôvodu nedostatku jurisdikcie tribunálu. </w:t>
      </w:r>
    </w:p>
    <w:p w:rsidR="00D130CB" w:rsidRPr="002D0172" w:rsidP="002D0172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172">
        <w:rPr>
          <w:rFonts w:ascii="Times New Roman" w:hAnsi="Times New Roman"/>
          <w:sz w:val="24"/>
          <w:szCs w:val="24"/>
        </w:rPr>
        <w:t xml:space="preserve">Arbitráž </w:t>
      </w:r>
      <w:r w:rsidRPr="002D0172" w:rsidR="0044476B">
        <w:rPr>
          <w:rFonts w:ascii="Times New Roman" w:hAnsi="Times New Roman"/>
          <w:sz w:val="24"/>
          <w:szCs w:val="24"/>
        </w:rPr>
        <w:t>s</w:t>
      </w:r>
      <w:r w:rsidRPr="009D13E3" w:rsidR="0044476B">
        <w:rPr>
          <w:rFonts w:ascii="Times New Roman" w:hAnsi="Times New Roman"/>
          <w:sz w:val="24"/>
          <w:szCs w:val="24"/>
        </w:rPr>
        <w:t> </w:t>
      </w:r>
      <w:r w:rsidRPr="002D0172" w:rsidR="0044476B">
        <w:rPr>
          <w:rFonts w:ascii="Times New Roman" w:hAnsi="Times New Roman"/>
          <w:sz w:val="24"/>
          <w:szCs w:val="24"/>
        </w:rPr>
        <w:t>akcionármi U.S. Steel Košice, a.s. bola</w:t>
      </w:r>
      <w:r w:rsidRPr="002D0172">
        <w:rPr>
          <w:rFonts w:ascii="Times New Roman" w:hAnsi="Times New Roman"/>
          <w:sz w:val="24"/>
          <w:szCs w:val="24"/>
        </w:rPr>
        <w:t xml:space="preserve"> ukončená procedurálnym rozhodnutím arbitrážneho tribunálu zo 16.4.2014 na základe stiahnutia žaloby žalobcom. Výsledkom je, že SR nemusí platiť U.S. Steel Košice, a.s. žiadnu náhradu škody a</w:t>
      </w:r>
      <w:r w:rsidRPr="009D13E3">
        <w:rPr>
          <w:rFonts w:ascii="Times New Roman" w:hAnsi="Times New Roman"/>
          <w:sz w:val="24"/>
          <w:szCs w:val="24"/>
        </w:rPr>
        <w:t> </w:t>
      </w:r>
      <w:r w:rsidRPr="002D0172">
        <w:rPr>
          <w:rFonts w:ascii="Times New Roman" w:hAnsi="Times New Roman"/>
          <w:sz w:val="24"/>
          <w:szCs w:val="24"/>
        </w:rPr>
        <w:t>že strany sporu si samy znášajú svoje trovy konania.</w:t>
      </w:r>
    </w:p>
    <w:p w:rsidR="00C632F3" w:rsidRPr="002D0172" w:rsidP="002D0172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27.6.</w:t>
      </w:r>
      <w:r w:rsidRPr="002D0172">
        <w:rPr>
          <w:rFonts w:ascii="Times New Roman" w:hAnsi="Times New Roman"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>bola doručená Medzinárodnému stredisku pre riešenie sporov z investícií (ICSID) žiadosť o arbitráž, ktorú podali americká spoločnosť EuroGas Inc. a kanadská spoločnosť Belmont Resources Inc</w:t>
      </w:r>
      <w:r w:rsidR="00CE0825">
        <w:rPr>
          <w:rFonts w:ascii="Times New Roman" w:hAnsi="Times New Roman"/>
          <w:sz w:val="24"/>
          <w:szCs w:val="24"/>
        </w:rPr>
        <w:t>. Výška požadovanej náhrady nebola zatiaľ oficiálne oznámená</w:t>
      </w:r>
      <w:r w:rsidR="002D0172">
        <w:rPr>
          <w:rFonts w:ascii="Times New Roman" w:hAnsi="Times New Roman"/>
          <w:sz w:val="24"/>
          <w:szCs w:val="24"/>
        </w:rPr>
        <w:t>.</w:t>
      </w:r>
      <w:r w:rsidR="00CE0825">
        <w:rPr>
          <w:rFonts w:ascii="Times New Roman" w:hAnsi="Times New Roman"/>
          <w:sz w:val="24"/>
          <w:szCs w:val="24"/>
        </w:rPr>
        <w:t xml:space="preserve"> </w:t>
      </w:r>
    </w:p>
    <w:p w:rsidR="00D26566" w:rsidRPr="0024687B" w:rsidP="00D26566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="0044476B">
        <w:rPr>
          <w:rFonts w:ascii="Times New Roman" w:hAnsi="Times New Roman"/>
          <w:sz w:val="24"/>
          <w:szCs w:val="24"/>
        </w:rPr>
        <w:t xml:space="preserve">   </w:t>
      </w:r>
    </w:p>
    <w:p w:rsidR="008069D2" w:rsidRPr="0024687B" w:rsidP="00AE673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red"/>
        </w:rPr>
      </w:pPr>
      <w:r w:rsidRPr="0024687B">
        <w:rPr>
          <w:rFonts w:ascii="Times New Roman" w:hAnsi="Times New Roman"/>
          <w:sz w:val="24"/>
          <w:szCs w:val="24"/>
        </w:rPr>
        <w:t xml:space="preserve">S členstvom </w:t>
      </w:r>
      <w:r w:rsidR="00AD304A">
        <w:rPr>
          <w:rFonts w:ascii="Times New Roman" w:hAnsi="Times New Roman"/>
          <w:sz w:val="24"/>
          <w:szCs w:val="24"/>
        </w:rPr>
        <w:t>Slovenskej republiky</w:t>
      </w:r>
      <w:r w:rsidRPr="0024687B">
        <w:rPr>
          <w:rFonts w:ascii="Times New Roman" w:hAnsi="Times New Roman"/>
          <w:sz w:val="24"/>
          <w:szCs w:val="24"/>
        </w:rPr>
        <w:t xml:space="preserve"> v</w:t>
      </w:r>
      <w:r w:rsidRPr="0024687B" w:rsidR="00D26566">
        <w:rPr>
          <w:rFonts w:ascii="Times New Roman" w:hAnsi="Times New Roman"/>
          <w:sz w:val="24"/>
          <w:szCs w:val="24"/>
        </w:rPr>
        <w:t> medzinárodných finančných inštitúciách</w:t>
      </w:r>
      <w:r w:rsidRPr="0024687B">
        <w:rPr>
          <w:rFonts w:ascii="Times New Roman" w:hAnsi="Times New Roman"/>
          <w:sz w:val="24"/>
          <w:szCs w:val="24"/>
        </w:rPr>
        <w:t xml:space="preserve"> je spojené plnenie záväzkov vyplývajúcich z účastí SR na kapitáli</w:t>
      </w:r>
      <w:r w:rsidRPr="0024687B" w:rsidR="00E721D6">
        <w:rPr>
          <w:rFonts w:ascii="Times New Roman" w:hAnsi="Times New Roman"/>
          <w:sz w:val="24"/>
          <w:szCs w:val="24"/>
        </w:rPr>
        <w:t>,</w:t>
      </w:r>
      <w:r w:rsidRPr="0024687B">
        <w:rPr>
          <w:rFonts w:ascii="Times New Roman" w:hAnsi="Times New Roman"/>
          <w:sz w:val="24"/>
          <w:szCs w:val="24"/>
        </w:rPr>
        <w:t xml:space="preserve"> tzv. kapitál splatný na požiadanie. </w:t>
      </w:r>
      <w:r w:rsidR="00F81E1F">
        <w:rPr>
          <w:rFonts w:ascii="Times New Roman" w:hAnsi="Times New Roman"/>
          <w:sz w:val="24"/>
          <w:szCs w:val="24"/>
        </w:rPr>
        <w:t>O</w:t>
      </w:r>
      <w:r w:rsidRPr="0024687B" w:rsidR="00D26566">
        <w:rPr>
          <w:rFonts w:ascii="Times New Roman" w:hAnsi="Times New Roman"/>
          <w:sz w:val="24"/>
          <w:szCs w:val="24"/>
        </w:rPr>
        <w:t>proti roku 201</w:t>
      </w:r>
      <w:r w:rsidR="0044476B">
        <w:rPr>
          <w:rFonts w:ascii="Times New Roman" w:hAnsi="Times New Roman"/>
          <w:sz w:val="24"/>
          <w:szCs w:val="24"/>
        </w:rPr>
        <w:t>2</w:t>
      </w:r>
      <w:r w:rsidRPr="0024687B" w:rsidR="00D26566">
        <w:rPr>
          <w:rFonts w:ascii="Times New Roman" w:hAnsi="Times New Roman"/>
          <w:sz w:val="24"/>
          <w:szCs w:val="24"/>
        </w:rPr>
        <w:t xml:space="preserve"> </w:t>
      </w:r>
      <w:r w:rsidR="00F81E1F">
        <w:rPr>
          <w:rFonts w:ascii="Times New Roman" w:hAnsi="Times New Roman"/>
          <w:sz w:val="24"/>
          <w:szCs w:val="24"/>
        </w:rPr>
        <w:t xml:space="preserve">sa </w:t>
      </w:r>
      <w:r w:rsidRPr="0024687B" w:rsidR="00D26566">
        <w:rPr>
          <w:rFonts w:ascii="Times New Roman" w:hAnsi="Times New Roman"/>
          <w:sz w:val="24"/>
          <w:szCs w:val="24"/>
        </w:rPr>
        <w:t xml:space="preserve">zvýšil </w:t>
      </w:r>
      <w:r w:rsidR="00984E0A">
        <w:rPr>
          <w:rFonts w:ascii="Times New Roman" w:hAnsi="Times New Roman"/>
          <w:sz w:val="24"/>
          <w:szCs w:val="24"/>
        </w:rPr>
        <w:t xml:space="preserve">podmienený </w:t>
      </w:r>
      <w:r w:rsidR="00F81E1F">
        <w:rPr>
          <w:rFonts w:ascii="Times New Roman" w:hAnsi="Times New Roman"/>
          <w:sz w:val="24"/>
          <w:szCs w:val="24"/>
        </w:rPr>
        <w:t xml:space="preserve">záväzok z </w:t>
      </w:r>
      <w:r w:rsidRPr="0024687B" w:rsidR="00D26566">
        <w:rPr>
          <w:rFonts w:ascii="Times New Roman" w:hAnsi="Times New Roman"/>
          <w:sz w:val="24"/>
          <w:szCs w:val="24"/>
        </w:rPr>
        <w:t>účas</w:t>
      </w:r>
      <w:r w:rsidR="00F81E1F">
        <w:rPr>
          <w:rFonts w:ascii="Times New Roman" w:hAnsi="Times New Roman"/>
          <w:sz w:val="24"/>
          <w:szCs w:val="24"/>
        </w:rPr>
        <w:t>ti</w:t>
      </w:r>
      <w:r w:rsidRPr="0024687B" w:rsidR="00D26566">
        <w:rPr>
          <w:rFonts w:ascii="Times New Roman" w:hAnsi="Times New Roman"/>
          <w:sz w:val="24"/>
          <w:szCs w:val="24"/>
        </w:rPr>
        <w:t xml:space="preserve"> v Medzinárodnej </w:t>
      </w:r>
      <w:r w:rsidR="0044476B">
        <w:rPr>
          <w:rFonts w:ascii="Times New Roman" w:hAnsi="Times New Roman"/>
          <w:sz w:val="24"/>
          <w:szCs w:val="24"/>
        </w:rPr>
        <w:t xml:space="preserve">investičnej </w:t>
      </w:r>
      <w:r w:rsidRPr="0024687B" w:rsidR="00D26566">
        <w:rPr>
          <w:rFonts w:ascii="Times New Roman" w:hAnsi="Times New Roman"/>
          <w:sz w:val="24"/>
          <w:szCs w:val="24"/>
        </w:rPr>
        <w:t>banke</w:t>
      </w:r>
      <w:r w:rsidR="00F81E1F">
        <w:rPr>
          <w:rFonts w:ascii="Times New Roman" w:hAnsi="Times New Roman"/>
          <w:sz w:val="24"/>
          <w:szCs w:val="24"/>
        </w:rPr>
        <w:t>.</w:t>
      </w:r>
      <w:r w:rsidR="003331A8">
        <w:rPr>
          <w:rFonts w:ascii="Times New Roman" w:hAnsi="Times New Roman"/>
          <w:sz w:val="24"/>
          <w:szCs w:val="24"/>
        </w:rPr>
        <w:t xml:space="preserve"> </w:t>
      </w:r>
      <w:r w:rsidR="00F81E1F">
        <w:rPr>
          <w:rFonts w:ascii="Times New Roman" w:hAnsi="Times New Roman"/>
          <w:sz w:val="24"/>
          <w:szCs w:val="24"/>
        </w:rPr>
        <w:t>Naopak, k </w:t>
      </w:r>
      <w:r w:rsidR="003331A8">
        <w:rPr>
          <w:rFonts w:ascii="Times New Roman" w:hAnsi="Times New Roman"/>
          <w:sz w:val="24"/>
          <w:szCs w:val="24"/>
        </w:rPr>
        <w:t>zníž</w:t>
      </w:r>
      <w:r w:rsidR="00F81E1F">
        <w:rPr>
          <w:rFonts w:ascii="Times New Roman" w:hAnsi="Times New Roman"/>
          <w:sz w:val="24"/>
          <w:szCs w:val="24"/>
        </w:rPr>
        <w:t>eniu došlo</w:t>
      </w:r>
      <w:r w:rsidR="003331A8">
        <w:rPr>
          <w:rFonts w:ascii="Times New Roman" w:hAnsi="Times New Roman"/>
          <w:sz w:val="24"/>
          <w:szCs w:val="24"/>
        </w:rPr>
        <w:t xml:space="preserve"> splaten</w:t>
      </w:r>
      <w:r w:rsidR="00F81E1F">
        <w:rPr>
          <w:rFonts w:ascii="Times New Roman" w:hAnsi="Times New Roman"/>
          <w:sz w:val="24"/>
          <w:szCs w:val="24"/>
        </w:rPr>
        <w:t>ím</w:t>
      </w:r>
      <w:r w:rsidR="003331A8">
        <w:rPr>
          <w:rFonts w:ascii="Times New Roman" w:hAnsi="Times New Roman"/>
          <w:sz w:val="24"/>
          <w:szCs w:val="24"/>
        </w:rPr>
        <w:t xml:space="preserve"> kapitál</w:t>
      </w:r>
      <w:r w:rsidR="00F81E1F">
        <w:rPr>
          <w:rFonts w:ascii="Times New Roman" w:hAnsi="Times New Roman"/>
          <w:sz w:val="24"/>
          <w:szCs w:val="24"/>
        </w:rPr>
        <w:t>ovej účasti</w:t>
      </w:r>
      <w:r w:rsidR="003331A8">
        <w:rPr>
          <w:rFonts w:ascii="Times New Roman" w:hAnsi="Times New Roman"/>
          <w:sz w:val="24"/>
          <w:szCs w:val="24"/>
        </w:rPr>
        <w:t xml:space="preserve"> v Európskej investičnej banke a Medzinárodnej banke pre obnovu a rozvoj.</w:t>
      </w:r>
      <w:r w:rsidRPr="0024687B" w:rsidR="00D26566">
        <w:rPr>
          <w:rFonts w:ascii="Times New Roman" w:hAnsi="Times New Roman"/>
          <w:sz w:val="24"/>
          <w:szCs w:val="24"/>
        </w:rPr>
        <w:t xml:space="preserve"> </w:t>
      </w:r>
    </w:p>
    <w:p w:rsidR="002D66C3" w:rsidP="00E721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66C3" w:rsidP="00E721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Kancelária národnej rady SR eviduje podmienené záväzky z existujúcich alebo hroziacich súdnych sporov, </w:t>
      </w:r>
      <w:r w:rsidR="00CE0825">
        <w:rPr>
          <w:rFonts w:ascii="Times New Roman" w:hAnsi="Times New Roman"/>
          <w:sz w:val="24"/>
          <w:szCs w:val="24"/>
        </w:rPr>
        <w:t xml:space="preserve">a to </w:t>
      </w:r>
      <w:r>
        <w:rPr>
          <w:rFonts w:ascii="Times New Roman" w:hAnsi="Times New Roman"/>
          <w:sz w:val="24"/>
          <w:szCs w:val="24"/>
        </w:rPr>
        <w:t>najmä zo žalôb o náhradu škody spôsobenú legislatívnou činnosťou NR S</w:t>
      </w:r>
      <w:r w:rsidR="00F24AE8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(vrátane 3 súdnych sporov o zákaz zisku), antidiskriminačných žalôb sudcov a ostatné iné pasíva.</w:t>
      </w:r>
    </w:p>
    <w:p w:rsidR="002D66C3" w:rsidP="00E721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21D6" w:rsidRPr="0024687B" w:rsidP="00E721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687B" w:rsidR="008069D2">
        <w:rPr>
          <w:rFonts w:ascii="Times New Roman" w:hAnsi="Times New Roman"/>
          <w:sz w:val="24"/>
          <w:szCs w:val="24"/>
        </w:rPr>
        <w:t xml:space="preserve">Fond národného majetku </w:t>
      </w:r>
      <w:r w:rsidR="00AD304A">
        <w:rPr>
          <w:rFonts w:ascii="Times New Roman" w:hAnsi="Times New Roman"/>
          <w:sz w:val="24"/>
          <w:szCs w:val="24"/>
        </w:rPr>
        <w:t xml:space="preserve">SR </w:t>
      </w:r>
      <w:r w:rsidRPr="0024687B" w:rsidR="008069D2">
        <w:rPr>
          <w:rFonts w:ascii="Times New Roman" w:hAnsi="Times New Roman"/>
          <w:sz w:val="24"/>
          <w:szCs w:val="24"/>
        </w:rPr>
        <w:t xml:space="preserve">eviduje najväčší objem podmienených záväzkov z ručenia za splnenie záväzkov </w:t>
      </w:r>
      <w:r w:rsidRPr="0024687B" w:rsidR="00A12F6F">
        <w:rPr>
          <w:rFonts w:ascii="Times New Roman" w:hAnsi="Times New Roman"/>
          <w:sz w:val="24"/>
          <w:szCs w:val="24"/>
        </w:rPr>
        <w:t xml:space="preserve">vyplývajúcich z privatizačných zmlúv. </w:t>
      </w:r>
      <w:r w:rsidRPr="0024687B" w:rsidR="008069D2">
        <w:rPr>
          <w:rFonts w:ascii="Times New Roman" w:hAnsi="Times New Roman"/>
          <w:sz w:val="24"/>
          <w:szCs w:val="24"/>
        </w:rPr>
        <w:t>Ďalej sú to  súdne spory súvisiace s privatizovaným majetkom (žaloba o náhradu škody, exekučné konanie, náhrada škody z odstúpenia od zmluvy a iné).</w:t>
      </w:r>
      <w:r w:rsidR="00911147">
        <w:rPr>
          <w:rFonts w:ascii="Times New Roman" w:hAnsi="Times New Roman"/>
          <w:sz w:val="24"/>
          <w:szCs w:val="24"/>
        </w:rPr>
        <w:t xml:space="preserve"> Medziročne sa výška podmienených záväzkov Fondu národného majetku výrazne nezmenila.</w:t>
      </w:r>
    </w:p>
    <w:p w:rsidR="008069D2" w:rsidRPr="0024687B" w:rsidP="00E721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687B">
        <w:rPr>
          <w:rFonts w:ascii="Times New Roman" w:hAnsi="Times New Roman"/>
          <w:sz w:val="24"/>
          <w:szCs w:val="24"/>
        </w:rPr>
        <w:t xml:space="preserve">      </w:t>
      </w:r>
    </w:p>
    <w:p w:rsidR="00E721D6" w:rsidRPr="0024687B" w:rsidP="00E721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1708DA">
      <w:footerReference w:type="default" r:id="rId6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C1" w:rsidRPr="00880AC1">
    <w:pPr>
      <w:pStyle w:val="Footer"/>
      <w:bidi w:val="0"/>
      <w:jc w:val="center"/>
      <w:rPr>
        <w:rFonts w:ascii="Times New Roman" w:hAnsi="Times New Roman"/>
        <w:sz w:val="24"/>
      </w:rPr>
    </w:pPr>
    <w:r w:rsidRPr="00880AC1">
      <w:rPr>
        <w:rFonts w:ascii="Times New Roman" w:hAnsi="Times New Roman"/>
        <w:sz w:val="24"/>
      </w:rPr>
      <w:fldChar w:fldCharType="begin"/>
    </w:r>
    <w:r w:rsidRPr="00880AC1">
      <w:rPr>
        <w:rFonts w:ascii="Times New Roman" w:hAnsi="Times New Roman"/>
        <w:sz w:val="24"/>
      </w:rPr>
      <w:instrText>PAGE   \* MERGEFORMAT</w:instrText>
    </w:r>
    <w:r w:rsidRPr="00880AC1">
      <w:rPr>
        <w:rFonts w:ascii="Times New Roman" w:hAnsi="Times New Roman"/>
        <w:sz w:val="24"/>
      </w:rPr>
      <w:fldChar w:fldCharType="separate"/>
    </w:r>
    <w:r w:rsidR="00D806A3">
      <w:rPr>
        <w:rFonts w:ascii="Times New Roman" w:hAnsi="Times New Roman"/>
        <w:noProof/>
        <w:sz w:val="24"/>
      </w:rPr>
      <w:t>4</w:t>
    </w:r>
    <w:r w:rsidRPr="00880AC1">
      <w:rPr>
        <w:rFonts w:ascii="Times New Roman" w:hAnsi="Times New Roman"/>
        <w:sz w:val="24"/>
      </w:rPr>
      <w:fldChar w:fldCharType="end"/>
    </w:r>
  </w:p>
  <w:p w:rsidR="00880AC1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986" w:rsidP="00391DED">
      <w:pPr>
        <w:bidi w:val="0"/>
        <w:spacing w:after="0" w:line="240" w:lineRule="auto"/>
      </w:pPr>
      <w:r>
        <w:separator/>
      </w:r>
    </w:p>
  </w:footnote>
  <w:footnote w:type="continuationSeparator" w:id="1">
    <w:p w:rsidR="00476986" w:rsidP="00391DED">
      <w:pPr>
        <w:bidi w:val="0"/>
        <w:spacing w:after="0" w:line="240" w:lineRule="auto"/>
      </w:pPr>
      <w:r>
        <w:continuationSeparator/>
      </w:r>
    </w:p>
  </w:footnote>
  <w:footnote w:id="2">
    <w:p w:rsidP="008069D2">
      <w:pPr>
        <w:pStyle w:val="FootnoteText"/>
        <w:bidi w:val="0"/>
        <w:jc w:val="both"/>
      </w:pPr>
      <w:r w:rsidRPr="00E721D6" w:rsidR="008069D2">
        <w:rPr>
          <w:rStyle w:val="FootnoteReference"/>
          <w:rFonts w:ascii="Times New Roman" w:hAnsi="Times New Roman"/>
          <w:sz w:val="18"/>
        </w:rPr>
        <w:footnoteRef/>
      </w:r>
      <w:r w:rsidRPr="00E721D6" w:rsidR="008069D2">
        <w:rPr>
          <w:rFonts w:ascii="Times New Roman" w:hAnsi="Times New Roman"/>
          <w:sz w:val="18"/>
        </w:rPr>
        <w:t xml:space="preserve"> Zákon č. 431/2002 Z.</w:t>
      </w:r>
      <w:r w:rsidRPr="00E721D6" w:rsidR="00E721D6">
        <w:rPr>
          <w:rFonts w:ascii="Times New Roman" w:hAnsi="Times New Roman"/>
          <w:sz w:val="18"/>
        </w:rPr>
        <w:t xml:space="preserve"> </w:t>
      </w:r>
      <w:r w:rsidRPr="00E721D6" w:rsidR="008069D2">
        <w:rPr>
          <w:rFonts w:ascii="Times New Roman" w:hAnsi="Times New Roman"/>
          <w:sz w:val="18"/>
        </w:rPr>
        <w:t xml:space="preserve">z. o účtovníctve v znení neskorších predpisov.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749"/>
    <w:multiLevelType w:val="hybridMultilevel"/>
    <w:tmpl w:val="633EC3D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C8745A"/>
    <w:multiLevelType w:val="hybridMultilevel"/>
    <w:tmpl w:val="C242192E"/>
    <w:lvl w:ilvl="0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5A855740"/>
    <w:multiLevelType w:val="hybridMultilevel"/>
    <w:tmpl w:val="56AC5B2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6D8A0709"/>
    <w:multiLevelType w:val="hybridMultilevel"/>
    <w:tmpl w:val="06A690D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4">
    <w:nsid w:val="7F6F17C4"/>
    <w:multiLevelType w:val="hybridMultilevel"/>
    <w:tmpl w:val="A656DFC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1E1139"/>
    <w:rsid w:val="00002AD5"/>
    <w:rsid w:val="00022B75"/>
    <w:rsid w:val="00027694"/>
    <w:rsid w:val="000309B2"/>
    <w:rsid w:val="000436B6"/>
    <w:rsid w:val="00043703"/>
    <w:rsid w:val="0005625D"/>
    <w:rsid w:val="000575ED"/>
    <w:rsid w:val="00071F13"/>
    <w:rsid w:val="000732A6"/>
    <w:rsid w:val="00077C09"/>
    <w:rsid w:val="00085A32"/>
    <w:rsid w:val="000A69A1"/>
    <w:rsid w:val="000F0FBD"/>
    <w:rsid w:val="0011036F"/>
    <w:rsid w:val="001224BC"/>
    <w:rsid w:val="001267CD"/>
    <w:rsid w:val="00157638"/>
    <w:rsid w:val="00162C57"/>
    <w:rsid w:val="00163AC3"/>
    <w:rsid w:val="001708DA"/>
    <w:rsid w:val="00171C5C"/>
    <w:rsid w:val="00187702"/>
    <w:rsid w:val="001E1139"/>
    <w:rsid w:val="002019CC"/>
    <w:rsid w:val="002126E0"/>
    <w:rsid w:val="0022368E"/>
    <w:rsid w:val="0022441E"/>
    <w:rsid w:val="002450CB"/>
    <w:rsid w:val="0024687B"/>
    <w:rsid w:val="002541B8"/>
    <w:rsid w:val="0025541B"/>
    <w:rsid w:val="00255FE8"/>
    <w:rsid w:val="00273391"/>
    <w:rsid w:val="00296B34"/>
    <w:rsid w:val="002A5CE9"/>
    <w:rsid w:val="002B086B"/>
    <w:rsid w:val="002B7B99"/>
    <w:rsid w:val="002C4DA2"/>
    <w:rsid w:val="002D0172"/>
    <w:rsid w:val="002D46EA"/>
    <w:rsid w:val="002D66C3"/>
    <w:rsid w:val="002D6F94"/>
    <w:rsid w:val="0030294D"/>
    <w:rsid w:val="003044C2"/>
    <w:rsid w:val="00315347"/>
    <w:rsid w:val="003220EA"/>
    <w:rsid w:val="00323E9F"/>
    <w:rsid w:val="003266D8"/>
    <w:rsid w:val="003267E1"/>
    <w:rsid w:val="003331A8"/>
    <w:rsid w:val="00335690"/>
    <w:rsid w:val="00351D47"/>
    <w:rsid w:val="00357403"/>
    <w:rsid w:val="003863AC"/>
    <w:rsid w:val="00391DED"/>
    <w:rsid w:val="003A5F88"/>
    <w:rsid w:val="003C00D0"/>
    <w:rsid w:val="003E031B"/>
    <w:rsid w:val="003E61A0"/>
    <w:rsid w:val="003F5038"/>
    <w:rsid w:val="00406285"/>
    <w:rsid w:val="00420176"/>
    <w:rsid w:val="00436449"/>
    <w:rsid w:val="00440D50"/>
    <w:rsid w:val="0044476B"/>
    <w:rsid w:val="00447B52"/>
    <w:rsid w:val="00463061"/>
    <w:rsid w:val="004733CE"/>
    <w:rsid w:val="00476102"/>
    <w:rsid w:val="00476986"/>
    <w:rsid w:val="004875F9"/>
    <w:rsid w:val="0048764B"/>
    <w:rsid w:val="004A1FF5"/>
    <w:rsid w:val="004B14DA"/>
    <w:rsid w:val="004B1C8E"/>
    <w:rsid w:val="004B1FD8"/>
    <w:rsid w:val="004B372C"/>
    <w:rsid w:val="004C46FC"/>
    <w:rsid w:val="004D2AFD"/>
    <w:rsid w:val="004E61DC"/>
    <w:rsid w:val="004F1924"/>
    <w:rsid w:val="00511B8C"/>
    <w:rsid w:val="00512914"/>
    <w:rsid w:val="00525C68"/>
    <w:rsid w:val="0056234A"/>
    <w:rsid w:val="00584C3C"/>
    <w:rsid w:val="0058719F"/>
    <w:rsid w:val="005D62CA"/>
    <w:rsid w:val="005E4DD1"/>
    <w:rsid w:val="005F47A0"/>
    <w:rsid w:val="005F64DE"/>
    <w:rsid w:val="00605477"/>
    <w:rsid w:val="00617CAA"/>
    <w:rsid w:val="006409FC"/>
    <w:rsid w:val="006641C0"/>
    <w:rsid w:val="00675176"/>
    <w:rsid w:val="00675ACB"/>
    <w:rsid w:val="006B00D5"/>
    <w:rsid w:val="006B59C4"/>
    <w:rsid w:val="006D02BF"/>
    <w:rsid w:val="006E7710"/>
    <w:rsid w:val="00703998"/>
    <w:rsid w:val="00711985"/>
    <w:rsid w:val="007208EB"/>
    <w:rsid w:val="00733F2B"/>
    <w:rsid w:val="0074611D"/>
    <w:rsid w:val="00753544"/>
    <w:rsid w:val="00761CE5"/>
    <w:rsid w:val="00770653"/>
    <w:rsid w:val="0077179B"/>
    <w:rsid w:val="00773289"/>
    <w:rsid w:val="00773E03"/>
    <w:rsid w:val="00785021"/>
    <w:rsid w:val="007A0905"/>
    <w:rsid w:val="007A49E8"/>
    <w:rsid w:val="007B36C2"/>
    <w:rsid w:val="007C0EBC"/>
    <w:rsid w:val="007C7AA0"/>
    <w:rsid w:val="007D2918"/>
    <w:rsid w:val="007D64AC"/>
    <w:rsid w:val="007F1D36"/>
    <w:rsid w:val="008069D2"/>
    <w:rsid w:val="008120E1"/>
    <w:rsid w:val="0082070C"/>
    <w:rsid w:val="00834ED5"/>
    <w:rsid w:val="00835A9F"/>
    <w:rsid w:val="008632ED"/>
    <w:rsid w:val="00863D60"/>
    <w:rsid w:val="00875880"/>
    <w:rsid w:val="008777A8"/>
    <w:rsid w:val="00880AC1"/>
    <w:rsid w:val="00891922"/>
    <w:rsid w:val="00895AEB"/>
    <w:rsid w:val="00896F9C"/>
    <w:rsid w:val="008B07B2"/>
    <w:rsid w:val="008C09C3"/>
    <w:rsid w:val="008E33A5"/>
    <w:rsid w:val="009056FB"/>
    <w:rsid w:val="00906CB1"/>
    <w:rsid w:val="00911147"/>
    <w:rsid w:val="00914778"/>
    <w:rsid w:val="009176E5"/>
    <w:rsid w:val="00923A0E"/>
    <w:rsid w:val="00925449"/>
    <w:rsid w:val="00933994"/>
    <w:rsid w:val="00936B7B"/>
    <w:rsid w:val="00943C61"/>
    <w:rsid w:val="00966730"/>
    <w:rsid w:val="0096689A"/>
    <w:rsid w:val="0097288C"/>
    <w:rsid w:val="00975658"/>
    <w:rsid w:val="00983AE3"/>
    <w:rsid w:val="00984E0A"/>
    <w:rsid w:val="009B3B25"/>
    <w:rsid w:val="009C1E11"/>
    <w:rsid w:val="009C2705"/>
    <w:rsid w:val="009C4F4C"/>
    <w:rsid w:val="009D13E3"/>
    <w:rsid w:val="009D4A81"/>
    <w:rsid w:val="009F1944"/>
    <w:rsid w:val="009F7812"/>
    <w:rsid w:val="00A12F6F"/>
    <w:rsid w:val="00A442BA"/>
    <w:rsid w:val="00A457C1"/>
    <w:rsid w:val="00A8025E"/>
    <w:rsid w:val="00A908AA"/>
    <w:rsid w:val="00AA19FF"/>
    <w:rsid w:val="00AA373B"/>
    <w:rsid w:val="00AD304A"/>
    <w:rsid w:val="00AE673B"/>
    <w:rsid w:val="00AE682E"/>
    <w:rsid w:val="00AF0FCD"/>
    <w:rsid w:val="00AF12A2"/>
    <w:rsid w:val="00AF1EFD"/>
    <w:rsid w:val="00B038FE"/>
    <w:rsid w:val="00B32E22"/>
    <w:rsid w:val="00B35BAF"/>
    <w:rsid w:val="00B436AD"/>
    <w:rsid w:val="00B63A00"/>
    <w:rsid w:val="00B6477B"/>
    <w:rsid w:val="00B826CB"/>
    <w:rsid w:val="00B90B01"/>
    <w:rsid w:val="00BB21CF"/>
    <w:rsid w:val="00BB4A12"/>
    <w:rsid w:val="00BD7512"/>
    <w:rsid w:val="00BE0E03"/>
    <w:rsid w:val="00BF28DC"/>
    <w:rsid w:val="00C03544"/>
    <w:rsid w:val="00C215F6"/>
    <w:rsid w:val="00C2423D"/>
    <w:rsid w:val="00C316A0"/>
    <w:rsid w:val="00C402EA"/>
    <w:rsid w:val="00C45FE3"/>
    <w:rsid w:val="00C632F3"/>
    <w:rsid w:val="00C71F1F"/>
    <w:rsid w:val="00CD5773"/>
    <w:rsid w:val="00CE0825"/>
    <w:rsid w:val="00D027BD"/>
    <w:rsid w:val="00D12112"/>
    <w:rsid w:val="00D130CB"/>
    <w:rsid w:val="00D26566"/>
    <w:rsid w:val="00D3362A"/>
    <w:rsid w:val="00D62962"/>
    <w:rsid w:val="00D63423"/>
    <w:rsid w:val="00D658B1"/>
    <w:rsid w:val="00D806A3"/>
    <w:rsid w:val="00D8522D"/>
    <w:rsid w:val="00DA0B8B"/>
    <w:rsid w:val="00DB7B66"/>
    <w:rsid w:val="00DC4A1A"/>
    <w:rsid w:val="00DD788A"/>
    <w:rsid w:val="00DE56F4"/>
    <w:rsid w:val="00E12EC9"/>
    <w:rsid w:val="00E141AC"/>
    <w:rsid w:val="00E42134"/>
    <w:rsid w:val="00E65429"/>
    <w:rsid w:val="00E721D6"/>
    <w:rsid w:val="00E72FC7"/>
    <w:rsid w:val="00E77CB4"/>
    <w:rsid w:val="00E82BB6"/>
    <w:rsid w:val="00E851EC"/>
    <w:rsid w:val="00E85D4F"/>
    <w:rsid w:val="00EA183F"/>
    <w:rsid w:val="00EA2DD9"/>
    <w:rsid w:val="00EB3FA5"/>
    <w:rsid w:val="00EE2D15"/>
    <w:rsid w:val="00EE62F0"/>
    <w:rsid w:val="00F0336E"/>
    <w:rsid w:val="00F05549"/>
    <w:rsid w:val="00F05B59"/>
    <w:rsid w:val="00F22E30"/>
    <w:rsid w:val="00F24AE8"/>
    <w:rsid w:val="00F35392"/>
    <w:rsid w:val="00F45E63"/>
    <w:rsid w:val="00F73493"/>
    <w:rsid w:val="00F75382"/>
    <w:rsid w:val="00F8162A"/>
    <w:rsid w:val="00F81E1F"/>
    <w:rsid w:val="00FB7C56"/>
    <w:rsid w:val="00FC473D"/>
    <w:rsid w:val="00FC565B"/>
    <w:rsid w:val="00FF42D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5E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1DED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91DED"/>
    <w:rPr>
      <w:lang w:val="x-none" w:eastAsia="en-US"/>
    </w:rPr>
  </w:style>
  <w:style w:type="character" w:styleId="FootnoteReference">
    <w:name w:val="footnote reference"/>
    <w:uiPriority w:val="99"/>
    <w:semiHidden/>
    <w:unhideWhenUsed/>
    <w:rsid w:val="00391DE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9F781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812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F7812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812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F7812"/>
    <w:rPr>
      <w:b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81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F7812"/>
    <w:rPr>
      <w:rFonts w:ascii="Tahoma" w:hAnsi="Tahoma" w:cs="Tahoma"/>
      <w:sz w:val="16"/>
      <w:lang w:val="x-none" w:eastAsia="en-US"/>
    </w:rPr>
  </w:style>
  <w:style w:type="paragraph" w:customStyle="1" w:styleId="Zarkazkladnhotextu1">
    <w:name w:val="Zarážka základného textu1"/>
    <w:basedOn w:val="Normal"/>
    <w:link w:val="BodyTextIndentChar"/>
    <w:rsid w:val="00B32E22"/>
    <w:pPr>
      <w:spacing w:after="120" w:line="240" w:lineRule="auto"/>
      <w:ind w:left="283"/>
      <w:jc w:val="left"/>
    </w:pPr>
    <w:rPr>
      <w:rFonts w:ascii="Courier" w:hAnsi="Courier" w:cs="Courier"/>
      <w:sz w:val="24"/>
      <w:szCs w:val="24"/>
      <w:lang w:eastAsia="cs-CZ"/>
    </w:rPr>
  </w:style>
  <w:style w:type="character" w:customStyle="1" w:styleId="BodyTextIndentChar">
    <w:name w:val="Body Text Indent Char"/>
    <w:link w:val="Zarkazkladnhotextu1"/>
    <w:locked/>
    <w:rsid w:val="00B32E22"/>
    <w:rPr>
      <w:rFonts w:ascii="Courier" w:hAnsi="Courier" w:cs="Courier"/>
      <w:sz w:val="24"/>
      <w:lang w:val="x-none" w:eastAsia="cs-CZ"/>
    </w:rPr>
  </w:style>
  <w:style w:type="paragraph" w:styleId="Header">
    <w:name w:val="header"/>
    <w:basedOn w:val="Normal"/>
    <w:link w:val="HeaderChar"/>
    <w:uiPriority w:val="99"/>
    <w:unhideWhenUsed/>
    <w:rsid w:val="00880AC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880AC1"/>
    <w:rPr>
      <w:sz w:val="36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880AC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880AC1"/>
    <w:rPr>
      <w:sz w:val="3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2CC3-C2DB-41DC-89F2-37355228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877</Words>
  <Characters>5005</Characters>
  <Application>Microsoft Office Word</Application>
  <DocSecurity>0</DocSecurity>
  <Lines>0</Lines>
  <Paragraphs>0</Paragraphs>
  <ScaleCrop>false</ScaleCrop>
  <Company>mfsr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pivanek</dc:creator>
  <cp:lastModifiedBy>Gašparíková, Jarmila</cp:lastModifiedBy>
  <cp:revision>2</cp:revision>
  <cp:lastPrinted>2014-10-08T13:04:00Z</cp:lastPrinted>
  <dcterms:created xsi:type="dcterms:W3CDTF">2014-10-15T16:28:00Z</dcterms:created>
  <dcterms:modified xsi:type="dcterms:W3CDTF">2014-10-15T16:28:00Z</dcterms:modified>
</cp:coreProperties>
</file>