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rsidP="009655CD">
      <w:pPr>
        <w:pStyle w:val="Title"/>
      </w:pPr>
      <w:r>
        <w:t>NÁRODNÁ RADA SLOVENSKEJ REPUBLIKY</w:t>
      </w:r>
    </w:p>
    <w:p w:rsidR="00233A93" w:rsidP="009655CD">
      <w:pPr>
        <w:pStyle w:val="Subtitle"/>
      </w:pPr>
      <w:r w:rsidR="00AF1636">
        <w:t>V</w:t>
      </w:r>
      <w:r w:rsidR="00C23D38">
        <w:t>I</w:t>
      </w:r>
      <w:r>
        <w:t>. volebné obdobie</w:t>
      </w:r>
    </w:p>
    <w:p w:rsidR="00233A93" w:rsidP="009655CD">
      <w:r>
        <w:t>___________________________________________________________________________</w:t>
      </w:r>
    </w:p>
    <w:p w:rsidR="00233A93" w:rsidP="009655CD">
      <w:pPr>
        <w:rPr>
          <w:b/>
          <w:sz w:val="28"/>
        </w:rPr>
      </w:pPr>
    </w:p>
    <w:p w:rsidR="00233A93" w:rsidP="009655CD">
      <w:r>
        <w:t>K číslu :</w:t>
      </w:r>
      <w:r w:rsidR="00BF3C60">
        <w:t xml:space="preserve"> </w:t>
      </w:r>
      <w:r w:rsidR="003069F7">
        <w:t>15</w:t>
      </w:r>
      <w:r w:rsidR="00D219D3">
        <w:t>7</w:t>
      </w:r>
      <w:r w:rsidR="00A241CC">
        <w:t>7</w:t>
      </w:r>
      <w:r w:rsidR="003D6EDC">
        <w:t>/</w:t>
      </w:r>
      <w:r w:rsidR="009F1034">
        <w:t>20</w:t>
      </w:r>
      <w:r w:rsidR="00CD2A22">
        <w:t>1</w:t>
      </w:r>
      <w:r w:rsidR="003069F7">
        <w:t>4</w:t>
      </w:r>
      <w:r>
        <w:tab/>
        <w:tab/>
        <w:tab/>
        <w:tab/>
      </w:r>
    </w:p>
    <w:p w:rsidR="00233A93" w:rsidP="009655CD"/>
    <w:p w:rsidR="009A2FE0" w:rsidP="009655CD"/>
    <w:p w:rsidR="00233A93" w:rsidP="009655CD">
      <w:pPr>
        <w:jc w:val="center"/>
        <w:rPr>
          <w:b/>
          <w:bCs/>
          <w:sz w:val="28"/>
        </w:rPr>
      </w:pPr>
      <w:r w:rsidR="003069F7">
        <w:rPr>
          <w:b/>
          <w:bCs/>
          <w:sz w:val="28"/>
        </w:rPr>
        <w:t>11</w:t>
      </w:r>
      <w:r w:rsidR="00D219D3">
        <w:rPr>
          <w:b/>
          <w:bCs/>
          <w:sz w:val="28"/>
        </w:rPr>
        <w:t>2</w:t>
      </w:r>
      <w:r w:rsidR="00A241CC">
        <w:rPr>
          <w:b/>
          <w:bCs/>
          <w:sz w:val="28"/>
        </w:rPr>
        <w:t>3</w:t>
      </w:r>
      <w:r>
        <w:rPr>
          <w:b/>
          <w:bCs/>
          <w:sz w:val="28"/>
        </w:rPr>
        <w:t>a</w:t>
      </w:r>
    </w:p>
    <w:p w:rsidR="00D35084" w:rsidP="009655CD">
      <w:pPr>
        <w:jc w:val="center"/>
        <w:rPr>
          <w:b/>
          <w:bCs/>
          <w:sz w:val="28"/>
        </w:rPr>
      </w:pPr>
    </w:p>
    <w:p w:rsidR="00233A93" w:rsidP="009655CD">
      <w:pPr>
        <w:pStyle w:val="Heading1"/>
      </w:pPr>
      <w:r>
        <w:t xml:space="preserve">S p o l o č n á    s p r á v a </w:t>
      </w:r>
    </w:p>
    <w:p w:rsidR="00BF3C60" w:rsidP="009655CD"/>
    <w:p w:rsidR="00233A93" w:rsidRPr="000734C1" w:rsidP="009655CD">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w:t>
      </w:r>
      <w:r w:rsidRPr="00987E97">
        <w:rPr>
          <w:b/>
        </w:rPr>
        <w:t>kovania</w:t>
      </w:r>
      <w:r w:rsidRPr="00A241CC" w:rsidR="00A241CC">
        <w:t xml:space="preserve"> </w:t>
      </w:r>
      <w:r w:rsidRPr="00A241CC" w:rsidR="00A241CC">
        <w:rPr>
          <w:b/>
        </w:rPr>
        <w:t>vládneho návrhu zákona, ktorým sa mení a dopĺňa zákon č. 595/2003 Z. z. o dani z príjmov v znení neskorších predpisov a ktorým sa menia a dopĺňajú niektoré zákony (tlač 1123)</w:t>
      </w:r>
      <w:r w:rsidR="00A241CC">
        <w:t xml:space="preserve"> </w:t>
      </w:r>
      <w:r w:rsidR="00C15284">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9655CD">
      <w:pPr>
        <w:jc w:val="both"/>
        <w:rPr>
          <w:b/>
        </w:rPr>
      </w:pPr>
      <w:r w:rsidRPr="00846B8E">
        <w:rPr>
          <w:b/>
        </w:rPr>
        <w:t>________</w:t>
      </w:r>
      <w:r w:rsidRPr="00846B8E">
        <w:rPr>
          <w:b/>
        </w:rPr>
        <w:t>___________________________________________________________________</w:t>
      </w:r>
      <w:r w:rsidR="00873586">
        <w:rPr>
          <w:b/>
        </w:rPr>
        <w:t>____</w:t>
      </w:r>
    </w:p>
    <w:p w:rsidR="00C742A8" w:rsidP="009655CD">
      <w:pPr>
        <w:rPr>
          <w:b/>
        </w:rPr>
      </w:pPr>
    </w:p>
    <w:p w:rsidR="00233A93" w:rsidP="009655CD">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AA3B43" w:rsidP="009655CD">
      <w:pPr>
        <w:jc w:val="both"/>
      </w:pPr>
      <w:r w:rsidR="00233A93">
        <w:tab/>
        <w:tab/>
        <w:tab/>
        <w:tab/>
        <w:tab/>
      </w:r>
    </w:p>
    <w:p w:rsidR="00233A93" w:rsidP="009655CD">
      <w:pPr>
        <w:jc w:val="center"/>
        <w:rPr>
          <w:b/>
          <w:bCs/>
        </w:rPr>
      </w:pPr>
      <w:r>
        <w:rPr>
          <w:b/>
          <w:bCs/>
        </w:rPr>
        <w:t>I.</w:t>
      </w:r>
    </w:p>
    <w:p w:rsidR="00233A93" w:rsidP="009655CD">
      <w:pPr>
        <w:jc w:val="center"/>
        <w:rPr>
          <w:b/>
          <w:bCs/>
        </w:rPr>
      </w:pPr>
    </w:p>
    <w:p w:rsidR="00233A93" w:rsidRPr="00C742A8" w:rsidP="009655CD">
      <w:pPr>
        <w:jc w:val="both"/>
        <w:rPr>
          <w:bCs/>
        </w:rPr>
      </w:pPr>
      <w:r w:rsidRPr="0091798A">
        <w:t>Národná rada S</w:t>
      </w:r>
      <w:r w:rsidRPr="0091798A">
        <w:t>l</w:t>
      </w:r>
      <w:r w:rsidRPr="0091798A" w:rsidR="00680EDA">
        <w:t xml:space="preserve">ovenskej republiky </w:t>
      </w:r>
      <w:r w:rsidRPr="0091798A" w:rsidR="0018539F">
        <w:t>uznesením</w:t>
      </w:r>
      <w:r w:rsidRPr="0091798A" w:rsidR="00CE5AB9">
        <w:t xml:space="preserve"> </w:t>
      </w:r>
      <w:r w:rsidRPr="0091798A" w:rsidR="000965A1">
        <w:t>č.</w:t>
      </w:r>
      <w:r w:rsidR="00A241CC">
        <w:t xml:space="preserve"> 1325</w:t>
      </w:r>
      <w:r w:rsidR="00C15284">
        <w:t xml:space="preserve"> </w:t>
      </w:r>
      <w:r w:rsidRPr="0091798A">
        <w:t>z</w:t>
      </w:r>
      <w:r w:rsidR="009A2FE0">
        <w:t>o</w:t>
      </w:r>
      <w:r w:rsidRPr="0091798A" w:rsidR="00893F40">
        <w:t xml:space="preserve"> </w:t>
      </w:r>
      <w:r w:rsidR="009A2FE0">
        <w:t>1</w:t>
      </w:r>
      <w:r w:rsidR="00A241CC">
        <w:t>7</w:t>
      </w:r>
      <w:r w:rsidRPr="0091798A">
        <w:t xml:space="preserve">. </w:t>
      </w:r>
      <w:r w:rsidR="009124B6">
        <w:t>septembra</w:t>
      </w:r>
      <w:r w:rsidR="00CD2A22">
        <w:t xml:space="preserve"> </w:t>
      </w:r>
      <w:r w:rsidRPr="0091798A">
        <w:t>20</w:t>
      </w:r>
      <w:r w:rsidR="00CD2A22">
        <w:t>1</w:t>
      </w:r>
      <w:r w:rsidR="009A2FE0">
        <w:t>4</w:t>
      </w:r>
      <w:r w:rsidRPr="0091798A" w:rsidR="009F77AE">
        <w:t xml:space="preserve"> </w:t>
      </w:r>
      <w:r w:rsidRPr="0091798A">
        <w:t>pridelila</w:t>
      </w:r>
      <w:r w:rsidRPr="00353558" w:rsidR="00353558">
        <w:rPr>
          <w:b/>
        </w:rPr>
        <w:t xml:space="preserve"> </w:t>
      </w:r>
      <w:r w:rsidRPr="00A241CC" w:rsidR="00A241CC">
        <w:t>vládny návrh zákona, ktorým sa mení a dopĺňa zákon č. 595/2003 Z. z. o dani z príjmov v znení neskorších predpisov a ktorým sa menia a dopĺňajú niektoré zákony (tlač 1123)</w:t>
      </w:r>
      <w:r w:rsidR="00A241CC">
        <w:t xml:space="preserve">  </w:t>
      </w:r>
      <w:r w:rsidRPr="00DF21AE">
        <w:t>týmto výborom</w:t>
      </w:r>
      <w:r w:rsidRPr="00DF21AE">
        <w:t xml:space="preserve"> Národnej rady Slovenskej republiky:</w:t>
      </w:r>
    </w:p>
    <w:p w:rsidR="0017621D" w:rsidP="009655CD">
      <w:pPr>
        <w:pStyle w:val="BodyText2"/>
        <w:jc w:val="left"/>
      </w:pPr>
    </w:p>
    <w:p w:rsidR="008346BC" w:rsidP="009655CD">
      <w:pPr>
        <w:pStyle w:val="BodyText2"/>
        <w:jc w:val="left"/>
      </w:pPr>
    </w:p>
    <w:p w:rsidR="00233A93" w:rsidP="009655CD">
      <w:pPr>
        <w:pStyle w:val="BodyText2"/>
        <w:numPr>
          <w:ilvl w:val="0"/>
          <w:numId w:val="1"/>
        </w:numPr>
      </w:pPr>
      <w:r>
        <w:t>Výboru Národnej rady Slovenskej republiky pre financie</w:t>
      </w:r>
      <w:r w:rsidR="00452CA8">
        <w:t xml:space="preserve"> a</w:t>
      </w:r>
      <w:r w:rsidR="009E38EE">
        <w:t> </w:t>
      </w:r>
      <w:r>
        <w:t>rozpočet</w:t>
      </w:r>
      <w:r w:rsidR="009E38EE">
        <w:t>,</w:t>
      </w:r>
      <w:r>
        <w:t xml:space="preserve"> </w:t>
      </w:r>
    </w:p>
    <w:p w:rsidR="00233A93" w:rsidP="009655CD">
      <w:pPr>
        <w:pStyle w:val="BodyText2"/>
        <w:numPr>
          <w:ilvl w:val="0"/>
          <w:numId w:val="1"/>
        </w:numPr>
      </w:pPr>
      <w:r>
        <w:t>Ústavnoprávnemu výboru Národnej rady Slovenskej republiky</w:t>
      </w:r>
      <w:r w:rsidR="009E38EE">
        <w:t>,</w:t>
      </w:r>
    </w:p>
    <w:p w:rsidR="00C15284" w:rsidP="009655CD">
      <w:pPr>
        <w:pStyle w:val="BodyText2"/>
        <w:numPr>
          <w:ilvl w:val="0"/>
          <w:numId w:val="1"/>
        </w:numPr>
      </w:pPr>
      <w:r w:rsidR="00D35084">
        <w:t>Výboru Národnej rady Slovenskej republiky pre</w:t>
      </w:r>
      <w:r>
        <w:t xml:space="preserve"> </w:t>
      </w:r>
      <w:r w:rsidR="00A241CC">
        <w:t xml:space="preserve">hospodárske záležitosti </w:t>
      </w:r>
    </w:p>
    <w:p w:rsidR="00A241CC" w:rsidP="009655CD">
      <w:pPr>
        <w:pStyle w:val="BodyText2"/>
        <w:numPr>
          <w:ilvl w:val="0"/>
          <w:numId w:val="1"/>
        </w:numPr>
      </w:pPr>
      <w:r>
        <w:t>Výboru Národnej rad</w:t>
      </w:r>
      <w:r>
        <w:t>y Slovenskej republiky pre zdravotníctvo.</w:t>
      </w:r>
    </w:p>
    <w:p w:rsidR="00D219D3" w:rsidP="009655CD">
      <w:pPr>
        <w:pStyle w:val="BodyText2"/>
        <w:ind w:left="1065"/>
      </w:pPr>
    </w:p>
    <w:p w:rsidR="00233A93" w:rsidP="009655CD">
      <w:pPr>
        <w:pStyle w:val="BodyText2"/>
        <w:jc w:val="center"/>
        <w:rPr>
          <w:b/>
        </w:rPr>
      </w:pPr>
      <w:r>
        <w:rPr>
          <w:b/>
        </w:rPr>
        <w:t>II.</w:t>
      </w:r>
    </w:p>
    <w:p w:rsidR="00233A93" w:rsidP="009655CD">
      <w:pPr>
        <w:pStyle w:val="BodyText2"/>
        <w:jc w:val="center"/>
        <w:rPr>
          <w:b/>
          <w:sz w:val="28"/>
        </w:rPr>
      </w:pPr>
    </w:p>
    <w:p w:rsidR="00233A93" w:rsidP="009655CD">
      <w:pPr>
        <w:tabs>
          <w:tab w:val="left" w:pos="5040"/>
        </w:tabs>
        <w:jc w:val="both"/>
      </w:pPr>
      <w:r>
        <w:t>Gestorský výbor nedostal do začatia rokovania</w:t>
      </w:r>
      <w:r w:rsidR="00AF0941">
        <w:t xml:space="preserve"> o</w:t>
      </w:r>
      <w:r w:rsidRPr="00A241CC" w:rsidR="00B057C9">
        <w:t xml:space="preserve"> </w:t>
      </w:r>
      <w:r w:rsidRPr="00A241CC" w:rsidR="00A241CC">
        <w:t>vládnom návrhu zákona, ktorým sa mení a dopĺňa zákon č. 595/2003 Z. z. o dani z príjmov v znení neskorších predpisov a ktorým sa menia a dopĺňajú niektoré zákony (tlač 1123)</w:t>
      </w:r>
      <w:r w:rsidR="00A241CC">
        <w:t xml:space="preserve">  </w:t>
      </w:r>
      <w:r>
        <w:t>stanoviská  poslancov Národnej rady Slovenskej republiky podané v súlade s § 75 ods. 2 zákona NR SR č. 350/1996 Z. z. o rokovacom poriadku Národnej rady Slovenskej republiky v znení neskorších predpisov.</w:t>
      </w:r>
    </w:p>
    <w:p w:rsidR="00353558" w:rsidP="009655CD">
      <w:pPr>
        <w:jc w:val="both"/>
      </w:pPr>
    </w:p>
    <w:p w:rsidR="00233A93" w:rsidP="009655CD">
      <w:pPr>
        <w:pStyle w:val="BodyText2"/>
        <w:ind w:firstLine="3"/>
        <w:jc w:val="center"/>
        <w:rPr>
          <w:b/>
        </w:rPr>
      </w:pPr>
      <w:r>
        <w:rPr>
          <w:b/>
        </w:rPr>
        <w:t>III.</w:t>
      </w:r>
    </w:p>
    <w:p w:rsidR="00501B42" w:rsidP="009655CD">
      <w:pPr>
        <w:pStyle w:val="BodyText2"/>
        <w:ind w:left="705"/>
        <w:jc w:val="center"/>
        <w:rPr>
          <w:b/>
        </w:rPr>
      </w:pPr>
    </w:p>
    <w:p w:rsidR="00233A93" w:rsidP="009655CD">
      <w:pPr>
        <w:pStyle w:val="BodyText2"/>
        <w:ind w:firstLine="720"/>
      </w:pPr>
      <w:r>
        <w:t xml:space="preserve">K predmetnému </w:t>
      </w:r>
      <w:r w:rsidR="00EF184C">
        <w:t xml:space="preserve">vládnemu </w:t>
      </w:r>
      <w:r>
        <w:t xml:space="preserve">návrhu </w:t>
      </w:r>
      <w:r>
        <w:t>zákona zaujali výbory Národnej rady Slovenskej republiky tieto stanoviská:</w:t>
      </w:r>
    </w:p>
    <w:p w:rsidR="00E24C65" w:rsidP="009655CD">
      <w:pPr>
        <w:pStyle w:val="BodyText2"/>
        <w:ind w:firstLine="720"/>
      </w:pPr>
    </w:p>
    <w:p w:rsidR="009655CD" w:rsidRPr="00140EA4" w:rsidP="009655CD">
      <w:pPr>
        <w:pStyle w:val="ListParagraph"/>
        <w:numPr>
          <w:ilvl w:val="0"/>
          <w:numId w:val="48"/>
        </w:numPr>
        <w:spacing w:after="0" w:line="240" w:lineRule="auto"/>
        <w:rPr>
          <w:rFonts w:ascii="Times New Roman" w:hAnsi="Times New Roman"/>
          <w:b/>
          <w:bCs/>
          <w:sz w:val="24"/>
          <w:szCs w:val="24"/>
        </w:rPr>
      </w:pPr>
      <w:r w:rsidRPr="00140EA4">
        <w:rPr>
          <w:rFonts w:ascii="Times New Roman" w:hAnsi="Times New Roman"/>
          <w:sz w:val="24"/>
          <w:szCs w:val="24"/>
        </w:rPr>
        <w:t xml:space="preserve">Odporúčanie pre Národnú radu Slovenskej republiky návrh </w:t>
      </w:r>
      <w:r w:rsidRPr="00140EA4">
        <w:rPr>
          <w:rFonts w:ascii="Times New Roman" w:hAnsi="Times New Roman"/>
          <w:b/>
          <w:bCs/>
          <w:sz w:val="24"/>
          <w:szCs w:val="24"/>
        </w:rPr>
        <w:t>schváliť</w:t>
      </w:r>
    </w:p>
    <w:p w:rsidR="009655CD" w:rsidP="009655CD">
      <w:pPr>
        <w:pStyle w:val="BodyText2"/>
        <w:numPr>
          <w:ilvl w:val="0"/>
          <w:numId w:val="1"/>
        </w:numPr>
      </w:pPr>
      <w:r w:rsidRPr="00645D6A">
        <w:t xml:space="preserve">Výbor Národnej rady Slovenskej republiky pre </w:t>
      </w:r>
      <w:r>
        <w:t>zdravotníctvo (uzn. č. 119 zo dňa 24. septembra 2014)</w:t>
      </w:r>
    </w:p>
    <w:p w:rsidR="009655CD" w:rsidP="009655CD">
      <w:pPr>
        <w:pStyle w:val="BodyText2"/>
        <w:ind w:firstLine="720"/>
      </w:pPr>
    </w:p>
    <w:p w:rsidR="009655CD" w:rsidP="009655CD">
      <w:pPr>
        <w:pStyle w:val="BodyText2"/>
        <w:ind w:firstLine="720"/>
      </w:pPr>
    </w:p>
    <w:p w:rsidR="009655CD" w:rsidP="009655CD">
      <w:pPr>
        <w:pStyle w:val="BodyText2"/>
        <w:ind w:firstLine="720"/>
      </w:pPr>
    </w:p>
    <w:p w:rsidR="00301D8C" w:rsidP="009655CD">
      <w:pPr>
        <w:pStyle w:val="BodyText2"/>
        <w:numPr>
          <w:ilvl w:val="0"/>
          <w:numId w:val="48"/>
        </w:numPr>
        <w:rPr>
          <w:b/>
          <w:bCs/>
        </w:rPr>
      </w:pPr>
      <w:r>
        <w:t>Odporúčanie p</w:t>
      </w:r>
      <w:r>
        <w:t xml:space="preserve">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9655CD">
      <w:pPr>
        <w:pStyle w:val="BodyText2"/>
        <w:ind w:left="720"/>
        <w:rPr>
          <w:b/>
          <w:bCs/>
        </w:rPr>
      </w:pPr>
    </w:p>
    <w:p w:rsidR="0085353E" w:rsidP="009655CD">
      <w:pPr>
        <w:pStyle w:val="BodyText2"/>
        <w:numPr>
          <w:ilvl w:val="0"/>
          <w:numId w:val="1"/>
        </w:numPr>
      </w:pPr>
      <w:r>
        <w:t xml:space="preserve">Výbor Národnej rady Slovenskej republiky pre financie a rozpočet (uzn. č. </w:t>
      </w:r>
      <w:r w:rsidR="009A2FE0">
        <w:t>34</w:t>
      </w:r>
      <w:r w:rsidR="00140EA4">
        <w:t>5</w:t>
      </w:r>
      <w:r>
        <w:t xml:space="preserve"> zo dňa </w:t>
      </w:r>
      <w:r w:rsidR="003069F7">
        <w:t>7</w:t>
      </w:r>
      <w:r>
        <w:t xml:space="preserve">. </w:t>
      </w:r>
      <w:r w:rsidR="009124B6">
        <w:t xml:space="preserve">októbra </w:t>
      </w:r>
      <w:r w:rsidR="00C23D38">
        <w:t>201</w:t>
      </w:r>
      <w:r w:rsidR="003069F7">
        <w:t>4</w:t>
      </w:r>
      <w:r>
        <w:t>)</w:t>
      </w:r>
    </w:p>
    <w:p w:rsidR="00C23D38" w:rsidP="009655CD">
      <w:pPr>
        <w:pStyle w:val="BodyText2"/>
        <w:ind w:left="1065"/>
      </w:pPr>
    </w:p>
    <w:p w:rsidR="0063094F" w:rsidP="009655CD">
      <w:pPr>
        <w:pStyle w:val="BodyText2"/>
        <w:numPr>
          <w:ilvl w:val="0"/>
          <w:numId w:val="1"/>
        </w:numPr>
      </w:pPr>
      <w:r>
        <w:t>Ústavnoprávny výbor Národnej rady Slovenskej republiky</w:t>
      </w:r>
      <w:r w:rsidRPr="00DF21AE">
        <w:t xml:space="preserve"> </w:t>
      </w:r>
      <w:r w:rsidR="0085353E">
        <w:t xml:space="preserve">(uzn. č. </w:t>
      </w:r>
      <w:r w:rsidR="004E67F6">
        <w:t>501</w:t>
      </w:r>
      <w:r w:rsidR="00BE636E">
        <w:t xml:space="preserve"> </w:t>
      </w:r>
      <w:r>
        <w:t xml:space="preserve">zo dňa </w:t>
      </w:r>
      <w:r w:rsidR="004E67F6">
        <w:t>7</w:t>
      </w:r>
      <w:r>
        <w:t xml:space="preserve">. </w:t>
      </w:r>
      <w:r w:rsidR="009124B6">
        <w:t>októbra</w:t>
      </w:r>
      <w:r w:rsidR="00C23D38">
        <w:t xml:space="preserve"> 201</w:t>
      </w:r>
      <w:r w:rsidR="003069F7">
        <w:t>4</w:t>
      </w:r>
      <w:r w:rsidR="00C23D38">
        <w:t>)</w:t>
      </w:r>
    </w:p>
    <w:p w:rsidR="00D35084" w:rsidP="009655CD">
      <w:pPr>
        <w:pStyle w:val="BodyText2"/>
      </w:pPr>
    </w:p>
    <w:p w:rsidR="000734C1" w:rsidP="009655CD">
      <w:pPr>
        <w:pStyle w:val="BodyText2"/>
        <w:numPr>
          <w:ilvl w:val="0"/>
          <w:numId w:val="1"/>
        </w:numPr>
      </w:pPr>
      <w:r w:rsidRPr="00645D6A" w:rsidR="00D35084">
        <w:t xml:space="preserve">Výbor Národnej rady Slovenskej republiky pre </w:t>
      </w:r>
      <w:r w:rsidR="00A241CC">
        <w:t xml:space="preserve">hospodárske záležitosti </w:t>
      </w:r>
      <w:r>
        <w:t xml:space="preserve">(uzn. č. </w:t>
      </w:r>
      <w:r w:rsidR="00140EA4">
        <w:t>354</w:t>
      </w:r>
      <w:r>
        <w:t xml:space="preserve"> zo dňa </w:t>
      </w:r>
      <w:r w:rsidR="003069F7">
        <w:t>7</w:t>
      </w:r>
      <w:r>
        <w:t xml:space="preserve">. </w:t>
      </w:r>
      <w:r w:rsidR="009124B6">
        <w:t>októbra</w:t>
      </w:r>
      <w:r w:rsidR="003069F7">
        <w:t xml:space="preserve"> 2014</w:t>
      </w:r>
      <w:r>
        <w:t>)</w:t>
      </w:r>
    </w:p>
    <w:p w:rsidR="009655CD" w:rsidP="009655CD">
      <w:pPr>
        <w:pStyle w:val="ListParagraph"/>
        <w:spacing w:after="0" w:line="240" w:lineRule="auto"/>
      </w:pPr>
    </w:p>
    <w:p w:rsidR="009655CD" w:rsidP="009655CD">
      <w:pPr>
        <w:pStyle w:val="ListParagraph"/>
        <w:spacing w:after="0" w:line="240" w:lineRule="auto"/>
      </w:pPr>
    </w:p>
    <w:p w:rsidR="009655CD" w:rsidP="009655CD">
      <w:pPr>
        <w:pStyle w:val="ListParagraph"/>
        <w:spacing w:after="0" w:line="240" w:lineRule="auto"/>
      </w:pPr>
    </w:p>
    <w:p w:rsidR="00233A93" w:rsidP="009655CD">
      <w:pPr>
        <w:pStyle w:val="BodyText2"/>
        <w:jc w:val="center"/>
        <w:rPr>
          <w:b/>
        </w:rPr>
      </w:pPr>
      <w:r>
        <w:rPr>
          <w:b/>
        </w:rPr>
        <w:t>IV.</w:t>
      </w:r>
    </w:p>
    <w:p w:rsidR="00233A93" w:rsidP="009655CD">
      <w:pPr>
        <w:pStyle w:val="BodyText2"/>
        <w:ind w:left="1065"/>
        <w:jc w:val="center"/>
        <w:rPr>
          <w:b/>
        </w:rPr>
      </w:pPr>
    </w:p>
    <w:p w:rsidR="00233A93" w:rsidP="009655CD">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9655CD" w:rsidP="009655CD">
      <w:pPr>
        <w:pStyle w:val="BodyText2"/>
        <w:ind w:firstLine="708"/>
      </w:pPr>
    </w:p>
    <w:p w:rsidR="009655CD" w:rsidP="009655CD">
      <w:pPr>
        <w:pStyle w:val="BodyText2"/>
        <w:ind w:firstLine="708"/>
      </w:pPr>
    </w:p>
    <w:p w:rsidR="004E67F6" w:rsidRPr="004E67F6" w:rsidP="009655CD">
      <w:pPr>
        <w:numPr>
          <w:ilvl w:val="0"/>
          <w:numId w:val="40"/>
        </w:numPr>
        <w:ind w:hanging="1156"/>
        <w:contextualSpacing/>
        <w:rPr>
          <w:rFonts w:eastAsia="Calibri"/>
          <w:b/>
          <w:lang w:eastAsia="en-US"/>
        </w:rPr>
      </w:pPr>
      <w:r w:rsidRPr="004E67F6">
        <w:rPr>
          <w:rFonts w:eastAsia="Calibri"/>
          <w:b/>
          <w:lang w:eastAsia="en-US"/>
        </w:rPr>
        <w:t xml:space="preserve">K čl. I, 1. bodu </w:t>
      </w:r>
    </w:p>
    <w:p w:rsidR="004E67F6" w:rsidRPr="004E67F6" w:rsidP="009655CD">
      <w:pPr>
        <w:ind w:left="720"/>
        <w:contextualSpacing/>
        <w:rPr>
          <w:rFonts w:eastAsia="Calibri"/>
          <w:lang w:eastAsia="en-US"/>
        </w:rPr>
      </w:pPr>
      <w:r w:rsidRPr="004E67F6">
        <w:rPr>
          <w:rFonts w:eastAsia="Calibri"/>
          <w:lang w:eastAsia="en-US"/>
        </w:rPr>
        <w:t>V doterajšom bode 1, § 2 písm. i) sa vypúšťajú slová „uvedeného v prílohe č. 6“.</w:t>
      </w:r>
    </w:p>
    <w:p w:rsidR="004E67F6" w:rsidRPr="004E67F6" w:rsidP="009655CD">
      <w:pPr>
        <w:ind w:left="720"/>
        <w:contextualSpacing/>
        <w:rPr>
          <w:rFonts w:eastAsia="Calibri"/>
          <w:lang w:eastAsia="en-US"/>
        </w:rPr>
      </w:pPr>
    </w:p>
    <w:p w:rsidR="004E67F6" w:rsidRPr="004E67F6" w:rsidP="009655CD">
      <w:pPr>
        <w:ind w:left="3540"/>
        <w:contextualSpacing/>
        <w:jc w:val="both"/>
        <w:rPr>
          <w:rFonts w:eastAsia="Calibri"/>
          <w:lang w:eastAsia="en-US"/>
        </w:rPr>
      </w:pPr>
      <w:r w:rsidRPr="004E67F6">
        <w:rPr>
          <w:rFonts w:eastAsia="Calibri"/>
          <w:lang w:eastAsia="en-US"/>
        </w:rPr>
        <w:t>Navrhovanou úpravou sa v prípade majetku, ktorý môže mať charakter osobnej potreby, ponecháva presný pomer v akom je možné ho zahrnúť do daňových výdavkov, ak sa využíva aj na súkromné účely. Určenie majetku, ktorý môže využívať daňovník aj na súkromné účely však vyplynie z konkrétnych podmienok a nebude už pevne ustanovený zákonom.</w:t>
      </w:r>
    </w:p>
    <w:p w:rsidR="004E67F6" w:rsidP="009655CD">
      <w:pPr>
        <w:ind w:left="720"/>
        <w:contextualSpacing/>
        <w:jc w:val="both"/>
        <w:rPr>
          <w:rFonts w:eastAsia="Calibri"/>
          <w:lang w:eastAsia="en-U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334FE3" w:rsidRPr="004E67F6" w:rsidP="009655CD">
      <w:pPr>
        <w:ind w:left="720"/>
        <w:contextualSpacing/>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7. bodu</w:t>
      </w:r>
    </w:p>
    <w:p w:rsidR="004E67F6" w:rsidRPr="004E67F6" w:rsidP="009655CD">
      <w:pPr>
        <w:ind w:left="720"/>
        <w:contextualSpacing/>
        <w:jc w:val="both"/>
        <w:rPr>
          <w:rFonts w:eastAsia="Calibri"/>
          <w:lang w:eastAsia="en-US"/>
        </w:rPr>
      </w:pPr>
      <w:r w:rsidRPr="004E67F6">
        <w:rPr>
          <w:rFonts w:eastAsia="Calibri"/>
          <w:lang w:eastAsia="en-US"/>
        </w:rPr>
        <w:t>V doterajšom bode 7, § 5 ods. 3 písm. d) sa slová „prílohy č. 7“ nahrádzajú slovami „prílohy č. 6“.</w:t>
      </w:r>
    </w:p>
    <w:p w:rsidR="004E67F6" w:rsidRPr="004E67F6" w:rsidP="009655CD">
      <w:pPr>
        <w:ind w:left="3540"/>
        <w:jc w:val="both"/>
        <w:rPr>
          <w:rFonts w:eastAsia="Calibri"/>
          <w:lang w:eastAsia="en-US"/>
        </w:rPr>
      </w:pPr>
      <w:r w:rsidRPr="004E67F6">
        <w:rPr>
          <w:rFonts w:eastAsia="Calibri"/>
          <w:lang w:eastAsia="en-US"/>
        </w:rPr>
        <w:t xml:space="preserve">Navrhovanou úpravou sa v prípade majetku, ktorý môže mať charakter osobnej potreby, ponecháva presný pomer v akom je možné ho zahrnúť do daňových výdavkov, ak sa využíva aj na súkromné účely. Určenie majetku, ktorý môže využívať daňovník aj na súkromné účely však vyplynie z konkrétnych podmienok a nebude už pevne ustanovený zákonom. </w:t>
      </w:r>
    </w:p>
    <w:p w:rsidR="004E67F6" w:rsidP="009655CD">
      <w:pPr>
        <w:ind w:left="720"/>
        <w:contextualSpacing/>
        <w:rPr>
          <w:rFonts w:eastAsia="Calibri"/>
          <w:lang w:eastAsia="en-U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334FE3" w:rsidP="009655CD">
      <w:pPr>
        <w:ind w:left="720"/>
        <w:contextualSpacing/>
        <w:rPr>
          <w:rFonts w:eastAsia="Calibri"/>
          <w:lang w:eastAsia="en-US"/>
        </w:rPr>
      </w:pPr>
    </w:p>
    <w:p w:rsidR="004E67F6" w:rsidRPr="004E67F6" w:rsidP="009655CD">
      <w:pPr>
        <w:numPr>
          <w:ilvl w:val="0"/>
          <w:numId w:val="40"/>
        </w:numPr>
        <w:ind w:hanging="1156"/>
        <w:contextualSpacing/>
        <w:rPr>
          <w:rFonts w:eastAsia="Calibri"/>
          <w:b/>
          <w:iCs/>
          <w:lang w:eastAsia="en-US"/>
        </w:rPr>
      </w:pPr>
      <w:r w:rsidRPr="004E67F6">
        <w:rPr>
          <w:rFonts w:eastAsia="Calibri"/>
          <w:b/>
          <w:iCs/>
          <w:lang w:eastAsia="en-US"/>
        </w:rPr>
        <w:t>K čl. I, 10. bodu</w:t>
      </w:r>
    </w:p>
    <w:p w:rsidR="004E67F6" w:rsidRPr="004E67F6" w:rsidP="009655CD">
      <w:pPr>
        <w:ind w:left="720"/>
        <w:contextualSpacing/>
        <w:jc w:val="both"/>
        <w:rPr>
          <w:rFonts w:eastAsia="Calibri"/>
          <w:iCs/>
          <w:lang w:eastAsia="en-US"/>
        </w:rPr>
      </w:pPr>
      <w:r w:rsidRPr="004E67F6">
        <w:rPr>
          <w:rFonts w:eastAsia="Calibri"/>
          <w:iCs/>
          <w:lang w:eastAsia="en-US"/>
        </w:rPr>
        <w:t>Doterajší bod 10 znie:</w:t>
      </w:r>
    </w:p>
    <w:p w:rsidR="004E67F6" w:rsidRPr="004E67F6" w:rsidP="009655CD">
      <w:pPr>
        <w:ind w:left="720"/>
        <w:contextualSpacing/>
        <w:jc w:val="both"/>
        <w:rPr>
          <w:rFonts w:eastAsia="Calibri"/>
          <w:iCs/>
          <w:lang w:eastAsia="en-US"/>
        </w:rPr>
      </w:pPr>
      <w:r w:rsidRPr="004E67F6">
        <w:rPr>
          <w:rFonts w:eastAsia="Calibri"/>
          <w:iCs/>
          <w:lang w:eastAsia="en-US"/>
        </w:rPr>
        <w:t>„10. V § 8 sa odsek 1 dopĺňa písmenom n), ktoré znie:</w:t>
      </w:r>
    </w:p>
    <w:p w:rsidR="004E67F6" w:rsidRPr="004E67F6" w:rsidP="009655CD">
      <w:pPr>
        <w:ind w:left="720"/>
        <w:contextualSpacing/>
        <w:jc w:val="both"/>
        <w:rPr>
          <w:rFonts w:eastAsia="Calibri"/>
          <w:iCs/>
          <w:lang w:eastAsia="en-US"/>
        </w:rPr>
      </w:pPr>
      <w:r w:rsidRPr="004E67F6">
        <w:rPr>
          <w:rFonts w:eastAsia="Calibri"/>
          <w:iCs/>
          <w:lang w:eastAsia="en-US"/>
        </w:rPr>
        <w:t>„n) náhrada nemajetkovej ujmy,</w:t>
      </w:r>
      <w:r w:rsidRPr="004E67F6">
        <w:rPr>
          <w:rFonts w:eastAsia="Calibri"/>
          <w:iCs/>
          <w:vertAlign w:val="superscript"/>
          <w:lang w:eastAsia="en-US"/>
        </w:rPr>
        <w:t>37ae</w:t>
      </w:r>
      <w:r w:rsidRPr="004E67F6">
        <w:rPr>
          <w:rFonts w:eastAsia="Calibri"/>
          <w:iCs/>
          <w:lang w:eastAsia="en-US"/>
        </w:rPr>
        <w:t>) okrem náhrady nemajetkovej ujmy, ktorá bola spôsobená trestným činom.“.“.</w:t>
      </w:r>
    </w:p>
    <w:p w:rsidR="004E67F6" w:rsidRPr="004E67F6" w:rsidP="009655CD">
      <w:pPr>
        <w:ind w:left="720"/>
        <w:contextualSpacing/>
        <w:rPr>
          <w:rFonts w:eastAsia="Calibri"/>
          <w:iCs/>
          <w:lang w:eastAsia="en-US"/>
        </w:rPr>
      </w:pPr>
    </w:p>
    <w:p w:rsidR="004E67F6" w:rsidRPr="004E67F6" w:rsidP="009655CD">
      <w:pPr>
        <w:ind w:left="284"/>
        <w:contextualSpacing/>
        <w:rPr>
          <w:rFonts w:eastAsia="Calibri"/>
          <w:lang w:eastAsia="en-US"/>
        </w:rPr>
      </w:pPr>
      <w:r w:rsidRPr="004E67F6">
        <w:rPr>
          <w:rFonts w:eastAsia="Calibri"/>
          <w:lang w:eastAsia="en-US"/>
        </w:rPr>
        <w:t>Poznámka pod čiarou k odkazu 37ae znie:</w:t>
      </w:r>
    </w:p>
    <w:p w:rsidR="004E67F6" w:rsidRPr="004E67F6" w:rsidP="009655CD">
      <w:pPr>
        <w:ind w:left="284"/>
        <w:contextualSpacing/>
        <w:rPr>
          <w:rFonts w:eastAsia="Calibri"/>
          <w:lang w:eastAsia="en-US"/>
        </w:rPr>
      </w:pPr>
      <w:r w:rsidRPr="004E67F6">
        <w:rPr>
          <w:rFonts w:eastAsia="Calibri"/>
          <w:lang w:eastAsia="en-US"/>
        </w:rPr>
        <w:t>„</w:t>
      </w:r>
      <w:r w:rsidRPr="004E67F6">
        <w:rPr>
          <w:rFonts w:eastAsia="Calibri"/>
          <w:vertAlign w:val="superscript"/>
          <w:lang w:eastAsia="en-US"/>
        </w:rPr>
        <w:t>37ae</w:t>
      </w:r>
      <w:r w:rsidRPr="004E67F6">
        <w:rPr>
          <w:rFonts w:eastAsia="Calibri"/>
          <w:lang w:eastAsia="en-US"/>
        </w:rPr>
        <w:t>) § 13 ods. 2 Občianskeho zákonníka v znení neskorších predpisov.“.</w:t>
      </w:r>
    </w:p>
    <w:p w:rsidR="004E67F6" w:rsidRPr="004E67F6" w:rsidP="009655CD">
      <w:pPr>
        <w:ind w:left="720"/>
        <w:contextualSpacing/>
        <w:rPr>
          <w:rFonts w:eastAsia="Calibri"/>
          <w:iCs/>
          <w:lang w:eastAsia="en-US"/>
        </w:rPr>
      </w:pPr>
    </w:p>
    <w:p w:rsidR="004E67F6" w:rsidP="009655CD">
      <w:pPr>
        <w:ind w:left="3540"/>
        <w:jc w:val="both"/>
        <w:rPr>
          <w:rFonts w:eastAsia="Calibri"/>
          <w:lang w:eastAsia="en-US"/>
        </w:rPr>
      </w:pPr>
      <w:r w:rsidRPr="004E67F6">
        <w:rPr>
          <w:rFonts w:eastAsia="Calibri"/>
          <w:lang w:eastAsia="en-US"/>
        </w:rPr>
        <w:t xml:space="preserve">Navrhovanou úpravou sa zavádza výnimka pre prípady zdanenia nemajetkovej ujmy, o ktorej bolo rozhodnuté podľa § 13 ods. 2 Občianskeho zákonníka, ale </w:t>
      </w:r>
      <w:r w:rsidRPr="004E67F6">
        <w:rPr>
          <w:rFonts w:eastAsia="Calibri"/>
          <w:lang w:eastAsia="en-US"/>
        </w:rPr>
        <w:t>v nadväznosti na rozhodnutie trestného súdu.</w:t>
      </w:r>
    </w:p>
    <w:p w:rsidR="009655CD" w:rsidP="009655CD">
      <w:pPr>
        <w:ind w:left="3540"/>
        <w:jc w:val="both"/>
        <w:rPr>
          <w:rFonts w:eastAsia="Calibri"/>
          <w:lang w:eastAsia="en-U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ind w:left="4395"/>
        <w:jc w:val="both"/>
        <w:rPr>
          <w:rFonts w:eastAsia="Calibri"/>
          <w:lang w:eastAsia="en-US"/>
        </w:rPr>
      </w:pPr>
    </w:p>
    <w:p w:rsidR="004E67F6" w:rsidRPr="004E67F6" w:rsidP="009655CD">
      <w:pPr>
        <w:numPr>
          <w:ilvl w:val="0"/>
          <w:numId w:val="40"/>
        </w:numPr>
        <w:ind w:hanging="1156"/>
        <w:contextualSpacing/>
        <w:rPr>
          <w:rFonts w:eastAsia="Calibri"/>
          <w:b/>
          <w:lang w:eastAsia="en-US"/>
        </w:rPr>
      </w:pPr>
      <w:r w:rsidRPr="004E67F6">
        <w:rPr>
          <w:rFonts w:eastAsia="Calibri"/>
          <w:b/>
          <w:lang w:eastAsia="en-US"/>
        </w:rPr>
        <w:t>K čl. I, 12. bodu</w:t>
      </w:r>
    </w:p>
    <w:p w:rsidR="004E67F6" w:rsidRPr="004E67F6" w:rsidP="009655CD">
      <w:pPr>
        <w:ind w:left="714"/>
        <w:contextualSpacing/>
        <w:jc w:val="both"/>
        <w:rPr>
          <w:rFonts w:eastAsia="Calibri"/>
          <w:lang w:eastAsia="en-US"/>
        </w:rPr>
      </w:pPr>
      <w:r w:rsidRPr="004E67F6">
        <w:rPr>
          <w:rFonts w:eastAsia="Calibri"/>
          <w:lang w:eastAsia="en-US"/>
        </w:rPr>
        <w:t>V doterajšom bode 12 § 8 ods. 5 písm. f) druhom bode sa za slová „obstaraním tejto nehnuteľnosti“ vkladajú slová „alebo úroky z účelového úveru na bývanie, ktorý má v zmluvných podmienkach uvedené obstaranie tejto nehnuteľnosti“.</w:t>
      </w:r>
    </w:p>
    <w:p w:rsidR="004E67F6" w:rsidRPr="004E67F6" w:rsidP="009655CD">
      <w:pPr>
        <w:jc w:val="both"/>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 xml:space="preserve">Uvedená úprava navrhuje rozšírenie možnosti uplatňovania úrokov aj z účelových úverov určených špeciálne na bývanie, pri ktorých preukázateľne zo zmluvných podmienok vyplýva presné určenie obstarávanej a teraz predávanej nehnuteľnosti (adresa, poloha bytu, podlahová plocha a pod.).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ind w:left="720"/>
        <w:contextualSpacing/>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 nový bod</w:t>
      </w:r>
    </w:p>
    <w:p w:rsidR="004E67F6" w:rsidRPr="004E67F6" w:rsidP="009655CD">
      <w:pPr>
        <w:ind w:left="720"/>
        <w:contextualSpacing/>
        <w:jc w:val="both"/>
        <w:rPr>
          <w:rFonts w:eastAsia="Calibri"/>
          <w:lang w:eastAsia="en-US"/>
        </w:rPr>
      </w:pPr>
      <w:r w:rsidRPr="004E67F6">
        <w:rPr>
          <w:rFonts w:eastAsia="Calibri"/>
          <w:lang w:eastAsia="en-US"/>
        </w:rPr>
        <w:t>Za doterajší bod 18 sa vk</w:t>
      </w:r>
      <w:r w:rsidRPr="004E67F6">
        <w:rPr>
          <w:rFonts w:eastAsia="Calibri"/>
          <w:lang w:eastAsia="en-US"/>
        </w:rPr>
        <w:t>ladá nový bod 19, ktorý znie:</w:t>
      </w:r>
    </w:p>
    <w:p w:rsidR="004E67F6" w:rsidRPr="004E67F6" w:rsidP="009655CD">
      <w:pPr>
        <w:ind w:left="709"/>
        <w:contextualSpacing/>
        <w:jc w:val="both"/>
        <w:rPr>
          <w:rFonts w:eastAsia="Calibri"/>
          <w:lang w:eastAsia="en-US"/>
        </w:rPr>
      </w:pPr>
      <w:r w:rsidRPr="004E67F6">
        <w:rPr>
          <w:rFonts w:eastAsia="Calibri"/>
          <w:lang w:eastAsia="en-US"/>
        </w:rPr>
        <w:t>„19. V § 17  sa odsek 3 dopĺňa písmenom j), ktoré znie:</w:t>
      </w:r>
    </w:p>
    <w:p w:rsidR="004E67F6" w:rsidRPr="004E67F6" w:rsidP="009655CD">
      <w:pPr>
        <w:ind w:left="709"/>
        <w:contextualSpacing/>
        <w:jc w:val="both"/>
        <w:rPr>
          <w:rFonts w:eastAsia="Calibri"/>
          <w:lang w:eastAsia="en-US"/>
        </w:rPr>
      </w:pPr>
      <w:r w:rsidRPr="004E67F6">
        <w:rPr>
          <w:rFonts w:eastAsia="Calibri"/>
          <w:lang w:eastAsia="en-US"/>
        </w:rPr>
        <w:t>„j) inventarizačný prebytok odpisovaného hmotného majetku a nehmotného majetku zistený pri inventarizácií</w:t>
      </w:r>
      <w:r w:rsidRPr="004E67F6">
        <w:rPr>
          <w:rFonts w:eastAsia="Calibri"/>
          <w:vertAlign w:val="superscript"/>
          <w:lang w:eastAsia="en-US"/>
        </w:rPr>
        <w:t>1)</w:t>
      </w:r>
      <w:r w:rsidRPr="004E67F6">
        <w:rPr>
          <w:rFonts w:eastAsia="Calibri"/>
          <w:lang w:eastAsia="en-US"/>
        </w:rPr>
        <w:t xml:space="preserve"> v zdaňovacom období, v ktorom bolo o ňom účtované vo výnosoch podľa osobitného predpisu</w:t>
      </w:r>
      <w:r w:rsidRPr="004E67F6">
        <w:rPr>
          <w:rFonts w:eastAsia="Calibri"/>
          <w:vertAlign w:val="superscript"/>
          <w:lang w:eastAsia="en-US"/>
        </w:rPr>
        <w:t>1)</w:t>
      </w:r>
      <w:r w:rsidRPr="004E67F6">
        <w:rPr>
          <w:rFonts w:eastAsia="Calibri"/>
          <w:lang w:eastAsia="en-US"/>
        </w:rPr>
        <w:t>; tento prebytok sa zahrnie do základu dane počas doby odpisovania tohto majetku podľa § 26 a vo výške odpisu podľa §  27.“.“.</w:t>
      </w:r>
    </w:p>
    <w:p w:rsidR="004E67F6" w:rsidRPr="004E67F6" w:rsidP="009655CD">
      <w:pPr>
        <w:ind w:left="709"/>
        <w:contextualSpacing/>
        <w:jc w:val="both"/>
        <w:rPr>
          <w:rFonts w:eastAsia="Calibri"/>
          <w:lang w:eastAsia="en-US"/>
        </w:rPr>
      </w:pPr>
    </w:p>
    <w:p w:rsidR="004E67F6" w:rsidRPr="004E67F6" w:rsidP="009655CD">
      <w:pPr>
        <w:ind w:left="426"/>
        <w:jc w:val="both"/>
        <w:rPr>
          <w:rFonts w:eastAsia="Calibri"/>
          <w:lang w:eastAsia="en-US"/>
        </w:rPr>
      </w:pPr>
      <w:r w:rsidRPr="004E67F6">
        <w:rPr>
          <w:rFonts w:eastAsia="Calibri"/>
          <w:lang w:eastAsia="en-US"/>
        </w:rPr>
        <w:t>Doterajšie body 19 až 87 sa primerane prečíslujú.</w:t>
      </w:r>
    </w:p>
    <w:p w:rsidR="004E67F6" w:rsidRPr="004E67F6" w:rsidP="009655CD">
      <w:pPr>
        <w:ind w:left="3540"/>
        <w:jc w:val="both"/>
        <w:rPr>
          <w:rFonts w:eastAsia="Calibri"/>
          <w:color w:val="000000"/>
          <w:lang w:eastAsia="en-US"/>
        </w:rPr>
      </w:pPr>
    </w:p>
    <w:p w:rsidR="004E67F6" w:rsidRPr="004E67F6" w:rsidP="009655CD">
      <w:pPr>
        <w:ind w:left="3540"/>
        <w:jc w:val="both"/>
        <w:rPr>
          <w:rFonts w:eastAsia="Calibri"/>
          <w:color w:val="000000"/>
          <w:lang w:eastAsia="en-US"/>
        </w:rPr>
      </w:pPr>
      <w:r w:rsidRPr="004E67F6">
        <w:rPr>
          <w:rFonts w:eastAsia="Calibri"/>
          <w:color w:val="000000"/>
          <w:lang w:eastAsia="en-US"/>
        </w:rPr>
        <w:t>V súčasnosti sa inventarizačný prebytok odpisovaného hmotného majetku a nehmotného majetku považuje za majetok vylúčený z odpisovania. V nadväznosti na postupy účtovania pre podnikateľov, podľa ktorých sa inventarizačný prebytok odpisovaného hmotného majetku a nehmotného majetku rozpúšťa do výnosov vo vecnej a časovej súvislosti so zaúčtovaním odpisov, sa uvedenou úpravou navrhuje aj na účely zákona o dani z príjmov považovať inventarizačný prebytok odpisovaného hmotného majetku a nehmotného majetku za odpisovaný majetok a zahŕňať ho do základu dane počas jeho doby odpisovania podľa § 26 zákona o dani z príjmov vo výške jeho daňového odpisu zahŕňaného do základu dane.</w:t>
      </w:r>
    </w:p>
    <w:p w:rsidR="004E67F6" w:rsidP="009655CD">
      <w:pPr>
        <w:jc w:val="both"/>
        <w:rPr>
          <w:rFonts w:eastAsia="Calibri"/>
          <w:b/>
          <w:lang w:eastAsia="en-U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334FE3" w:rsidP="009655CD">
      <w:pPr>
        <w:jc w:val="both"/>
        <w:rPr>
          <w:rFonts w:eastAsia="Calibri"/>
          <w:b/>
          <w:lang w:eastAsia="en-US"/>
        </w:rPr>
      </w:pPr>
    </w:p>
    <w:p w:rsidR="009655CD" w:rsidP="009655CD">
      <w:pPr>
        <w:jc w:val="both"/>
        <w:rPr>
          <w:rFonts w:eastAsia="Calibri"/>
          <w:b/>
          <w:lang w:eastAsia="en-US"/>
        </w:rPr>
      </w:pPr>
    </w:p>
    <w:p w:rsidR="009655CD" w:rsidP="009655CD">
      <w:pPr>
        <w:jc w:val="both"/>
        <w:rPr>
          <w:rFonts w:eastAsia="Calibri"/>
          <w:b/>
          <w:lang w:eastAsia="en-US"/>
        </w:rPr>
      </w:pPr>
    </w:p>
    <w:p w:rsidR="009655CD" w:rsidP="009655CD">
      <w:pPr>
        <w:jc w:val="both"/>
        <w:rPr>
          <w:rFonts w:eastAsia="Calibri"/>
          <w:b/>
          <w:lang w:eastAsia="en-US"/>
        </w:rPr>
      </w:pPr>
    </w:p>
    <w:p w:rsidR="009655CD" w:rsidP="009655CD">
      <w:pPr>
        <w:jc w:val="both"/>
        <w:rPr>
          <w:rFonts w:eastAsia="Calibri"/>
          <w:b/>
          <w:lang w:eastAsia="en-US"/>
        </w:rPr>
      </w:pPr>
    </w:p>
    <w:p w:rsidR="009655CD" w:rsidP="009655CD">
      <w:pPr>
        <w:jc w:val="both"/>
        <w:rPr>
          <w:rFonts w:eastAsia="Calibri"/>
          <w:b/>
          <w:lang w:eastAsia="en-US"/>
        </w:rPr>
      </w:pPr>
    </w:p>
    <w:p w:rsidR="009655CD" w:rsidRPr="004E67F6" w:rsidP="009655CD">
      <w:pPr>
        <w:jc w:val="both"/>
        <w:rPr>
          <w:rFonts w:eastAsia="Calibri"/>
          <w:b/>
          <w:lang w:eastAsia="en-US"/>
        </w:rPr>
      </w:pPr>
    </w:p>
    <w:p w:rsidR="004E67F6" w:rsidRPr="004E67F6" w:rsidP="009655CD">
      <w:pPr>
        <w:numPr>
          <w:ilvl w:val="0"/>
          <w:numId w:val="40"/>
        </w:numPr>
        <w:overflowPunct w:val="0"/>
        <w:ind w:hanging="1156"/>
        <w:contextualSpacing/>
        <w:jc w:val="both"/>
        <w:rPr>
          <w:b/>
        </w:rPr>
      </w:pPr>
      <w:r w:rsidRPr="004E67F6">
        <w:rPr>
          <w:b/>
        </w:rPr>
        <w:t xml:space="preserve">K čl. I, 26. bodu </w:t>
      </w:r>
    </w:p>
    <w:p w:rsidR="004E67F6" w:rsidRPr="004E67F6" w:rsidP="009655CD">
      <w:pPr>
        <w:overflowPunct w:val="0"/>
        <w:ind w:left="720"/>
        <w:contextualSpacing/>
        <w:jc w:val="both"/>
      </w:pPr>
      <w:r w:rsidRPr="004E67F6">
        <w:t xml:space="preserve">V 26. bode, § 17 ods. 19 písm. a) sa vypúšťa čiarka za slovom „predpisu“. </w:t>
      </w:r>
    </w:p>
    <w:p w:rsidR="004E67F6" w:rsidRPr="004E67F6" w:rsidP="009655CD">
      <w:pPr>
        <w:overflowPunct w:val="0"/>
        <w:ind w:left="720"/>
        <w:contextualSpacing/>
        <w:jc w:val="both"/>
      </w:pPr>
    </w:p>
    <w:p w:rsidR="004E67F6" w:rsidRPr="004E67F6" w:rsidP="009655CD">
      <w:pPr>
        <w:overflowPunct w:val="0"/>
        <w:ind w:left="2844" w:firstLine="696"/>
        <w:contextualSpacing/>
        <w:jc w:val="both"/>
      </w:pPr>
      <w:r w:rsidRPr="004E67F6">
        <w:t xml:space="preserve">Gramatická pripomienka. </w:t>
      </w:r>
    </w:p>
    <w:p w:rsidR="00334FE3" w:rsidP="009655CD">
      <w:pPr>
        <w:ind w:left="2832" w:firstLine="708"/>
        <w:jc w:val="both"/>
        <w:rPr>
          <w:b/>
        </w:rPr>
      </w:pPr>
    </w:p>
    <w:p w:rsidR="009655CD"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ind w:hanging="1156"/>
        <w:jc w:val="both"/>
        <w:rPr>
          <w:rFonts w:eastAsia="Calibri"/>
          <w:b/>
          <w:lang w:eastAsia="en-US"/>
        </w:rPr>
      </w:pPr>
      <w:r w:rsidRPr="004E67F6">
        <w:rPr>
          <w:rFonts w:eastAsia="Calibri"/>
          <w:b/>
          <w:lang w:eastAsia="en-US"/>
        </w:rPr>
        <w:t>K čl. I, 26. bodu</w:t>
      </w:r>
    </w:p>
    <w:p w:rsidR="004E67F6" w:rsidRPr="004E67F6" w:rsidP="009655CD">
      <w:pPr>
        <w:ind w:firstLine="708"/>
        <w:jc w:val="both"/>
        <w:rPr>
          <w:rFonts w:eastAsia="Calibri"/>
          <w:lang w:eastAsia="en-US"/>
        </w:rPr>
      </w:pPr>
      <w:r w:rsidRPr="004E67F6">
        <w:rPr>
          <w:rFonts w:eastAsia="Calibri"/>
          <w:lang w:eastAsia="en-US"/>
        </w:rPr>
        <w:t xml:space="preserve">V doterajšom bode 26, § 17 ods. 19 písm. d) sa číslo „10“ nahrádza číslom „20“. </w:t>
      </w:r>
    </w:p>
    <w:p w:rsidR="004E67F6" w:rsidRPr="004E67F6" w:rsidP="009655CD">
      <w:pPr>
        <w:ind w:left="720"/>
        <w:contextualSpacing/>
        <w:rPr>
          <w:rFonts w:eastAsia="Calibri"/>
          <w:lang w:eastAsia="en-US"/>
        </w:rPr>
      </w:pPr>
    </w:p>
    <w:p w:rsidR="004E67F6" w:rsidRPr="004E67F6" w:rsidP="009655CD">
      <w:pPr>
        <w:ind w:left="3540"/>
        <w:contextualSpacing/>
        <w:jc w:val="both"/>
        <w:rPr>
          <w:rFonts w:eastAsia="Calibri"/>
          <w:lang w:eastAsia="en-US"/>
        </w:rPr>
      </w:pPr>
      <w:r w:rsidRPr="004E67F6">
        <w:rPr>
          <w:rFonts w:eastAsia="Calibri"/>
          <w:lang w:eastAsia="en-US"/>
        </w:rPr>
        <w:t xml:space="preserve">Úpravou sa navrhuje zvýšiť limit na uznanie provízií za sprostredkovanie z 10 % na 20 %, a to predovšetkým z dôvodu, že provízie za sprostredkovanie vo výške viac ako 10 % sú bežnou súčasťou obchodného modelu. </w:t>
      </w:r>
    </w:p>
    <w:p w:rsidR="00334FE3" w:rsidP="009655CD">
      <w:pPr>
        <w:ind w:left="2832" w:firstLine="708"/>
        <w:jc w:val="both"/>
        <w:rPr>
          <w:b/>
        </w:rPr>
      </w:pPr>
    </w:p>
    <w:p w:rsidR="00334FE3" w:rsidP="009655CD">
      <w:pPr>
        <w:ind w:left="2832" w:firstLine="708"/>
        <w:jc w:val="both"/>
        <w:rPr>
          <w:b/>
        </w:rPr>
      </w:pPr>
      <w:r w:rsidRPr="0085353E">
        <w:rPr>
          <w:b/>
        </w:rPr>
        <w:t>V</w:t>
      </w:r>
      <w:r w:rsidRPr="0085353E">
        <w:rPr>
          <w:b/>
        </w:rPr>
        <w:t>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ind w:left="4395"/>
        <w:contextualSpacing/>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26. bodu</w:t>
      </w:r>
    </w:p>
    <w:p w:rsidR="004E67F6" w:rsidRPr="004E67F6" w:rsidP="009655CD">
      <w:pPr>
        <w:ind w:left="720"/>
        <w:contextualSpacing/>
        <w:jc w:val="both"/>
        <w:rPr>
          <w:rFonts w:eastAsia="Calibri"/>
          <w:lang w:eastAsia="en-US"/>
        </w:rPr>
      </w:pPr>
      <w:r w:rsidRPr="004E67F6">
        <w:rPr>
          <w:rFonts w:eastAsia="Calibri"/>
          <w:lang w:eastAsia="en-US"/>
        </w:rPr>
        <w:t>V doterajšom bode 26 poznámka pod čiarou k odkazu 79b znie:</w:t>
      </w:r>
    </w:p>
    <w:p w:rsidR="004E67F6" w:rsidRPr="004E67F6" w:rsidP="009655CD">
      <w:pPr>
        <w:ind w:left="720"/>
        <w:contextualSpacing/>
        <w:jc w:val="both"/>
        <w:rPr>
          <w:rFonts w:eastAsia="Calibri"/>
          <w:bCs/>
          <w:lang w:eastAsia="en-US"/>
        </w:rPr>
      </w:pPr>
      <w:r w:rsidRPr="004E67F6">
        <w:rPr>
          <w:rFonts w:eastAsia="Calibri"/>
          <w:bCs/>
          <w:lang w:eastAsia="en-US"/>
        </w:rPr>
        <w:t>„</w:t>
      </w:r>
      <w:r w:rsidRPr="004E67F6">
        <w:rPr>
          <w:rFonts w:eastAsia="Calibri"/>
          <w:bCs/>
          <w:vertAlign w:val="superscript"/>
          <w:lang w:eastAsia="en-US"/>
        </w:rPr>
        <w:t>79b</w:t>
      </w:r>
      <w:r w:rsidRPr="004E67F6">
        <w:rPr>
          <w:rFonts w:eastAsia="Calibri"/>
          <w:bCs/>
          <w:lang w:eastAsia="en-US"/>
        </w:rPr>
        <w:t>) § 47 zákona č. 43/2004 Z. z. v znení neskorších predpisov.</w:t>
      </w:r>
    </w:p>
    <w:p w:rsidR="004E67F6" w:rsidRPr="004E67F6" w:rsidP="009655CD">
      <w:pPr>
        <w:ind w:left="851"/>
        <w:contextualSpacing/>
        <w:jc w:val="both"/>
        <w:rPr>
          <w:rFonts w:eastAsia="Calibri"/>
          <w:bCs/>
          <w:lang w:eastAsia="en-US"/>
        </w:rPr>
      </w:pPr>
      <w:r w:rsidRPr="004E67F6">
        <w:rPr>
          <w:rFonts w:eastAsia="Calibri"/>
          <w:bCs/>
          <w:lang w:eastAsia="en-US"/>
        </w:rPr>
        <w:t>§ 22 zákona č. 650/2004 Z. z. v znení nesk</w:t>
      </w:r>
      <w:r w:rsidRPr="004E67F6">
        <w:rPr>
          <w:rFonts w:eastAsia="Calibri"/>
          <w:bCs/>
          <w:lang w:eastAsia="en-US"/>
        </w:rPr>
        <w:t>orších predpisov.</w:t>
      </w:r>
    </w:p>
    <w:p w:rsidR="004E67F6" w:rsidRPr="004E67F6" w:rsidP="009655CD">
      <w:pPr>
        <w:ind w:left="993" w:hanging="142"/>
        <w:contextualSpacing/>
        <w:jc w:val="both"/>
        <w:rPr>
          <w:rFonts w:eastAsia="Calibri"/>
          <w:bCs/>
          <w:lang w:eastAsia="en-US"/>
        </w:rPr>
      </w:pPr>
      <w:r w:rsidRPr="004E67F6">
        <w:rPr>
          <w:rFonts w:eastAsia="Calibri"/>
          <w:bCs/>
          <w:lang w:eastAsia="en-US"/>
        </w:rPr>
        <w:t>§ 4 písm. b) a § 6 až 12 zákona č. 186/2009 Z. z. o finančnom sprostredkovaní a finančnom poradenstve a o zmene a doplnení niektorých zákonov v znení neskorších predpisov.</w:t>
      </w:r>
    </w:p>
    <w:p w:rsidR="004E67F6" w:rsidRPr="004E67F6" w:rsidP="009655CD">
      <w:pPr>
        <w:ind w:left="993" w:hanging="142"/>
        <w:contextualSpacing/>
        <w:jc w:val="both"/>
        <w:rPr>
          <w:rFonts w:eastAsia="Calibri"/>
          <w:bCs/>
          <w:lang w:eastAsia="en-US"/>
        </w:rPr>
      </w:pPr>
      <w:r w:rsidRPr="004E67F6">
        <w:rPr>
          <w:rFonts w:eastAsia="Calibri"/>
          <w:bCs/>
          <w:lang w:eastAsia="en-US"/>
        </w:rPr>
        <w:t>Zákon č. 492/2009 Z. z. o platobných službách a o zmene a doplnení</w:t>
      </w:r>
      <w:r w:rsidRPr="004E67F6">
        <w:rPr>
          <w:rFonts w:eastAsia="Calibri"/>
          <w:bCs/>
          <w:lang w:eastAsia="en-US"/>
        </w:rPr>
        <w:t xml:space="preserve"> niektorých zákonov v znení neskorších predpisov.</w:t>
      </w:r>
    </w:p>
    <w:p w:rsidR="004E67F6" w:rsidRPr="004E67F6" w:rsidP="009655CD">
      <w:pPr>
        <w:ind w:left="851"/>
        <w:contextualSpacing/>
        <w:jc w:val="both"/>
        <w:rPr>
          <w:rFonts w:eastAsia="Calibri"/>
          <w:bCs/>
          <w:lang w:eastAsia="en-US"/>
        </w:rPr>
      </w:pPr>
      <w:r w:rsidRPr="004E67F6">
        <w:rPr>
          <w:rFonts w:eastAsia="Calibri"/>
          <w:bCs/>
          <w:lang w:eastAsia="en-US"/>
        </w:rPr>
        <w:t>§ 4 zákona č. 203/2011 Z. z. v znení zákona č. 206/2013 Z. z.</w:t>
      </w:r>
    </w:p>
    <w:p w:rsidR="004E67F6" w:rsidRPr="004E67F6" w:rsidP="009655CD">
      <w:pPr>
        <w:ind w:left="851"/>
        <w:contextualSpacing/>
        <w:jc w:val="both"/>
        <w:rPr>
          <w:rFonts w:eastAsia="Calibri"/>
          <w:bCs/>
          <w:lang w:eastAsia="en-US"/>
        </w:rPr>
      </w:pPr>
      <w:r w:rsidRPr="004E67F6">
        <w:rPr>
          <w:rFonts w:eastAsia="Calibri"/>
          <w:bCs/>
          <w:lang w:eastAsia="en-US"/>
        </w:rPr>
        <w:t>Zákon č. 351/2011 Z. z. o elektronických komunikáciách v znení neskorších predpisov.“.</w:t>
      </w:r>
    </w:p>
    <w:p w:rsidR="004E67F6" w:rsidRPr="004E67F6" w:rsidP="009655CD">
      <w:pPr>
        <w:ind w:left="720"/>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Navrhovanou úpravou sa spresňuje poznámka pod čiarou  tý</w:t>
      </w:r>
      <w:r w:rsidRPr="004E67F6">
        <w:rPr>
          <w:rFonts w:eastAsia="Calibri"/>
          <w:lang w:eastAsia="en-US"/>
        </w:rPr>
        <w:t>kajúca sa subjektov, u ktorých vyplácané provízie nebudú limitované.</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 nový bod</w:t>
      </w:r>
    </w:p>
    <w:p w:rsidR="004E67F6" w:rsidRPr="004E67F6" w:rsidP="009655CD">
      <w:pPr>
        <w:ind w:left="284" w:firstLine="424"/>
        <w:contextualSpacing/>
        <w:jc w:val="both"/>
        <w:rPr>
          <w:rFonts w:eastAsia="Calibri"/>
          <w:lang w:eastAsia="en-US"/>
        </w:rPr>
      </w:pPr>
      <w:r w:rsidRPr="004E67F6">
        <w:rPr>
          <w:rFonts w:eastAsia="Calibri"/>
          <w:lang w:eastAsia="en-US"/>
        </w:rPr>
        <w:t>Za doterajší bod 26 sa vkladá nový bod 27, ktorý znie:</w:t>
      </w:r>
    </w:p>
    <w:p w:rsidR="004E67F6" w:rsidRPr="004E67F6" w:rsidP="009655CD">
      <w:pPr>
        <w:ind w:firstLine="708"/>
        <w:jc w:val="both"/>
        <w:rPr>
          <w:rFonts w:eastAsia="Calibri"/>
          <w:lang w:eastAsia="en-US"/>
        </w:rPr>
      </w:pPr>
      <w:r w:rsidRPr="004E67F6">
        <w:rPr>
          <w:rFonts w:eastAsia="Calibri"/>
          <w:lang w:eastAsia="en-US"/>
        </w:rPr>
        <w:t>„27. V § 17 odsek 20 znie:</w:t>
      </w:r>
    </w:p>
    <w:p w:rsidR="004E67F6" w:rsidRPr="004E67F6" w:rsidP="009655CD">
      <w:pPr>
        <w:ind w:left="708"/>
        <w:jc w:val="both"/>
        <w:rPr>
          <w:rFonts w:eastAsia="Calibri"/>
          <w:lang w:eastAsia="en-US"/>
        </w:rPr>
      </w:pPr>
      <w:r w:rsidRPr="004E67F6">
        <w:rPr>
          <w:rFonts w:eastAsia="Calibri"/>
          <w:lang w:eastAsia="en-US"/>
        </w:rPr>
        <w:t>„(20) Súčasťou základu dane je aj nepeňažný príjem prenajímateľa, ktorý je vlastníkom veci prenajatej na základe nájomnej zmluvy alebo iného užívacieho vzťahu,</w:t>
      </w:r>
      <w:r w:rsidRPr="004E67F6">
        <w:rPr>
          <w:rFonts w:eastAsia="Calibri"/>
          <w:vertAlign w:val="superscript"/>
          <w:lang w:eastAsia="en-US"/>
        </w:rPr>
        <w:t>80</w:t>
      </w:r>
      <w:r w:rsidRPr="004E67F6">
        <w:rPr>
          <w:rFonts w:eastAsia="Calibri"/>
          <w:lang w:eastAsia="en-US"/>
        </w:rPr>
        <w:t>) (ďalej len „nájomná zmluva“) a to vo výške výdavkov vynaložených nájomcom alebo užívateľom podľa osobitnéh</w:t>
      </w:r>
      <w:r w:rsidRPr="004E67F6">
        <w:rPr>
          <w:rFonts w:eastAsia="Calibri"/>
          <w:lang w:eastAsia="en-US"/>
        </w:rPr>
        <w:t>o predpisu</w:t>
      </w:r>
      <w:r w:rsidRPr="004E67F6">
        <w:rPr>
          <w:rFonts w:eastAsia="Calibri"/>
          <w:vertAlign w:val="superscript"/>
          <w:lang w:eastAsia="en-US"/>
        </w:rPr>
        <w:t>80</w:t>
      </w:r>
      <w:r w:rsidRPr="004E67F6">
        <w:rPr>
          <w:rFonts w:eastAsia="Calibri"/>
          <w:lang w:eastAsia="en-US"/>
        </w:rPr>
        <w:t>) (ďalej len „nájomca“), po predchádzajúcom písomnom súhlase prenajímateľa, na technické zhodnotenie tejto veci nad rámec povinností dohodnutých v nájomnej zmluve</w:t>
      </w:r>
      <w:r w:rsidRPr="004E67F6">
        <w:rPr>
          <w:rFonts w:eastAsia="Calibri"/>
          <w:vertAlign w:val="superscript"/>
          <w:lang w:eastAsia="en-US"/>
        </w:rPr>
        <w:t>80</w:t>
      </w:r>
      <w:r w:rsidRPr="004E67F6">
        <w:rPr>
          <w:rFonts w:eastAsia="Calibri"/>
          <w:lang w:eastAsia="en-US"/>
        </w:rPr>
        <w:t>) a neuhradených prenajímateľom, a to v zdaňovacom období, v ktorom</w:t>
      </w:r>
    </w:p>
    <w:p w:rsidR="004E67F6" w:rsidRPr="004E67F6" w:rsidP="009655CD">
      <w:pPr>
        <w:ind w:left="708"/>
        <w:jc w:val="both"/>
        <w:rPr>
          <w:rFonts w:eastAsia="Calibri"/>
          <w:lang w:eastAsia="en-US"/>
        </w:rPr>
      </w:pPr>
      <w:r w:rsidRPr="004E67F6">
        <w:rPr>
          <w:rFonts w:eastAsia="Calibri"/>
          <w:lang w:eastAsia="en-US"/>
        </w:rPr>
        <w:t>a) bolo technické zhodnotenie uvedené do užívania, ak o hodnotu technického zhodnotenia vlastník prenajatej veci zvýšil vstupnú (zostatkovú) cenu tohto majetku,</w:t>
      </w:r>
    </w:p>
    <w:p w:rsidR="004E67F6" w:rsidRPr="004E67F6" w:rsidP="009655CD">
      <w:pPr>
        <w:ind w:left="708"/>
        <w:jc w:val="both"/>
        <w:rPr>
          <w:rFonts w:eastAsia="Calibri"/>
          <w:lang w:eastAsia="en-US"/>
        </w:rPr>
      </w:pPr>
      <w:r w:rsidRPr="004E67F6">
        <w:rPr>
          <w:rFonts w:eastAsia="Calibri"/>
          <w:lang w:eastAsia="en-US"/>
        </w:rPr>
        <w:t>b) došlo k skončeniu nájomnej zmluvy; nepeňažný príjem sa určí vo výške zostatkovej ceny, ktorú by malo technické zhodnotenie pri použití rovnomerného odpisovania (§ 27).“.</w:t>
      </w:r>
    </w:p>
    <w:p w:rsidR="004E67F6" w:rsidRPr="004E67F6" w:rsidP="009655CD">
      <w:pPr>
        <w:rPr>
          <w:rFonts w:eastAsia="Calibri"/>
          <w:lang w:eastAsia="en-US"/>
        </w:rPr>
      </w:pPr>
    </w:p>
    <w:p w:rsidR="004E67F6" w:rsidRPr="004E67F6" w:rsidP="009655CD">
      <w:pPr>
        <w:ind w:firstLine="708"/>
        <w:rPr>
          <w:rFonts w:eastAsia="Calibri"/>
          <w:lang w:eastAsia="en-US"/>
        </w:rPr>
      </w:pPr>
      <w:r w:rsidRPr="004E67F6">
        <w:rPr>
          <w:rFonts w:eastAsia="Calibri"/>
          <w:lang w:eastAsia="en-US"/>
        </w:rPr>
        <w:t>Poznámka pod čiarou k odkazu 80 znie:</w:t>
      </w:r>
    </w:p>
    <w:p w:rsidR="004E67F6" w:rsidRPr="004E67F6" w:rsidP="009655CD">
      <w:pPr>
        <w:ind w:left="708"/>
        <w:jc w:val="both"/>
        <w:rPr>
          <w:rFonts w:eastAsia="Calibri"/>
          <w:lang w:eastAsia="en-US"/>
        </w:rPr>
      </w:pPr>
      <w:r w:rsidRPr="004E67F6">
        <w:rPr>
          <w:rFonts w:eastAsia="Calibri"/>
          <w:lang w:eastAsia="en-US"/>
        </w:rPr>
        <w:t>„</w:t>
      </w:r>
      <w:r w:rsidRPr="004E67F6">
        <w:rPr>
          <w:rFonts w:eastAsia="Calibri"/>
          <w:vertAlign w:val="superscript"/>
          <w:lang w:eastAsia="en-US"/>
        </w:rPr>
        <w:t>80</w:t>
      </w:r>
      <w:r w:rsidRPr="004E67F6">
        <w:rPr>
          <w:rFonts w:eastAsia="Calibri"/>
          <w:lang w:eastAsia="en-US"/>
        </w:rPr>
        <w:t>) Napríklad § 51, § 151n až §151r, § 664 až 669 Občianskeho zákonníka v znení neskorších predpisov, § 6 zákona č. 116/1990 Zb. o nájme a podnájme ne</w:t>
      </w:r>
      <w:r w:rsidRPr="004E67F6">
        <w:rPr>
          <w:rFonts w:eastAsia="Calibri"/>
          <w:lang w:eastAsia="en-US"/>
        </w:rPr>
        <w:t>bytových priestorov v znení neskorších predpisov.“.</w:t>
      </w:r>
    </w:p>
    <w:p w:rsidR="004E67F6" w:rsidRPr="004E67F6" w:rsidP="009655CD">
      <w:pPr>
        <w:jc w:val="both"/>
        <w:rPr>
          <w:rFonts w:eastAsia="Calibri"/>
          <w:lang w:eastAsia="en-US"/>
        </w:rPr>
      </w:pPr>
    </w:p>
    <w:p w:rsidR="004E67F6" w:rsidRPr="004E67F6" w:rsidP="009655CD">
      <w:pPr>
        <w:ind w:left="709"/>
        <w:jc w:val="both"/>
        <w:rPr>
          <w:rFonts w:eastAsia="Calibri"/>
          <w:lang w:eastAsia="en-US"/>
        </w:rPr>
      </w:pPr>
      <w:r w:rsidRPr="004E67F6">
        <w:rPr>
          <w:rFonts w:eastAsia="Calibri"/>
          <w:lang w:eastAsia="en-US"/>
        </w:rPr>
        <w:t>Doterajšie body 27 až 87 sa primerane prečíslujú.</w:t>
      </w:r>
    </w:p>
    <w:p w:rsidR="004E67F6" w:rsidRPr="004E67F6" w:rsidP="009655CD">
      <w:pPr>
        <w:ind w:left="3540"/>
        <w:jc w:val="both"/>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 xml:space="preserve">Navrhovanou úpravou sa spresňujú práva a povinnosti vlastníka a nájomcu pri uzatváraní nájomnej zmluvy, podnájomnej zmluvy a inej zmluvy, ktorá oprávňuje užívať cudzí majetok. Zavádza sa na všetky tri pojmy legislatívna skratka „nájomná zmluva“ a následne sa upravujú povinnosti pri vykonaní technického zhodnotenia a opravy na majetku  prenajatom na základe „nájomnej zmluvy“.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jc w:val="both"/>
        <w:rPr>
          <w:rFonts w:eastAsia="Calibri"/>
          <w:b/>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33. bodu</w:t>
      </w:r>
    </w:p>
    <w:p w:rsidR="004E67F6" w:rsidRPr="004E67F6" w:rsidP="009655CD">
      <w:pPr>
        <w:ind w:left="708"/>
        <w:contextualSpacing/>
        <w:jc w:val="both"/>
        <w:rPr>
          <w:rFonts w:eastAsia="Calibri"/>
          <w:lang w:eastAsia="en-US"/>
        </w:rPr>
      </w:pPr>
      <w:r w:rsidRPr="004E67F6">
        <w:rPr>
          <w:rFonts w:eastAsia="Calibri"/>
          <w:lang w:eastAsia="en-US"/>
        </w:rPr>
        <w:t>V doterajšom bode 33, § 19 ods. 2 písm. e) prvom bode sa za slovo „majetku“ vkladajú slová „v predchádzajúcich zdaňovacích obdobiach“.</w:t>
      </w:r>
    </w:p>
    <w:p w:rsidR="004E67F6" w:rsidRPr="004E67F6" w:rsidP="009655CD">
      <w:pPr>
        <w:jc w:val="both"/>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V záujme spresnenia sa dopĺňa, že tzv. kilometrovné nie je možné uplatniť u takého motorového vozidla, ktoré v predchádzajúcich zdaňovacích obdobiach bolo zahrnuté do obchodného majetku a odpisované.</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ind w:left="4395"/>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36. bodu</w:t>
      </w:r>
    </w:p>
    <w:p w:rsidR="004E67F6" w:rsidRPr="004E67F6" w:rsidP="009655CD">
      <w:pPr>
        <w:ind w:left="284" w:firstLine="424"/>
        <w:contextualSpacing/>
        <w:jc w:val="both"/>
        <w:rPr>
          <w:rFonts w:eastAsia="Calibri"/>
          <w:lang w:eastAsia="en-US"/>
        </w:rPr>
      </w:pPr>
      <w:r w:rsidRPr="004E67F6">
        <w:rPr>
          <w:rFonts w:eastAsia="Calibri"/>
          <w:lang w:eastAsia="en-US"/>
        </w:rPr>
        <w:t>Doterajší bod 36 sa vypúšťa.</w:t>
      </w:r>
    </w:p>
    <w:p w:rsidR="004E67F6" w:rsidRPr="004E67F6" w:rsidP="009655CD">
      <w:pPr>
        <w:ind w:left="709"/>
        <w:jc w:val="both"/>
        <w:rPr>
          <w:rFonts w:eastAsia="Calibri"/>
          <w:lang w:eastAsia="en-US"/>
        </w:rPr>
      </w:pPr>
    </w:p>
    <w:p w:rsidR="004E67F6" w:rsidRPr="004E67F6" w:rsidP="009655CD">
      <w:pPr>
        <w:ind w:left="709"/>
        <w:jc w:val="both"/>
        <w:rPr>
          <w:rFonts w:eastAsia="Calibri"/>
          <w:lang w:eastAsia="en-US"/>
        </w:rPr>
      </w:pPr>
      <w:r w:rsidRPr="004E67F6">
        <w:rPr>
          <w:rFonts w:eastAsia="Calibri"/>
          <w:lang w:eastAsia="en-US"/>
        </w:rPr>
        <w:t>Doterajšie body 37 až 87 sa primerane prečíslujú.</w:t>
      </w:r>
    </w:p>
    <w:p w:rsidR="004E67F6" w:rsidRPr="004E67F6" w:rsidP="009655CD">
      <w:pPr>
        <w:jc w:val="both"/>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Navrhovanou úpravou sa ponecháva pôvodné znenie, podľa ktorého si všetci daňovníci môžu uplatňovať spotrebu PHL vo výške 80 %.</w:t>
      </w:r>
    </w:p>
    <w:p w:rsidR="004E67F6" w:rsidRPr="004E67F6" w:rsidP="009655CD">
      <w:pPr>
        <w:jc w:val="both"/>
        <w:rPr>
          <w:rFonts w:eastAsia="Calibri"/>
          <w:b/>
          <w:lang w:eastAsia="en-U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jc w:val="both"/>
        <w:rPr>
          <w:rFonts w:eastAsia="Calibri"/>
          <w:b/>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37. bodu</w:t>
      </w:r>
    </w:p>
    <w:p w:rsidR="004E67F6" w:rsidRPr="004E67F6" w:rsidP="009655CD">
      <w:pPr>
        <w:ind w:left="284" w:firstLine="424"/>
        <w:contextualSpacing/>
        <w:jc w:val="both"/>
        <w:rPr>
          <w:rFonts w:eastAsia="Calibri"/>
          <w:lang w:eastAsia="en-US"/>
        </w:rPr>
      </w:pPr>
      <w:r w:rsidRPr="004E67F6">
        <w:rPr>
          <w:rFonts w:eastAsia="Calibri"/>
          <w:lang w:eastAsia="en-US"/>
        </w:rPr>
        <w:t>Doterajší bod 37 znie:</w:t>
      </w:r>
    </w:p>
    <w:p w:rsidR="004E67F6" w:rsidRPr="004E67F6" w:rsidP="009655CD">
      <w:pPr>
        <w:ind w:left="709"/>
        <w:contextualSpacing/>
        <w:jc w:val="both"/>
        <w:rPr>
          <w:rFonts w:eastAsia="Calibri"/>
          <w:lang w:eastAsia="en-US"/>
        </w:rPr>
      </w:pPr>
      <w:r w:rsidRPr="004E67F6">
        <w:rPr>
          <w:rFonts w:eastAsia="Calibri"/>
          <w:lang w:eastAsia="en-US"/>
        </w:rPr>
        <w:t>„37. V § 19 sa odsek 2 dopĺňa písmenom t), ktoré znie:</w:t>
      </w:r>
    </w:p>
    <w:p w:rsidR="004E67F6" w:rsidRPr="004E67F6" w:rsidP="009655CD">
      <w:pPr>
        <w:ind w:left="709"/>
        <w:contextualSpacing/>
        <w:jc w:val="both"/>
        <w:rPr>
          <w:rFonts w:eastAsia="Calibri"/>
          <w:lang w:eastAsia="en-US"/>
        </w:rPr>
      </w:pPr>
      <w:r w:rsidRPr="004E67F6">
        <w:rPr>
          <w:rFonts w:eastAsia="Calibri"/>
          <w:lang w:eastAsia="en-US"/>
        </w:rPr>
        <w:t>„t) výdavky (náklady) na obstaranie, technické zhodnotenie, prevádzkovanie, opravy a udržiavanie majetku, okrem výdavkov na osobnú potrebu podľa § 21 ods. 1 písm. i), výdavkov súvisiacich s nehnuteľnosťami a zamestnávateľa, ktorý uplatňuje postup podľa § 5 ods. 3 písm. a), a to</w:t>
      </w:r>
    </w:p>
    <w:p w:rsidR="004E67F6" w:rsidRPr="004E67F6" w:rsidP="009655CD">
      <w:pPr>
        <w:numPr>
          <w:ilvl w:val="0"/>
          <w:numId w:val="38"/>
        </w:numPr>
        <w:tabs>
          <w:tab w:val="left" w:pos="993"/>
        </w:tabs>
        <w:ind w:left="993" w:hanging="284"/>
        <w:contextualSpacing/>
        <w:jc w:val="both"/>
        <w:rPr>
          <w:rFonts w:eastAsia="Calibri"/>
          <w:lang w:eastAsia="en-US"/>
        </w:rPr>
      </w:pPr>
      <w:r w:rsidRPr="004E67F6">
        <w:rPr>
          <w:rFonts w:eastAsia="Calibri"/>
          <w:lang w:eastAsia="en-US"/>
        </w:rPr>
        <w:t>vo forme paušálnych výdavkov vo výške 80 %, ak je tento majetok využívaný aj na súkromné účely, alebo</w:t>
      </w:r>
    </w:p>
    <w:p w:rsidR="004E67F6" w:rsidRPr="004E67F6" w:rsidP="009655CD">
      <w:pPr>
        <w:numPr>
          <w:ilvl w:val="0"/>
          <w:numId w:val="38"/>
        </w:numPr>
        <w:tabs>
          <w:tab w:val="left" w:pos="993"/>
        </w:tabs>
        <w:ind w:left="993" w:hanging="284"/>
        <w:contextualSpacing/>
        <w:jc w:val="both"/>
        <w:rPr>
          <w:rFonts w:eastAsia="Calibri"/>
          <w:lang w:eastAsia="en-US"/>
        </w:rPr>
      </w:pPr>
      <w:r w:rsidRPr="004E67F6">
        <w:rPr>
          <w:rFonts w:eastAsia="Calibri"/>
          <w:lang w:eastAsia="en-US"/>
        </w:rPr>
        <w:t>v preukázateľnej výške v závislosti od pomeru používania tohto majetku na zabezpečenie zdaniteľného príjmu.“.“.</w:t>
      </w:r>
    </w:p>
    <w:p w:rsidR="004E67F6" w:rsidRPr="004E67F6" w:rsidP="009655CD">
      <w:pPr>
        <w:jc w:val="both"/>
        <w:rPr>
          <w:rFonts w:eastAsia="Calibri"/>
          <w:lang w:eastAsia="en-US"/>
        </w:rPr>
      </w:pPr>
      <w:r w:rsidRPr="004E67F6">
        <w:rPr>
          <w:rFonts w:eastAsia="Calibri"/>
          <w:lang w:eastAsia="en-US"/>
        </w:rPr>
        <w:t xml:space="preserve"> </w:t>
      </w:r>
    </w:p>
    <w:p w:rsidR="004E67F6" w:rsidRPr="004E67F6" w:rsidP="009655CD">
      <w:pPr>
        <w:ind w:left="3540"/>
        <w:jc w:val="both"/>
        <w:rPr>
          <w:rFonts w:eastAsia="Calibri"/>
          <w:lang w:eastAsia="en-US"/>
        </w:rPr>
      </w:pPr>
      <w:r w:rsidRPr="004E67F6">
        <w:rPr>
          <w:rFonts w:eastAsia="Calibri"/>
          <w:lang w:eastAsia="en-US"/>
        </w:rPr>
        <w:t xml:space="preserve">Navrhovanou úpravou sa v prípade majetku, ktorý môže mať charakter osobnej potreby zavádza možnosť výberu medzi </w:t>
      </w:r>
    </w:p>
    <w:p w:rsidR="004E67F6" w:rsidRPr="004E67F6" w:rsidP="009655CD">
      <w:pPr>
        <w:numPr>
          <w:ilvl w:val="0"/>
          <w:numId w:val="39"/>
        </w:numPr>
        <w:contextualSpacing/>
        <w:jc w:val="both"/>
        <w:rPr>
          <w:rFonts w:eastAsia="Calibri"/>
          <w:lang w:eastAsia="en-US"/>
        </w:rPr>
      </w:pPr>
      <w:r w:rsidRPr="004E67F6">
        <w:rPr>
          <w:rFonts w:eastAsia="Calibri"/>
          <w:lang w:eastAsia="en-US"/>
        </w:rPr>
        <w:t>paušálnym uplatňovaním výdavkov vo výške 80 %, ak je majetok využívaný aj na súkromné účely,</w:t>
      </w:r>
    </w:p>
    <w:p w:rsidR="004E67F6" w:rsidRPr="004E67F6" w:rsidP="009655CD">
      <w:pPr>
        <w:numPr>
          <w:ilvl w:val="0"/>
          <w:numId w:val="39"/>
        </w:numPr>
        <w:contextualSpacing/>
        <w:jc w:val="both"/>
        <w:rPr>
          <w:rFonts w:eastAsia="Calibri"/>
          <w:lang w:eastAsia="en-US"/>
        </w:rPr>
      </w:pPr>
      <w:r w:rsidRPr="004E67F6">
        <w:rPr>
          <w:rFonts w:eastAsia="Calibri"/>
          <w:lang w:eastAsia="en-US"/>
        </w:rPr>
        <w:t xml:space="preserve">preukázateľnou výškou výdavkov v závislosti od skutočného využívania tohto majetku na súkromné, resp. osobné účely a podnikanie. </w:t>
      </w:r>
    </w:p>
    <w:p w:rsidR="004E67F6" w:rsidP="009655CD">
      <w:pPr>
        <w:jc w:val="both"/>
        <w:rPr>
          <w:rFonts w:eastAsia="Calibri"/>
          <w:lang w:eastAsia="en-U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334FE3" w:rsidRPr="004E67F6" w:rsidP="009655CD">
      <w:pPr>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38. bodu</w:t>
      </w:r>
    </w:p>
    <w:p w:rsidR="004E67F6" w:rsidRPr="004E67F6" w:rsidP="009655CD">
      <w:pPr>
        <w:ind w:left="284" w:firstLine="424"/>
        <w:contextualSpacing/>
        <w:jc w:val="both"/>
        <w:rPr>
          <w:rFonts w:eastAsia="Calibri"/>
          <w:lang w:eastAsia="en-US"/>
        </w:rPr>
      </w:pPr>
      <w:r w:rsidRPr="004E67F6">
        <w:rPr>
          <w:rFonts w:eastAsia="Calibri"/>
          <w:lang w:eastAsia="en-US"/>
        </w:rPr>
        <w:t>V do</w:t>
      </w:r>
      <w:r w:rsidRPr="004E67F6">
        <w:rPr>
          <w:rFonts w:eastAsia="Calibri"/>
          <w:lang w:eastAsia="en-US"/>
        </w:rPr>
        <w:t>terajšom bode 38, § 19 ods. 3 písm. a) sa na konci pripájajú tieto slová:</w:t>
      </w:r>
    </w:p>
    <w:p w:rsidR="004E67F6" w:rsidRPr="004E67F6" w:rsidP="009655CD">
      <w:pPr>
        <w:ind w:left="709"/>
        <w:jc w:val="both"/>
        <w:rPr>
          <w:rFonts w:eastAsia="Calibri"/>
          <w:lang w:eastAsia="en-US"/>
        </w:rPr>
      </w:pPr>
      <w:r w:rsidRPr="004E67F6">
        <w:rPr>
          <w:rFonts w:eastAsia="Calibri"/>
          <w:lang w:eastAsia="en-US"/>
        </w:rPr>
        <w:t>„pričom neuplatnená časť ročného odpisu prenajatého hmotného majetku sa uplatní počnúc rokom nasledujúcim po uplynutí doby odpisovania hmotného majetku podľa § 26 ods. 1 do výšky prí</w:t>
      </w:r>
      <w:r w:rsidRPr="004E67F6">
        <w:rPr>
          <w:rFonts w:eastAsia="Calibri"/>
          <w:lang w:eastAsia="en-US"/>
        </w:rPr>
        <w:t>jmov z prenájmu,“.</w:t>
      </w:r>
    </w:p>
    <w:p w:rsidR="004E67F6" w:rsidRPr="004E67F6" w:rsidP="009655CD">
      <w:pPr>
        <w:jc w:val="both"/>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Navrhovanou úpravou sa umožňuje výška daňového odpisu len do výšky príjmov z prenájmu, pričom neuplatnená (zostávajúca) časť daňových odpisov sa douplatňuje v nasledujúcich zdaňovacích obdobiach do výšky príjmov z prenájmu.</w:t>
      </w:r>
    </w:p>
    <w:p w:rsidR="00334FE3" w:rsidP="009655CD">
      <w:pPr>
        <w:ind w:left="2832" w:firstLine="708"/>
        <w:jc w:val="both"/>
        <w:rPr>
          <w:b/>
        </w:rPr>
      </w:pPr>
    </w:p>
    <w:p w:rsidR="00334FE3" w:rsidP="009655CD">
      <w:pPr>
        <w:ind w:left="2832" w:firstLine="708"/>
        <w:jc w:val="both"/>
        <w:rPr>
          <w:b/>
        </w:rPr>
      </w:pPr>
      <w:r w:rsidRPr="0085353E">
        <w:rPr>
          <w:b/>
        </w:rPr>
        <w:t>Výbor NR SR</w:t>
      </w:r>
      <w:r w:rsidRPr="0085353E">
        <w:rPr>
          <w:b/>
        </w:rPr>
        <w:t xml:space="preserve">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jc w:val="both"/>
        <w:rPr>
          <w:rFonts w:eastAsia="Calibri"/>
          <w:b/>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w:t>
      </w:r>
      <w:r w:rsidR="009655CD">
        <w:rPr>
          <w:rFonts w:eastAsia="Calibri"/>
          <w:b/>
          <w:lang w:eastAsia="en-US"/>
        </w:rPr>
        <w:t xml:space="preserve"> </w:t>
      </w:r>
      <w:r w:rsidRPr="004E67F6">
        <w:rPr>
          <w:rFonts w:eastAsia="Calibri"/>
          <w:b/>
          <w:lang w:eastAsia="en-US"/>
        </w:rPr>
        <w:t>- nový bod</w:t>
      </w:r>
    </w:p>
    <w:p w:rsidR="004E67F6" w:rsidRPr="004E67F6" w:rsidP="009655CD">
      <w:pPr>
        <w:ind w:left="284" w:firstLine="424"/>
        <w:contextualSpacing/>
        <w:jc w:val="both"/>
        <w:rPr>
          <w:rFonts w:eastAsia="Calibri"/>
          <w:lang w:eastAsia="en-US"/>
        </w:rPr>
      </w:pPr>
      <w:r w:rsidRPr="004E67F6">
        <w:rPr>
          <w:rFonts w:eastAsia="Calibri"/>
          <w:lang w:eastAsia="en-US"/>
        </w:rPr>
        <w:t>Za doterajší bod 38 sa vkladá nový bod 39, ktorý znie:</w:t>
      </w:r>
    </w:p>
    <w:p w:rsidR="004E67F6" w:rsidRPr="004E67F6" w:rsidP="009655CD">
      <w:pPr>
        <w:ind w:left="720"/>
        <w:contextualSpacing/>
        <w:jc w:val="both"/>
        <w:rPr>
          <w:rFonts w:eastAsia="Calibri"/>
          <w:lang w:eastAsia="en-US"/>
        </w:rPr>
      </w:pPr>
      <w:r w:rsidRPr="004E67F6">
        <w:rPr>
          <w:rFonts w:eastAsia="Calibri"/>
          <w:lang w:eastAsia="en-US"/>
        </w:rPr>
        <w:t>„39. V § 19 ods. 3 písm. e) sa za slovami „d) až g)“ vypúšťa čiarka a slová „§ 23 ods. 2 písm. d)“.“.</w:t>
      </w:r>
    </w:p>
    <w:p w:rsidR="004E67F6" w:rsidRPr="004E67F6" w:rsidP="009655CD">
      <w:pPr>
        <w:ind w:left="720"/>
        <w:contextualSpacing/>
        <w:jc w:val="both"/>
        <w:rPr>
          <w:rFonts w:eastAsia="Calibri"/>
          <w:lang w:eastAsia="en-US"/>
        </w:rPr>
      </w:pPr>
    </w:p>
    <w:p w:rsidR="004E67F6" w:rsidRPr="004E67F6" w:rsidP="009655CD">
      <w:pPr>
        <w:ind w:left="426"/>
        <w:jc w:val="both"/>
        <w:rPr>
          <w:rFonts w:eastAsia="Calibri"/>
          <w:lang w:eastAsia="en-US"/>
        </w:rPr>
      </w:pPr>
      <w:r w:rsidRPr="004E67F6">
        <w:rPr>
          <w:rFonts w:eastAsia="Calibri"/>
          <w:lang w:eastAsia="en-US"/>
        </w:rPr>
        <w:t>Doterajšie body 39 až 87 sa primerane prečíslujú.</w:t>
      </w:r>
    </w:p>
    <w:p w:rsidR="004E67F6" w:rsidRPr="004E67F6" w:rsidP="009655CD">
      <w:pPr>
        <w:ind w:left="3540"/>
        <w:jc w:val="both"/>
        <w:rPr>
          <w:rFonts w:eastAsia="Calibri"/>
          <w:color w:val="000000"/>
          <w:lang w:eastAsia="en-US"/>
        </w:rPr>
      </w:pPr>
    </w:p>
    <w:p w:rsidR="004E67F6" w:rsidRPr="004E67F6" w:rsidP="009655CD">
      <w:pPr>
        <w:ind w:left="3540"/>
        <w:jc w:val="both"/>
        <w:rPr>
          <w:rFonts w:eastAsia="Calibri"/>
          <w:color w:val="000000"/>
          <w:lang w:eastAsia="en-US"/>
        </w:rPr>
      </w:pPr>
      <w:r w:rsidRPr="004E67F6">
        <w:rPr>
          <w:rFonts w:eastAsia="Calibri"/>
          <w:color w:val="000000"/>
          <w:lang w:eastAsia="en-US"/>
        </w:rPr>
        <w:t>Ide o legislatívne spresnenie v súvislosti so zmenou zahrnovania inventarizačného prebytku odpisovaného hmotného majetku a nehmotného majetku do základu dane podľa §  17 ods. 3 písm. j) a zmenou vykonanou v § 23 ods. 2 písm</w:t>
      </w:r>
      <w:r w:rsidRPr="004E67F6">
        <w:rPr>
          <w:rFonts w:eastAsia="Calibri"/>
          <w:color w:val="000000"/>
          <w:lang w:eastAsia="en-US"/>
        </w:rPr>
        <w:t>. c) zákona o dani z príjmov.</w:t>
      </w:r>
    </w:p>
    <w:p w:rsidR="004E67F6" w:rsidRPr="004E67F6" w:rsidP="009655CD">
      <w:pPr>
        <w:ind w:left="4394"/>
        <w:jc w:val="both"/>
        <w:rPr>
          <w:rFonts w:eastAsia="Calibri"/>
          <w:color w:val="000000"/>
          <w:lang w:eastAsia="en-U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ind w:left="4394"/>
        <w:jc w:val="both"/>
        <w:rPr>
          <w:rFonts w:eastAsia="Calibri"/>
          <w:color w:val="000000"/>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 nový bod</w:t>
      </w:r>
    </w:p>
    <w:p w:rsidR="004E67F6" w:rsidRPr="004E67F6" w:rsidP="009655CD">
      <w:pPr>
        <w:ind w:left="284" w:firstLine="424"/>
        <w:contextualSpacing/>
        <w:jc w:val="both"/>
        <w:rPr>
          <w:rFonts w:eastAsia="Calibri"/>
          <w:lang w:eastAsia="en-US"/>
        </w:rPr>
      </w:pPr>
      <w:r w:rsidRPr="004E67F6">
        <w:rPr>
          <w:rFonts w:eastAsia="Calibri"/>
          <w:lang w:eastAsia="en-US"/>
        </w:rPr>
        <w:t>Za doterajší bod 48 sa vkladá nový bod 49, ktorý znie:</w:t>
      </w:r>
    </w:p>
    <w:p w:rsidR="004E67F6" w:rsidRPr="004E67F6" w:rsidP="009655CD">
      <w:pPr>
        <w:ind w:left="720"/>
        <w:contextualSpacing/>
        <w:rPr>
          <w:rFonts w:eastAsia="Calibri"/>
          <w:lang w:eastAsia="en-US"/>
        </w:rPr>
      </w:pPr>
      <w:r w:rsidRPr="004E67F6">
        <w:rPr>
          <w:rFonts w:eastAsia="Calibri"/>
          <w:lang w:eastAsia="en-US"/>
        </w:rPr>
        <w:t>„49. V § 21 ods. 2 písm. k) sa na konci pripájajú tieto slová:</w:t>
      </w:r>
    </w:p>
    <w:p w:rsidR="004E67F6" w:rsidRPr="004E67F6" w:rsidP="009655CD">
      <w:pPr>
        <w:ind w:left="720"/>
        <w:contextualSpacing/>
        <w:jc w:val="both"/>
        <w:rPr>
          <w:rFonts w:eastAsia="Calibri"/>
          <w:lang w:eastAsia="en-US"/>
        </w:rPr>
      </w:pPr>
      <w:r w:rsidRPr="004E67F6">
        <w:rPr>
          <w:rFonts w:eastAsia="Calibri"/>
          <w:lang w:eastAsia="en-US"/>
        </w:rPr>
        <w:t xml:space="preserve">„pri ktorej sa za daňový výdavok považuje obstarávacia cena len do výšky tvorby opravnej položky uznanej za daňový výdavok podľa § 20 ods. 10 až 12,“. </w:t>
      </w:r>
    </w:p>
    <w:p w:rsidR="004E67F6" w:rsidRPr="004E67F6" w:rsidP="009655CD">
      <w:pPr>
        <w:ind w:left="709"/>
        <w:jc w:val="both"/>
        <w:rPr>
          <w:rFonts w:eastAsia="Calibri"/>
          <w:lang w:eastAsia="en-US"/>
        </w:rPr>
      </w:pPr>
    </w:p>
    <w:p w:rsidR="004E67F6" w:rsidRPr="004E67F6" w:rsidP="009655CD">
      <w:pPr>
        <w:ind w:left="709"/>
        <w:jc w:val="both"/>
        <w:rPr>
          <w:rFonts w:eastAsia="Calibri"/>
          <w:lang w:eastAsia="en-US"/>
        </w:rPr>
      </w:pPr>
      <w:r w:rsidRPr="004E67F6">
        <w:rPr>
          <w:rFonts w:eastAsia="Calibri"/>
          <w:lang w:eastAsia="en-US"/>
        </w:rPr>
        <w:t>Doterajšie body 49 až 87 sa primerane prečíslujú.</w:t>
      </w:r>
    </w:p>
    <w:p w:rsidR="004E67F6" w:rsidRPr="004E67F6" w:rsidP="009655CD">
      <w:pPr>
        <w:ind w:left="720"/>
        <w:contextualSpacing/>
        <w:jc w:val="both"/>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Z dôvodu zamedzenia daňovým únikom boli vykonané úpravy v oblasti tvorby opravnej položky k pohľadávkam voči dlžníkom v konkurznom a reštrukturalizačnom konaní podľa § 20 ods. 10 zákona nadobudnutým postúpením, kedy sa umožňuje ich tvorba najviac do výšky uhradenej obstarávacej ceny a v oblasti odpisu takýchto pohľadávok podľa § 19 ods. 2 písm. h) zákona, kedy sa ich odpis považuje za daňový výdavok najviac do výšky postupníkom uhradenej obstarávacej ceny pohľadávky. V nadväznosti na tieto úpravy sa navrhuje, aby aj v prípade opätovného postúpenia pohľadávky voči dlžníkovi v konkurze alebo reštrukturalizácii bola strata z tohto postúpenia daňovo akceptovaná len do výšky rozdielu medzi príjmom z opätovného postúpenia a opravnou položkou.</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ind w:left="4394"/>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52. bod</w:t>
      </w:r>
      <w:r w:rsidRPr="004E67F6">
        <w:rPr>
          <w:rFonts w:eastAsia="Calibri"/>
          <w:b/>
          <w:lang w:eastAsia="en-US"/>
        </w:rPr>
        <w:t>u</w:t>
      </w:r>
    </w:p>
    <w:p w:rsidR="004E67F6" w:rsidRPr="004E67F6" w:rsidP="009655CD">
      <w:pPr>
        <w:ind w:left="708"/>
        <w:contextualSpacing/>
        <w:jc w:val="both"/>
        <w:rPr>
          <w:rFonts w:eastAsia="Calibri"/>
          <w:lang w:eastAsia="en-US"/>
        </w:rPr>
      </w:pPr>
      <w:r w:rsidRPr="004E67F6">
        <w:rPr>
          <w:rFonts w:eastAsia="Calibri"/>
          <w:lang w:eastAsia="en-US"/>
        </w:rPr>
        <w:t>V doterajšom bode 52, § 21 ods. 2 písm. n) sa slovo „exspirácie“ nahrádza slovami „použiteľnosti alebo trvanlivosti“.</w:t>
      </w:r>
    </w:p>
    <w:p w:rsidR="004E67F6" w:rsidRPr="004E67F6" w:rsidP="009655CD">
      <w:pPr>
        <w:jc w:val="both"/>
        <w:rPr>
          <w:rFonts w:eastAsia="Calibri"/>
          <w:lang w:eastAsia="en-US"/>
        </w:rPr>
      </w:pPr>
    </w:p>
    <w:p w:rsidR="004E67F6" w:rsidRPr="004E67F6" w:rsidP="009655CD">
      <w:pPr>
        <w:ind w:left="2832" w:firstLine="708"/>
        <w:jc w:val="both"/>
        <w:rPr>
          <w:rFonts w:eastAsia="Calibri"/>
          <w:lang w:eastAsia="en-US"/>
        </w:rPr>
      </w:pPr>
      <w:r w:rsidRPr="004E67F6">
        <w:rPr>
          <w:rFonts w:eastAsia="Calibri"/>
          <w:lang w:eastAsia="en-US"/>
        </w:rPr>
        <w:t>Ide o legislatívno-technické spresnenie.</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ind w:left="4395"/>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53. bodu</w:t>
      </w:r>
    </w:p>
    <w:p w:rsidR="004E67F6" w:rsidRPr="004E67F6" w:rsidP="009655CD">
      <w:pPr>
        <w:ind w:left="708"/>
        <w:contextualSpacing/>
        <w:jc w:val="both"/>
        <w:rPr>
          <w:rFonts w:eastAsia="Calibri"/>
          <w:lang w:eastAsia="en-US"/>
        </w:rPr>
      </w:pPr>
      <w:r w:rsidRPr="004E67F6">
        <w:rPr>
          <w:rFonts w:eastAsia="Calibri"/>
          <w:lang w:eastAsia="en-US"/>
        </w:rPr>
        <w:t>V doterajšom bode 53, § 21a ods. 3 sa slová „zaisťovne alebo subjektom kolektívneho investovania</w:t>
      </w:r>
      <w:r w:rsidRPr="004E67F6">
        <w:rPr>
          <w:rFonts w:eastAsia="Calibri"/>
          <w:vertAlign w:val="superscript"/>
          <w:lang w:eastAsia="en-US"/>
        </w:rPr>
        <w:t>79b</w:t>
      </w:r>
      <w:r w:rsidRPr="004E67F6">
        <w:rPr>
          <w:rFonts w:eastAsia="Calibri"/>
          <w:lang w:eastAsia="en-US"/>
        </w:rPr>
        <w:t>)“ nahrádzajú slovami „zaisťovne, subjektom podľa osobitného predpisu</w:t>
      </w:r>
      <w:r w:rsidRPr="004E67F6">
        <w:rPr>
          <w:rFonts w:eastAsia="Calibri"/>
          <w:vertAlign w:val="superscript"/>
          <w:lang w:eastAsia="en-US"/>
        </w:rPr>
        <w:t>79b</w:t>
      </w:r>
      <w:r w:rsidRPr="004E67F6">
        <w:rPr>
          <w:rFonts w:eastAsia="Calibri"/>
          <w:lang w:eastAsia="en-US"/>
        </w:rPr>
        <w:t>) alebo lízingovou spoločnosťou,</w:t>
      </w:r>
      <w:r w:rsidRPr="004E67F6">
        <w:rPr>
          <w:rFonts w:eastAsia="Calibri"/>
          <w:vertAlign w:val="superscript"/>
          <w:lang w:eastAsia="en-US"/>
        </w:rPr>
        <w:t>105b</w:t>
      </w:r>
      <w:r w:rsidRPr="004E67F6">
        <w:rPr>
          <w:rFonts w:eastAsia="Calibri"/>
          <w:lang w:eastAsia="en-US"/>
        </w:rPr>
        <w:t>) ktorá v rámci svojho podnikania vykonáva finančný prenájom ako svoju rozhodujúcu alebo podstatnú činnosť“ a na konci doterajšieho bodu 53 sa dopĺňa tento text:</w:t>
      </w:r>
    </w:p>
    <w:p w:rsidR="004E67F6" w:rsidRPr="004E67F6" w:rsidP="009655CD">
      <w:pPr>
        <w:ind w:left="720"/>
        <w:contextualSpacing/>
        <w:jc w:val="both"/>
        <w:rPr>
          <w:rFonts w:eastAsia="Calibri"/>
          <w:lang w:eastAsia="en-US"/>
        </w:rPr>
      </w:pPr>
    </w:p>
    <w:p w:rsidR="004E67F6" w:rsidRPr="004E67F6" w:rsidP="009655CD">
      <w:pPr>
        <w:ind w:firstLine="708"/>
        <w:jc w:val="both"/>
        <w:rPr>
          <w:rFonts w:eastAsia="Calibri"/>
          <w:lang w:eastAsia="en-US"/>
        </w:rPr>
      </w:pPr>
      <w:r w:rsidRPr="004E67F6">
        <w:rPr>
          <w:rFonts w:eastAsia="Calibri"/>
          <w:lang w:eastAsia="en-US"/>
        </w:rPr>
        <w:t xml:space="preserve"> „Poznámka pod čiarou k odkazu 105b znie:</w:t>
      </w:r>
    </w:p>
    <w:p w:rsidR="004E67F6" w:rsidRPr="004E67F6" w:rsidP="009655CD">
      <w:pPr>
        <w:ind w:left="708"/>
        <w:jc w:val="both"/>
        <w:rPr>
          <w:rFonts w:eastAsia="Calibri"/>
          <w:lang w:eastAsia="en-US"/>
        </w:rPr>
      </w:pPr>
      <w:r w:rsidRPr="004E67F6">
        <w:rPr>
          <w:rFonts w:eastAsia="Calibri"/>
          <w:lang w:eastAsia="en-US"/>
        </w:rPr>
        <w:t>„</w:t>
      </w:r>
      <w:r w:rsidRPr="004E67F6">
        <w:rPr>
          <w:rFonts w:eastAsia="Calibri"/>
          <w:vertAlign w:val="superscript"/>
          <w:lang w:eastAsia="en-US"/>
        </w:rPr>
        <w:t>105b</w:t>
      </w:r>
      <w:r w:rsidRPr="004E67F6">
        <w:rPr>
          <w:rFonts w:eastAsia="Calibri"/>
          <w:lang w:eastAsia="en-US"/>
        </w:rPr>
        <w:t>) § 1 písm. c) opatrenia Národnej banky Slovenska z 2. septembra 2014 č. 19/2014 o predkladaní výkazu faktoringovou spoločnosťou, spoločnosťou splátkového financovania alebo lízingovou spoločnosťou na štatistické účely (oznámenie č. 248/2014 Z. z.).“.“.</w:t>
      </w:r>
    </w:p>
    <w:p w:rsidR="004E67F6" w:rsidRPr="004E67F6" w:rsidP="009655CD">
      <w:pPr>
        <w:jc w:val="both"/>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Navrhovanou úpravou sa rozširuje vymedzenie subjektov, u ktorých sa pravidlá nízkej kapitalizácie neuplatnia, o lízingové spoločnosti, ktoré  v rámci svojho podnikania vykonávajú finančný lízing ako svoju rozhodujúcu alebo podstatnú činnosť.</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334FE3" w:rsidRPr="004E67F6" w:rsidP="009655CD">
      <w:pPr>
        <w:ind w:left="4395"/>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0096411C">
        <w:rPr>
          <w:rFonts w:eastAsia="Calibri"/>
          <w:b/>
          <w:lang w:eastAsia="en-US"/>
        </w:rPr>
        <w:t>K čl. I – nové</w:t>
      </w:r>
      <w:r w:rsidRPr="004E67F6">
        <w:rPr>
          <w:rFonts w:eastAsia="Calibri"/>
          <w:b/>
          <w:lang w:eastAsia="en-US"/>
        </w:rPr>
        <w:t xml:space="preserve"> bod</w:t>
      </w:r>
      <w:r w:rsidR="0096411C">
        <w:rPr>
          <w:rFonts w:eastAsia="Calibri"/>
          <w:b/>
          <w:lang w:eastAsia="en-US"/>
        </w:rPr>
        <w:t>y</w:t>
      </w:r>
    </w:p>
    <w:p w:rsidR="004E67F6" w:rsidRPr="004E67F6" w:rsidP="009655CD">
      <w:pPr>
        <w:ind w:left="284" w:firstLine="424"/>
        <w:contextualSpacing/>
        <w:jc w:val="both"/>
        <w:rPr>
          <w:rFonts w:eastAsia="Calibri"/>
          <w:lang w:eastAsia="en-US"/>
        </w:rPr>
      </w:pPr>
      <w:r w:rsidRPr="004E67F6">
        <w:rPr>
          <w:rFonts w:eastAsia="Calibri"/>
          <w:lang w:eastAsia="en-US"/>
        </w:rPr>
        <w:t xml:space="preserve">Za doterajší bod 56 </w:t>
      </w:r>
      <w:r w:rsidRPr="004E67F6">
        <w:rPr>
          <w:rFonts w:eastAsia="Calibri"/>
          <w:lang w:eastAsia="en-US"/>
        </w:rPr>
        <w:t>sa vkladajú nové body 57 a 58, ktoré znejú:</w:t>
      </w:r>
    </w:p>
    <w:p w:rsidR="004E67F6" w:rsidRPr="004E67F6" w:rsidP="009655CD">
      <w:pPr>
        <w:ind w:left="720"/>
        <w:contextualSpacing/>
        <w:jc w:val="both"/>
        <w:rPr>
          <w:rFonts w:eastAsia="Calibri"/>
          <w:lang w:eastAsia="en-US"/>
        </w:rPr>
      </w:pPr>
      <w:r w:rsidRPr="004E67F6">
        <w:rPr>
          <w:rFonts w:eastAsia="Calibri"/>
          <w:lang w:eastAsia="en-US"/>
        </w:rPr>
        <w:t>„57. V § 23 ods. 2 sa vypúšťa písmeno c).</w:t>
      </w:r>
    </w:p>
    <w:p w:rsidR="004E67F6" w:rsidRPr="004E67F6" w:rsidP="009655CD">
      <w:pPr>
        <w:ind w:left="720"/>
        <w:contextualSpacing/>
        <w:jc w:val="both"/>
        <w:rPr>
          <w:rFonts w:eastAsia="Calibri"/>
          <w:lang w:eastAsia="en-US"/>
        </w:rPr>
      </w:pPr>
    </w:p>
    <w:p w:rsidR="004E67F6" w:rsidRPr="004E67F6" w:rsidP="009655CD">
      <w:pPr>
        <w:ind w:left="720"/>
        <w:contextualSpacing/>
        <w:jc w:val="both"/>
        <w:rPr>
          <w:rFonts w:eastAsia="Calibri"/>
          <w:lang w:eastAsia="en-US"/>
        </w:rPr>
      </w:pPr>
      <w:r w:rsidRPr="004E67F6">
        <w:rPr>
          <w:rFonts w:eastAsia="Calibri"/>
          <w:lang w:eastAsia="en-US"/>
        </w:rPr>
        <w:t xml:space="preserve"> Doterajšie písmená d) a e) sa označujú ako písmená c) a d).</w:t>
      </w:r>
    </w:p>
    <w:p w:rsidR="004E67F6" w:rsidRPr="004E67F6" w:rsidP="009655CD">
      <w:pPr>
        <w:ind w:left="720"/>
        <w:contextualSpacing/>
        <w:jc w:val="both"/>
        <w:rPr>
          <w:rFonts w:eastAsia="Calibri"/>
          <w:lang w:eastAsia="en-US"/>
        </w:rPr>
      </w:pPr>
    </w:p>
    <w:p w:rsidR="004E67F6" w:rsidRPr="004E67F6" w:rsidP="009655CD">
      <w:pPr>
        <w:ind w:left="851"/>
        <w:rPr>
          <w:rFonts w:eastAsia="Calibri"/>
          <w:lang w:eastAsia="en-US"/>
        </w:rPr>
      </w:pPr>
      <w:r w:rsidRPr="004E67F6">
        <w:rPr>
          <w:rFonts w:eastAsia="Calibri"/>
          <w:lang w:eastAsia="en-US"/>
        </w:rPr>
        <w:t>58</w:t>
      </w:r>
      <w:r w:rsidRPr="004E67F6">
        <w:rPr>
          <w:rFonts w:eastAsia="Calibri"/>
          <w:sz w:val="22"/>
          <w:szCs w:val="36"/>
          <w:lang w:eastAsia="en-US"/>
        </w:rPr>
        <w:t xml:space="preserve">. </w:t>
      </w:r>
      <w:r w:rsidRPr="004E67F6">
        <w:rPr>
          <w:rFonts w:eastAsia="Calibri"/>
          <w:lang w:eastAsia="en-US"/>
        </w:rPr>
        <w:t>V § 24 ods. 2 sa slová „písm. e)“ nahrádza</w:t>
      </w:r>
      <w:r w:rsidR="0096411C">
        <w:rPr>
          <w:rFonts w:eastAsia="Calibri"/>
          <w:lang w:eastAsia="en-US"/>
        </w:rPr>
        <w:t>jú</w:t>
      </w:r>
      <w:r w:rsidRPr="004E67F6">
        <w:rPr>
          <w:rFonts w:eastAsia="Calibri"/>
          <w:lang w:eastAsia="en-US"/>
        </w:rPr>
        <w:t xml:space="preserve"> slovami „písm. d)“.</w:t>
      </w:r>
    </w:p>
    <w:p w:rsidR="004E67F6" w:rsidRPr="004E67F6" w:rsidP="009655CD">
      <w:pPr>
        <w:jc w:val="both"/>
        <w:rPr>
          <w:rFonts w:eastAsia="Calibri"/>
          <w:lang w:eastAsia="en-US"/>
        </w:rPr>
      </w:pPr>
    </w:p>
    <w:p w:rsidR="004E67F6" w:rsidRPr="004E67F6" w:rsidP="009655CD">
      <w:pPr>
        <w:ind w:firstLine="708"/>
        <w:jc w:val="both"/>
        <w:rPr>
          <w:rFonts w:eastAsia="Calibri"/>
          <w:lang w:eastAsia="en-US"/>
        </w:rPr>
      </w:pPr>
      <w:r w:rsidRPr="004E67F6">
        <w:rPr>
          <w:rFonts w:eastAsia="Calibri"/>
          <w:lang w:eastAsia="en-US"/>
        </w:rPr>
        <w:t>Doterajšie body 57 až 87 sa primerane prečíslujú.</w:t>
      </w:r>
    </w:p>
    <w:p w:rsidR="004E67F6" w:rsidRPr="004E67F6" w:rsidP="009655CD">
      <w:pPr>
        <w:ind w:left="720"/>
        <w:contextualSpacing/>
        <w:jc w:val="both"/>
        <w:rPr>
          <w:rFonts w:eastAsia="Calibri"/>
          <w:lang w:eastAsia="en-US"/>
        </w:rPr>
      </w:pPr>
    </w:p>
    <w:p w:rsidR="004E67F6" w:rsidRPr="004E67F6" w:rsidP="009655CD">
      <w:pPr>
        <w:ind w:left="3540"/>
        <w:contextualSpacing/>
        <w:jc w:val="both"/>
        <w:rPr>
          <w:rFonts w:eastAsia="Calibri"/>
          <w:lang w:eastAsia="en-US"/>
        </w:rPr>
      </w:pPr>
      <w:r w:rsidRPr="004E67F6">
        <w:rPr>
          <w:rFonts w:eastAsia="Calibri"/>
          <w:color w:val="000000"/>
          <w:lang w:eastAsia="en-US"/>
        </w:rPr>
        <w:t xml:space="preserve">Ustanovenie § 23 ods. 2 písm. c) sa vypúšťa v súvislosti so zmenou zahrnovania inventarizačného prebytku odpisovaného hmotného majetku a nehmotného </w:t>
      </w:r>
      <w:r w:rsidRPr="004E67F6">
        <w:rPr>
          <w:rFonts w:eastAsia="Calibri"/>
          <w:lang w:eastAsia="en-US"/>
        </w:rPr>
        <w:t>majetku do základu dane.</w:t>
      </w:r>
    </w:p>
    <w:p w:rsidR="004E67F6" w:rsidRPr="004E67F6" w:rsidP="009655CD">
      <w:pPr>
        <w:ind w:left="3540"/>
        <w:contextualSpacing/>
        <w:jc w:val="both"/>
        <w:rPr>
          <w:rFonts w:eastAsia="Calibri"/>
          <w:lang w:eastAsia="en-US"/>
        </w:rPr>
      </w:pPr>
      <w:r w:rsidRPr="004E67F6">
        <w:rPr>
          <w:rFonts w:eastAsia="Calibri"/>
          <w:lang w:eastAsia="en-US"/>
        </w:rPr>
        <w:t>Ustanovenie § 24 ods. 2 sa upravuje v nadväznosti na spresnenie práva a povinnosti vlastníka a nájomcu pri uzatváraní nájomnej zmluvy, podnájomnej zmluvy a inej zmluvy, ktorá oprávňuje užívať cudzí majetok.</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ind w:left="4395"/>
        <w:contextualSpacing/>
        <w:jc w:val="both"/>
        <w:rPr>
          <w:rFonts w:eastAsia="Calibri"/>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57. bodu</w:t>
      </w:r>
    </w:p>
    <w:p w:rsidR="004E67F6" w:rsidRPr="004E67F6" w:rsidP="009655CD">
      <w:pPr>
        <w:ind w:left="284" w:firstLine="424"/>
        <w:contextualSpacing/>
        <w:jc w:val="both"/>
        <w:rPr>
          <w:rFonts w:eastAsia="Calibri"/>
          <w:lang w:eastAsia="en-US"/>
        </w:rPr>
      </w:pPr>
      <w:r w:rsidRPr="004E67F6">
        <w:rPr>
          <w:rFonts w:eastAsia="Calibri"/>
          <w:lang w:eastAsia="en-US"/>
        </w:rPr>
        <w:t xml:space="preserve">V doterajšom bode 57, § 24 ods. 8 sa vypúšťajú slová „uvedeného v prílohe č. 6“. </w:t>
      </w:r>
    </w:p>
    <w:p w:rsidR="004E67F6" w:rsidRPr="004E67F6" w:rsidP="009655CD">
      <w:pPr>
        <w:ind w:left="4248"/>
        <w:contextualSpacing/>
        <w:jc w:val="both"/>
        <w:rPr>
          <w:rFonts w:eastAsia="Calibri"/>
          <w:b/>
          <w:lang w:eastAsia="en-US"/>
        </w:rPr>
      </w:pPr>
    </w:p>
    <w:p w:rsidR="004E67F6" w:rsidRPr="004E67F6" w:rsidP="009655CD">
      <w:pPr>
        <w:ind w:left="3540"/>
        <w:contextualSpacing/>
        <w:jc w:val="both"/>
        <w:rPr>
          <w:rFonts w:eastAsia="Calibri"/>
          <w:lang w:eastAsia="en-US"/>
        </w:rPr>
      </w:pPr>
      <w:r w:rsidRPr="004E67F6">
        <w:rPr>
          <w:rFonts w:eastAsia="Calibri"/>
          <w:lang w:eastAsia="en-US"/>
        </w:rPr>
        <w:t>Navrhovanou úpravou sa v prípade majetku, ktorý môže mať charakter osobnej potreby ponecháva presný pomer v akom je možné ho zahrnúť do daňových výdavkov, ak sa využíva aj na súkromné účely. Určenie majetku, ktorý môže využívať daňovník aj na súkromné účely však vyplynie z konkrétnych podmienok a nebude už pevne ustanovený zákonom.</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overflowPunct w:val="0"/>
        <w:ind w:hanging="1156"/>
        <w:contextualSpacing/>
        <w:jc w:val="both"/>
        <w:rPr>
          <w:b/>
        </w:rPr>
      </w:pPr>
      <w:r w:rsidRPr="004E67F6">
        <w:rPr>
          <w:b/>
        </w:rPr>
        <w:t xml:space="preserve">K čl. I, 63. bodu </w:t>
      </w:r>
    </w:p>
    <w:p w:rsidR="004E67F6" w:rsidRPr="004E67F6" w:rsidP="009655CD">
      <w:pPr>
        <w:overflowPunct w:val="0"/>
        <w:ind w:left="720"/>
        <w:contextualSpacing/>
        <w:jc w:val="both"/>
      </w:pPr>
      <w:r w:rsidRPr="004E67F6">
        <w:t>V 63. bode (§ 26 ods. 8) sa sl</w:t>
      </w:r>
      <w:r w:rsidRPr="004E67F6">
        <w:t>ová „§ 26 ods. 1“ nahrádzajú slovami „odseku 1“.</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Legislatívno-technická pripomienka upravuje znenie vnútorného odkazu.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ind w:left="3540"/>
        <w:contextualSpacing/>
        <w:jc w:val="both"/>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71. bodu</w:t>
      </w:r>
    </w:p>
    <w:p w:rsidR="004E67F6" w:rsidRPr="004E67F6" w:rsidP="009655CD">
      <w:pPr>
        <w:ind w:left="708"/>
        <w:contextualSpacing/>
        <w:jc w:val="both"/>
        <w:rPr>
          <w:rFonts w:eastAsia="Calibri"/>
          <w:lang w:eastAsia="en-US"/>
        </w:rPr>
      </w:pPr>
      <w:r w:rsidRPr="004E67F6">
        <w:rPr>
          <w:rFonts w:eastAsia="Calibri"/>
          <w:lang w:eastAsia="en-US"/>
        </w:rPr>
        <w:t>V doterajšom bode 71, § 30c ods. 1 písm. b) sa za slovo „občanom“ vkladajú slová „členského štátu Európskej únie“.</w:t>
      </w:r>
    </w:p>
    <w:p w:rsidR="004E67F6" w:rsidRPr="004E67F6" w:rsidP="009655CD">
      <w:pPr>
        <w:ind w:left="4395"/>
        <w:contextualSpacing/>
        <w:jc w:val="both"/>
        <w:rPr>
          <w:rFonts w:eastAsia="Calibri"/>
          <w:lang w:eastAsia="en-US"/>
        </w:rPr>
      </w:pPr>
    </w:p>
    <w:p w:rsidR="004E67F6" w:rsidRPr="004E67F6" w:rsidP="009655CD">
      <w:pPr>
        <w:ind w:left="3540"/>
        <w:contextualSpacing/>
        <w:jc w:val="both"/>
        <w:rPr>
          <w:rFonts w:eastAsia="Calibri"/>
          <w:lang w:eastAsia="en-US"/>
        </w:rPr>
      </w:pPr>
      <w:r w:rsidRPr="004E67F6">
        <w:rPr>
          <w:rFonts w:eastAsia="Calibri"/>
          <w:lang w:eastAsia="en-US"/>
        </w:rPr>
        <w:t>Ide o legislatívne spresnenie v záujme nediskriminácie občanov členských štátov EÚ, ktorým podľa predpisov EU sme povinní priznať rovnaké právne postavenie v právnych vzťahoch ako občanom SR.</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 xml:space="preserve">K čl. I, 71. bodu </w:t>
      </w:r>
    </w:p>
    <w:p w:rsidR="004E67F6" w:rsidRPr="004E67F6" w:rsidP="009655CD">
      <w:pPr>
        <w:overflowPunct w:val="0"/>
        <w:ind w:left="720"/>
        <w:contextualSpacing/>
        <w:jc w:val="both"/>
      </w:pPr>
      <w:r w:rsidRPr="004E67F6">
        <w:t>V 71. bode, § 30c ods. 6 sa slovo „riešenie“ vo všetkých gramatických tvaroch nahrádza sl</w:t>
      </w:r>
      <w:r w:rsidRPr="004E67F6">
        <w:t xml:space="preserve">ovom „realizácia“ v príslušnom gramatickom tvare. </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Pripomienka zjednocuje pojmy použité v návrhu zákona (čl. I, 71. bod - § 30c).</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 xml:space="preserve">K čl. I, 71. bodu </w:t>
      </w:r>
    </w:p>
    <w:p w:rsidR="004E67F6" w:rsidRPr="004E67F6" w:rsidP="009655CD">
      <w:pPr>
        <w:overflowPunct w:val="0"/>
        <w:ind w:left="720"/>
        <w:contextualSpacing/>
        <w:jc w:val="both"/>
      </w:pPr>
      <w:r w:rsidRPr="004E67F6">
        <w:t>V 71. bode, § 30c ods. 6 sa slová „miesto trvalého bydliska“ nahrádzajú slovami „adresa trvalého pobytu“.</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Pripomienka zosúlaďuje navrhovaný pojem s pojmami zaužívanými v platnom znení zákona č. 595/2003 Z. z. o dani z prí</w:t>
      </w:r>
      <w:r w:rsidRPr="004E67F6">
        <w:t>jmov (napr. § 32 ods. 6, § 39 ods. 2).</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 xml:space="preserve">K čl. I, 71. bodu </w:t>
      </w:r>
    </w:p>
    <w:p w:rsidR="004E67F6" w:rsidRPr="004E67F6" w:rsidP="009655CD">
      <w:pPr>
        <w:overflowPunct w:val="0"/>
        <w:ind w:left="720"/>
        <w:contextualSpacing/>
        <w:jc w:val="both"/>
      </w:pPr>
      <w:r w:rsidRPr="004E67F6">
        <w:t>V 71. bode, § 30c ods. 8 prvej vete sa za slovo „vývoj“ vkladá čiarka.</w:t>
      </w:r>
    </w:p>
    <w:p w:rsidR="004E67F6" w:rsidRPr="004E67F6" w:rsidP="009655CD">
      <w:pPr>
        <w:overflowPunct w:val="0"/>
        <w:ind w:left="720"/>
        <w:contextualSpacing/>
        <w:jc w:val="both"/>
      </w:pPr>
    </w:p>
    <w:p w:rsidR="004E67F6" w:rsidRPr="004E67F6" w:rsidP="009655CD">
      <w:pPr>
        <w:overflowPunct w:val="0"/>
        <w:ind w:left="2844" w:firstLine="696"/>
        <w:contextualSpacing/>
        <w:jc w:val="both"/>
      </w:pPr>
      <w:r w:rsidRPr="004E67F6">
        <w:t xml:space="preserve">Gramatická pripomienka.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 xml:space="preserve">K čl. I, 72. bodu </w:t>
      </w:r>
    </w:p>
    <w:p w:rsidR="004E67F6" w:rsidRPr="004E67F6" w:rsidP="009655CD">
      <w:pPr>
        <w:overflowPunct w:val="0"/>
        <w:ind w:left="720"/>
        <w:contextualSpacing/>
        <w:jc w:val="both"/>
      </w:pPr>
      <w:r w:rsidRPr="004E67F6">
        <w:t>V 72. bode sa slovo „emailovú“ nahrádza slovom „e-mailovú“</w:t>
      </w:r>
      <w:r w:rsidRPr="004E67F6">
        <w:t>.</w:t>
      </w:r>
    </w:p>
    <w:p w:rsidR="004E67F6" w:rsidRPr="004E67F6" w:rsidP="009655CD">
      <w:pPr>
        <w:overflowPunct w:val="0"/>
        <w:ind w:left="720"/>
        <w:contextualSpacing/>
        <w:jc w:val="both"/>
      </w:pPr>
    </w:p>
    <w:p w:rsidR="004E67F6" w:rsidRPr="004E67F6" w:rsidP="009655CD">
      <w:pPr>
        <w:overflowPunct w:val="0"/>
        <w:ind w:left="2844" w:firstLine="696"/>
        <w:contextualSpacing/>
        <w:jc w:val="both"/>
      </w:pPr>
      <w:r w:rsidRPr="004E67F6">
        <w:t>Gramatická pripomienka.</w:t>
      </w:r>
    </w:p>
    <w:p w:rsidR="004E67F6" w:rsidRPr="004E67F6" w:rsidP="009655CD">
      <w:pPr>
        <w:overflowPunct w:val="0"/>
        <w:jc w:val="both"/>
        <w:rPr>
          <w:bC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75. bodu</w:t>
      </w:r>
    </w:p>
    <w:p w:rsidR="004E67F6" w:rsidRPr="004E67F6" w:rsidP="009655CD">
      <w:pPr>
        <w:ind w:left="708"/>
        <w:contextualSpacing/>
        <w:jc w:val="both"/>
        <w:rPr>
          <w:rFonts w:eastAsia="Calibri"/>
          <w:lang w:eastAsia="en-US"/>
        </w:rPr>
      </w:pPr>
      <w:r w:rsidRPr="004E67F6">
        <w:rPr>
          <w:rFonts w:eastAsia="Calibri"/>
          <w:lang w:eastAsia="en-US"/>
        </w:rPr>
        <w:t>V doterajšom bode 75, § 35 ods. 3 písm. a) sa slová „prílohy č. 7“ nahrádzajú slovami „prílohy č. 6“.</w:t>
      </w:r>
    </w:p>
    <w:p w:rsidR="004E67F6" w:rsidRPr="004E67F6" w:rsidP="009655CD">
      <w:pPr>
        <w:ind w:left="4395"/>
        <w:contextualSpacing/>
        <w:jc w:val="both"/>
        <w:rPr>
          <w:rFonts w:eastAsia="Calibri"/>
          <w:b/>
          <w:lang w:eastAsia="en-US"/>
        </w:rPr>
      </w:pPr>
    </w:p>
    <w:p w:rsidR="004E67F6" w:rsidRPr="004E67F6" w:rsidP="009655CD">
      <w:pPr>
        <w:overflowPunct w:val="0"/>
        <w:ind w:left="3540"/>
        <w:jc w:val="both"/>
        <w:rPr>
          <w:bCs/>
        </w:rPr>
      </w:pPr>
      <w:r w:rsidRPr="004E67F6">
        <w:rPr>
          <w:rFonts w:eastAsia="Calibri"/>
          <w:lang w:eastAsia="en-US"/>
        </w:rPr>
        <w:t xml:space="preserve">Navrhovanou úpravou sa v prípade majetku, ktorý môže mať charakter osobnej potreby ponecháva presný pomer v akom je možné ho zahrnúť do daňových výdavkov, ak sa využíva aj na súkromné účely. Určenie </w:t>
      </w:r>
      <w:r w:rsidRPr="004E67F6">
        <w:rPr>
          <w:rFonts w:eastAsia="Calibri"/>
          <w:color w:val="000000"/>
          <w:lang w:eastAsia="en-US"/>
        </w:rPr>
        <w:t>majetku</w:t>
      </w:r>
      <w:r w:rsidRPr="004E67F6">
        <w:rPr>
          <w:rFonts w:eastAsia="Calibri"/>
          <w:lang w:eastAsia="en-US"/>
        </w:rPr>
        <w:t>, ktorý môže využívať daňovník aj na súkromné účely</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82. bodu</w:t>
      </w:r>
    </w:p>
    <w:p w:rsidR="004E67F6" w:rsidRPr="004E67F6" w:rsidP="009655CD">
      <w:pPr>
        <w:ind w:left="708"/>
        <w:contextualSpacing/>
        <w:jc w:val="both"/>
        <w:rPr>
          <w:rFonts w:eastAsia="Calibri"/>
          <w:lang w:eastAsia="en-US"/>
        </w:rPr>
      </w:pPr>
      <w:r w:rsidRPr="004E67F6">
        <w:rPr>
          <w:rFonts w:eastAsia="Calibri"/>
          <w:lang w:eastAsia="en-US"/>
        </w:rPr>
        <w:t>V doterajšom bode 82, § 43 ods. 17 písm. a) prvom bode sa za slovo „starostlivosť“ vkladajú slová „alebo vykonáva závislú činnosť z</w:t>
      </w:r>
      <w:r w:rsidRPr="004E67F6">
        <w:rPr>
          <w:rFonts w:eastAsia="Calibri"/>
          <w:lang w:eastAsia="en-US"/>
        </w:rPr>
        <w:t>amestnanca,“.</w:t>
      </w:r>
    </w:p>
    <w:p w:rsidR="004E67F6" w:rsidRPr="004E67F6" w:rsidP="009655CD">
      <w:pPr>
        <w:ind w:left="4395"/>
        <w:contextualSpacing/>
        <w:jc w:val="both"/>
        <w:rPr>
          <w:rFonts w:eastAsia="Calibri"/>
          <w:b/>
          <w:lang w:eastAsia="en-US"/>
        </w:rPr>
      </w:pPr>
    </w:p>
    <w:p w:rsidR="004E67F6" w:rsidRPr="004E67F6" w:rsidP="009655CD">
      <w:pPr>
        <w:ind w:left="3540"/>
        <w:contextualSpacing/>
        <w:jc w:val="both"/>
        <w:rPr>
          <w:rFonts w:eastAsia="Calibri"/>
          <w:lang w:eastAsia="en-US"/>
        </w:rPr>
      </w:pPr>
      <w:r w:rsidRPr="004E67F6">
        <w:rPr>
          <w:rFonts w:eastAsia="Calibri"/>
          <w:lang w:eastAsia="en-US"/>
        </w:rPr>
        <w:t>Spresnenie sa vykonáva z dôvodu, že nie každý zamestnanec poskytovateľa zdravotnej starostlivosti zároveň aj poskytuje zdravotnú starostlivosť (napr. riadiaci a administratívni pracovníci).</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overflowPunct w:val="0"/>
        <w:ind w:hanging="1156"/>
        <w:contextualSpacing/>
        <w:jc w:val="both"/>
        <w:rPr>
          <w:b/>
        </w:rPr>
      </w:pPr>
      <w:r w:rsidRPr="004E67F6">
        <w:rPr>
          <w:b/>
        </w:rPr>
        <w:t xml:space="preserve">K čl. I, 82. bodu </w:t>
      </w:r>
    </w:p>
    <w:p w:rsidR="004E67F6" w:rsidRPr="004E67F6" w:rsidP="009655CD">
      <w:pPr>
        <w:overflowPunct w:val="0"/>
        <w:ind w:left="720"/>
        <w:contextualSpacing/>
        <w:jc w:val="both"/>
      </w:pPr>
      <w:r w:rsidRPr="004E67F6">
        <w:t>V 82. bode, § 43 ods. 17 písm. b) úvodnej vete sa za slovo „štvrťroka“ vkladá čiarka a slová „v ktorom bolo nepeňažné plnenie poskytnuté,“.</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Pripomienka konkretizuje navrhované ustanovenie v zmysle jeho zosúladenia </w:t>
      </w:r>
      <w:r w:rsidRPr="004E67F6">
        <w:t xml:space="preserve">s úvodnou vetou § 43 ods. 17.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85. bodu</w:t>
      </w:r>
    </w:p>
    <w:p w:rsidR="004E67F6" w:rsidRPr="004E67F6" w:rsidP="009655CD">
      <w:pPr>
        <w:ind w:left="284" w:firstLine="424"/>
        <w:contextualSpacing/>
        <w:jc w:val="both"/>
        <w:rPr>
          <w:rFonts w:eastAsia="Calibri"/>
          <w:lang w:eastAsia="en-US"/>
        </w:rPr>
      </w:pPr>
      <w:r w:rsidRPr="004E67F6">
        <w:rPr>
          <w:rFonts w:eastAsia="Calibri"/>
          <w:lang w:eastAsia="en-US"/>
        </w:rPr>
        <w:t>V doterajšom bode 85, § 52zd odsek 1 znie:</w:t>
      </w:r>
    </w:p>
    <w:p w:rsidR="004E67F6" w:rsidRPr="004E67F6" w:rsidP="009655CD">
      <w:pPr>
        <w:ind w:left="709"/>
        <w:jc w:val="both"/>
        <w:rPr>
          <w:rFonts w:eastAsia="Calibri"/>
          <w:lang w:eastAsia="en-US"/>
        </w:rPr>
      </w:pPr>
      <w:r w:rsidRPr="004E67F6">
        <w:rPr>
          <w:rFonts w:eastAsia="Calibri"/>
          <w:lang w:eastAsia="en-US"/>
        </w:rPr>
        <w:t>„(1) Pri nájomných zmluvách s dojednaným právom kúpy prenajatej veci uzatvorených od 1. januára 2004 do 31. decembra 2014 sa použijú ustanovenia predpisu účinného od 1. januára 2015, okrem zmeny doby trvania týchto zmlúv, ktorú je možné vykonať len po vzájomnej dohode nájomcu a prenajímateľa v rozsahu vyplývajúcom zo skrátenia alebo predĺženia doby odpisovania hmotného majetku podľa § 26 ods. 1.“.</w:t>
      </w:r>
    </w:p>
    <w:p w:rsidR="004E67F6" w:rsidRPr="004E67F6" w:rsidP="009655CD">
      <w:pPr>
        <w:jc w:val="both"/>
        <w:rPr>
          <w:rFonts w:eastAsia="Calibri"/>
          <w:lang w:eastAsia="en-US"/>
        </w:rPr>
      </w:pPr>
    </w:p>
    <w:p w:rsidR="004E67F6" w:rsidRPr="004E67F6" w:rsidP="009655CD">
      <w:pPr>
        <w:ind w:left="3540"/>
        <w:jc w:val="both"/>
        <w:rPr>
          <w:rFonts w:eastAsia="Calibri"/>
          <w:lang w:eastAsia="en-US"/>
        </w:rPr>
      </w:pPr>
      <w:r w:rsidRPr="004E67F6">
        <w:rPr>
          <w:rFonts w:eastAsia="Calibri"/>
          <w:lang w:eastAsia="en-US"/>
        </w:rPr>
        <w:t>Spresňuje sa prechodné ustanovenie k novým pravidlám odpisovania hmotného majetku obstaraného formou finančného prenájmu a to konkrétne k nájomným zmluvám uzatvoreným do 31. 12. 2014. Podľa navrhovaného znenia sa podmienka minimálnej doby trvania nájomnej zmluvy, ktorá nesmie byť uzatvorená na dobu kratšiu ako 60 % doby odpisovania, nepoužije na zmluvy uzatvorené do 31. 12. 2014. Doba trvania zmlúv uzatvorených do 31. 12. 2014 sa však môže skrátiť alebo predĺžiť na základe vzájomnej dohody nájomcu a prenajímateľa.</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jc w:val="center"/>
        <w:rPr>
          <w:rFonts w:eastAsia="Calibri"/>
          <w:b/>
          <w:lang w:eastAsia="en-US"/>
        </w:rPr>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 xml:space="preserve"> K čl. I, 85. bodu</w:t>
      </w:r>
    </w:p>
    <w:p w:rsidR="004E67F6" w:rsidRPr="004E67F6" w:rsidP="009655CD">
      <w:pPr>
        <w:ind w:left="708"/>
        <w:contextualSpacing/>
        <w:jc w:val="both"/>
        <w:rPr>
          <w:rFonts w:eastAsia="Calibri"/>
          <w:lang w:eastAsia="en-US"/>
        </w:rPr>
      </w:pPr>
      <w:r w:rsidRPr="004E67F6">
        <w:rPr>
          <w:rFonts w:eastAsia="Calibri"/>
          <w:lang w:eastAsia="en-US"/>
        </w:rPr>
        <w:t>V doterajšom bode 85, § 52zd ods. 2 sa slová „prílohy č. 1 a 6“ nahrádzajú slovami „príloha č. 1“.</w:t>
      </w:r>
    </w:p>
    <w:p w:rsidR="004E67F6" w:rsidRPr="004E67F6" w:rsidP="009655CD">
      <w:pPr>
        <w:jc w:val="center"/>
        <w:rPr>
          <w:rFonts w:eastAsia="Calibri"/>
          <w:b/>
          <w:lang w:eastAsia="en-US"/>
        </w:rPr>
      </w:pPr>
    </w:p>
    <w:p w:rsidR="004E67F6" w:rsidRPr="004E67F6" w:rsidP="009655CD">
      <w:pPr>
        <w:ind w:left="3540"/>
        <w:contextualSpacing/>
        <w:jc w:val="both"/>
        <w:rPr>
          <w:rFonts w:eastAsia="Calibri"/>
          <w:lang w:eastAsia="en-US"/>
        </w:rPr>
      </w:pPr>
      <w:r w:rsidRPr="004E67F6">
        <w:rPr>
          <w:rFonts w:eastAsia="Calibri"/>
          <w:lang w:eastAsia="en-US"/>
        </w:rPr>
        <w:t>Úprava v súvislosti s možnosťou odpisovania technického zhodnotenia hmotného majetku  aj osobou inou ako nájomca a s vypustením prílohy č. 6, ktorá vymedzovala majetok, ktorý môže mať charak</w:t>
      </w:r>
      <w:r w:rsidRPr="004E67F6">
        <w:rPr>
          <w:rFonts w:eastAsia="Calibri"/>
          <w:lang w:eastAsia="en-US"/>
        </w:rPr>
        <w:t>ter osobnej potreby</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P="009655CD">
      <w:pPr>
        <w:overflowPunct w:val="0"/>
        <w:ind w:left="720"/>
        <w:contextualSpacing/>
        <w:jc w:val="both"/>
      </w:pPr>
    </w:p>
    <w:p w:rsidR="009655CD"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 xml:space="preserve">K čl. I, 87. bodu </w:t>
      </w:r>
    </w:p>
    <w:p w:rsidR="004E67F6" w:rsidRPr="004E67F6" w:rsidP="009655CD">
      <w:pPr>
        <w:overflowPunct w:val="0"/>
        <w:ind w:left="720"/>
        <w:contextualSpacing/>
        <w:jc w:val="both"/>
      </w:pPr>
      <w:r w:rsidRPr="004E67F6">
        <w:t xml:space="preserve">V 87. bode, Prílohe č. 6 sa v názve položky 10, v kóde štatistickej klasifikácie 29.10.52 za slovo „podobné“ vkladá slovo „vozidlá“. </w:t>
      </w:r>
    </w:p>
    <w:p w:rsidR="004E67F6" w:rsidRPr="004E67F6" w:rsidP="009655CD">
      <w:pPr>
        <w:overflowPunct w:val="0"/>
        <w:ind w:left="720"/>
        <w:contextualSpacing/>
        <w:jc w:val="both"/>
      </w:pPr>
    </w:p>
    <w:p w:rsidR="004E67F6" w:rsidP="009655CD">
      <w:pPr>
        <w:overflowPunct w:val="0"/>
        <w:ind w:left="3540"/>
        <w:contextualSpacing/>
        <w:jc w:val="both"/>
      </w:pPr>
      <w:r w:rsidRPr="004E67F6">
        <w:t>Pripomienka zjednocuje znenie prílohy s čl. I, 38. bodom návrhu zákona (§ 19 ods. 3 písm. b/, 1. bod).</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RPr="002A3B85" w:rsidP="009655CD">
      <w:pPr>
        <w:ind w:left="2832" w:firstLine="708"/>
        <w:jc w:val="both"/>
      </w:pPr>
      <w:r w:rsidRPr="002A3B85">
        <w:rPr>
          <w:b/>
        </w:rPr>
        <w:t xml:space="preserve">Gestorský výbor odporúča </w:t>
      </w:r>
      <w:r w:rsidRPr="002A3B85" w:rsidR="00CC1CC4">
        <w:rPr>
          <w:b/>
        </w:rPr>
        <w:t>neschváliť</w:t>
      </w:r>
      <w:r w:rsidRPr="002A3B85">
        <w:rPr>
          <w:b/>
        </w:rPr>
        <w:t>.</w:t>
      </w:r>
    </w:p>
    <w:p w:rsidR="00334FE3" w:rsidP="009655CD">
      <w:pPr>
        <w:overflowPunct w:val="0"/>
        <w:ind w:left="3540"/>
        <w:contextualSpacing/>
        <w:jc w:val="both"/>
      </w:pPr>
    </w:p>
    <w:p w:rsidR="004E67F6" w:rsidRPr="004E67F6" w:rsidP="009655CD">
      <w:pPr>
        <w:numPr>
          <w:ilvl w:val="0"/>
          <w:numId w:val="40"/>
        </w:numPr>
        <w:overflowPunct w:val="0"/>
        <w:ind w:hanging="1156"/>
        <w:contextualSpacing/>
        <w:jc w:val="both"/>
        <w:rPr>
          <w:b/>
        </w:rPr>
      </w:pPr>
      <w:r w:rsidRPr="004E67F6">
        <w:rPr>
          <w:b/>
        </w:rPr>
        <w:t xml:space="preserve">K čl. I, 87. bodu </w:t>
      </w:r>
    </w:p>
    <w:p w:rsidR="004E67F6" w:rsidRPr="004E67F6" w:rsidP="009655CD">
      <w:pPr>
        <w:overflowPunct w:val="0"/>
        <w:ind w:left="720"/>
        <w:contextualSpacing/>
        <w:jc w:val="both"/>
      </w:pPr>
      <w:r w:rsidRPr="004E67F6">
        <w:t>V 87. bode, Prílohe č. 7 sa slová „prvého bodu v vyjadrená desatinným číslom“ nahrádzajú slovami „prvého bodu vyjadrená desatinným číslom“.</w:t>
      </w:r>
    </w:p>
    <w:p w:rsidR="004E67F6" w:rsidRPr="004E67F6" w:rsidP="009655CD">
      <w:pPr>
        <w:overflowPunct w:val="0"/>
        <w:ind w:left="720"/>
        <w:contextualSpacing/>
        <w:jc w:val="both"/>
      </w:pPr>
    </w:p>
    <w:p w:rsidR="004E67F6" w:rsidRPr="004E67F6" w:rsidP="009655CD">
      <w:pPr>
        <w:overflowPunct w:val="0"/>
        <w:ind w:left="2844" w:firstLine="696"/>
        <w:contextualSpacing/>
        <w:jc w:val="both"/>
      </w:pPr>
      <w:r w:rsidRPr="004E67F6">
        <w:t xml:space="preserve">Gramatická pripomienka.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 xml:space="preserve">K čl. I, 87. bodu </w:t>
      </w:r>
    </w:p>
    <w:p w:rsidR="004E67F6" w:rsidRPr="004E67F6" w:rsidP="009655CD">
      <w:pPr>
        <w:overflowPunct w:val="0"/>
        <w:ind w:left="720"/>
        <w:contextualSpacing/>
        <w:jc w:val="both"/>
      </w:pPr>
      <w:r w:rsidRPr="004E67F6">
        <w:t>V 87. bode, Prílohe č. 7, 2. bode sa slová „Nepeňažné plnenie čiastočne navýšené o daň“ nahrádzajú slovami „Nepeňažné plnenie čiastočne navýšené o preddavok na daň“.</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Pripomienka zjednocuje znenie Prílohy č. 7 v zmysle definície ČNP – nepeňažného  plnenia čiastočne navýšeného o preddavok na daň.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334FE3" w:rsidRPr="004E67F6" w:rsidP="009655CD">
      <w:pPr>
        <w:overflowPunct w:val="0"/>
        <w:ind w:left="3540"/>
        <w:contextualSpacing/>
        <w:jc w:val="both"/>
      </w:pPr>
    </w:p>
    <w:p w:rsidR="004E67F6" w:rsidRPr="004E67F6" w:rsidP="009655CD">
      <w:pPr>
        <w:numPr>
          <w:ilvl w:val="0"/>
          <w:numId w:val="40"/>
        </w:numPr>
        <w:ind w:hanging="1156"/>
        <w:contextualSpacing/>
        <w:jc w:val="both"/>
        <w:rPr>
          <w:rFonts w:eastAsia="Calibri"/>
          <w:b/>
          <w:lang w:eastAsia="en-US"/>
        </w:rPr>
      </w:pPr>
      <w:r w:rsidRPr="004E67F6">
        <w:rPr>
          <w:rFonts w:eastAsia="Calibri"/>
          <w:b/>
          <w:lang w:eastAsia="en-US"/>
        </w:rPr>
        <w:t>K čl. I, 87. bodu</w:t>
      </w:r>
    </w:p>
    <w:p w:rsidR="004E67F6" w:rsidRPr="004E67F6" w:rsidP="009655CD">
      <w:pPr>
        <w:ind w:left="284"/>
        <w:contextualSpacing/>
        <w:jc w:val="both"/>
        <w:rPr>
          <w:rFonts w:eastAsia="Calibri"/>
          <w:lang w:eastAsia="en-US"/>
        </w:rPr>
      </w:pPr>
      <w:r w:rsidRPr="004E67F6">
        <w:rPr>
          <w:rFonts w:eastAsia="Calibri"/>
          <w:lang w:eastAsia="en-US"/>
        </w:rPr>
        <w:t xml:space="preserve">V doterajšom bode 87, prílohách č. 6 a 7 sa slová „prílohami č. 6 a 7, ktoré vrátane nadpisov znejú“ nahrádzajú slovami „prílohou č. 6, ktorá vrátane nadpisu znie“ a vypúšťa sa príloha </w:t>
      </w:r>
      <w:r w:rsidR="008713C5">
        <w:rPr>
          <w:rFonts w:eastAsia="Calibri"/>
          <w:lang w:eastAsia="en-US"/>
        </w:rPr>
        <w:t>č. 6. V prílohe č. 7 sa slová „P</w:t>
      </w:r>
      <w:r w:rsidRPr="004E67F6">
        <w:rPr>
          <w:rFonts w:eastAsia="Calibri"/>
          <w:lang w:eastAsia="en-US"/>
        </w:rPr>
        <w:t>ríloha č. 7“ nahrádza</w:t>
      </w:r>
      <w:r w:rsidR="008713C5">
        <w:rPr>
          <w:rFonts w:eastAsia="Calibri"/>
          <w:lang w:eastAsia="en-US"/>
        </w:rPr>
        <w:t>jú slovami „P</w:t>
      </w:r>
      <w:r w:rsidRPr="004E67F6">
        <w:rPr>
          <w:rFonts w:eastAsia="Calibri"/>
          <w:lang w:eastAsia="en-US"/>
        </w:rPr>
        <w:t>ríloha č. 6“ a slová „predpisov [§ 35 ods. 1 písm. a)]“ sa nahrádzajú slovom „predpisov</w:t>
      </w:r>
      <w:r w:rsidRPr="004E67F6">
        <w:rPr>
          <w:rFonts w:eastAsia="Calibri"/>
          <w:vertAlign w:val="superscript"/>
          <w:lang w:eastAsia="en-US"/>
        </w:rPr>
        <w:t>154</w:t>
      </w:r>
      <w:r w:rsidRPr="004E67F6">
        <w:rPr>
          <w:rFonts w:eastAsia="Calibri"/>
          <w:lang w:eastAsia="en-US"/>
        </w:rPr>
        <w:t>)“.</w:t>
      </w:r>
    </w:p>
    <w:p w:rsidR="004E67F6" w:rsidRPr="004E67F6" w:rsidP="009655CD">
      <w:pPr>
        <w:ind w:left="720"/>
        <w:contextualSpacing/>
        <w:jc w:val="both"/>
        <w:rPr>
          <w:rFonts w:eastAsia="Calibri"/>
          <w:lang w:eastAsia="en-US"/>
        </w:rPr>
      </w:pPr>
    </w:p>
    <w:p w:rsidR="004E67F6" w:rsidRPr="004E67F6" w:rsidP="009655CD">
      <w:pPr>
        <w:ind w:left="3540"/>
        <w:contextualSpacing/>
        <w:jc w:val="both"/>
        <w:rPr>
          <w:rFonts w:eastAsia="Calibri"/>
          <w:lang w:eastAsia="en-US"/>
        </w:rPr>
      </w:pPr>
      <w:r w:rsidRPr="004E67F6">
        <w:rPr>
          <w:rFonts w:eastAsia="Calibri"/>
          <w:lang w:eastAsia="en-US"/>
        </w:rPr>
        <w:t>Navrhovanou úpravou sa vypúšťa príloha č. 6, vymedzujúca majetok, ktorý môže mať charakter osobnej potreby. V prípade majetku, ktorý môže mať charakter osobnej potreby ponecháva presný pomer v akom je možné ho zahrnúť do daňových výdavkov, ak sa využíva aj na súkromné účely. Určenie majetku, ktorý môže využívať daňovník aj na súkromné účely však vyplynie z konkrétnych podmienok a nebude už pevne ustanovený zákonom.</w:t>
      </w:r>
    </w:p>
    <w:p w:rsidR="004E67F6" w:rsidRPr="004E67F6" w:rsidP="009655CD">
      <w:pPr>
        <w:overflowPunct w:val="0"/>
        <w:jc w:val="both"/>
        <w:rPr>
          <w:bC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P="009655CD">
      <w:pPr>
        <w:overflowPunct w:val="0"/>
        <w:jc w:val="both"/>
        <w:rPr>
          <w:bCs/>
        </w:rPr>
      </w:pPr>
    </w:p>
    <w:p w:rsidR="009655CD" w:rsidRPr="004E67F6" w:rsidP="009655CD">
      <w:pPr>
        <w:overflowPunct w:val="0"/>
        <w:jc w:val="both"/>
        <w:rPr>
          <w:bCs/>
        </w:rPr>
      </w:pPr>
    </w:p>
    <w:p w:rsidR="004E67F6" w:rsidRPr="004E67F6" w:rsidP="009655CD">
      <w:pPr>
        <w:numPr>
          <w:ilvl w:val="0"/>
          <w:numId w:val="40"/>
        </w:numPr>
        <w:ind w:hanging="1156"/>
        <w:contextualSpacing/>
        <w:jc w:val="both"/>
        <w:rPr>
          <w:b/>
        </w:rPr>
      </w:pPr>
      <w:r w:rsidRPr="004E67F6">
        <w:rPr>
          <w:b/>
        </w:rPr>
        <w:t>Nový článok</w:t>
      </w:r>
    </w:p>
    <w:p w:rsidR="004E67F6" w:rsidRPr="004E67F6" w:rsidP="009655CD">
      <w:pPr>
        <w:ind w:left="284"/>
        <w:contextualSpacing/>
        <w:jc w:val="both"/>
      </w:pPr>
      <w:r w:rsidRPr="004E67F6">
        <w:t>Za čl. II sa vkladá nový čl. III, ktorý znie:</w:t>
      </w:r>
    </w:p>
    <w:p w:rsidR="004E67F6" w:rsidRPr="004E67F6" w:rsidP="009655CD">
      <w:pPr>
        <w:jc w:val="center"/>
      </w:pPr>
    </w:p>
    <w:p w:rsidR="004E67F6" w:rsidRPr="004E67F6" w:rsidP="009655CD">
      <w:pPr>
        <w:jc w:val="center"/>
      </w:pPr>
      <w:r w:rsidRPr="004E67F6">
        <w:t>„Čl. III</w:t>
      </w:r>
    </w:p>
    <w:p w:rsidR="004E67F6" w:rsidRPr="004E67F6" w:rsidP="009655CD">
      <w:pPr>
        <w:jc w:val="both"/>
      </w:pPr>
    </w:p>
    <w:p w:rsidR="004E67F6" w:rsidRPr="004E67F6" w:rsidP="009655CD">
      <w:pPr>
        <w:jc w:val="both"/>
      </w:pPr>
      <w:r w:rsidRPr="004E67F6">
        <w:t>Zákon č. 178/1998 Z. z. o podmienkach predaja výrobkov a poskytovania služieb na trhových miestach a o zmene a doplnení zákona č. 455/1991 Zb. o živnostenskom podnikaní (živnostenský zákon) v znení neskorších predpisov v znení zákona č. 310/1999 Z. z., zákona č. 115/2000 Z. z., zákona č. 128/2002 Z. z., zákona č. 524/2005 Z. z., zákona č. 215/2007 Z. z., zákona č. 343/2007 Z. z., zákona č. 358/2007 Z. z.,  zákona č. 42/2013 Z. z.,  zákona č. 361/2013 Z. z., zákona č. 101/2014 Z. z. a zákona č. 199/2014 Z. z. sa mení a dopĺňa takto:</w:t>
      </w:r>
    </w:p>
    <w:p w:rsidR="004E67F6" w:rsidRPr="004E67F6" w:rsidP="009655CD">
      <w:pPr>
        <w:ind w:firstLine="363"/>
        <w:jc w:val="both"/>
      </w:pPr>
    </w:p>
    <w:p w:rsidR="004E67F6" w:rsidRPr="004E67F6" w:rsidP="009655CD">
      <w:pPr>
        <w:numPr>
          <w:ilvl w:val="0"/>
          <w:numId w:val="37"/>
        </w:numPr>
        <w:jc w:val="both"/>
        <w:rPr>
          <w:strike/>
        </w:rPr>
      </w:pPr>
      <w:r w:rsidRPr="004E67F6">
        <w:t>V § 3 ods. 5 písm. b) sa za slovo „pokladnice,“  vkladajú slová „alebo fotokópia potvrdenia daňového úradu o pridelení daňového kódu virtuálnej registračnej pokladnice“ a na konci sa pripájajú tieto slová: „alebo virtuálnu registračnú pokladnicu“.</w:t>
      </w:r>
    </w:p>
    <w:p w:rsidR="004E67F6" w:rsidRPr="004E67F6" w:rsidP="009655CD">
      <w:pPr>
        <w:jc w:val="both"/>
        <w:rPr>
          <w:strike/>
        </w:rPr>
      </w:pPr>
    </w:p>
    <w:p w:rsidR="004E67F6" w:rsidRPr="004E67F6" w:rsidP="009655CD">
      <w:pPr>
        <w:numPr>
          <w:ilvl w:val="0"/>
          <w:numId w:val="37"/>
        </w:numPr>
        <w:jc w:val="both"/>
        <w:rPr>
          <w:b/>
        </w:rPr>
      </w:pPr>
      <w:r w:rsidRPr="004E67F6">
        <w:t>V § 5 ods. 4 písm. c) sa za slovo „pokladnice“ vkladajú slová „alebo virtuálnej registračnej pokladnice“.</w:t>
      </w:r>
    </w:p>
    <w:p w:rsidR="004E67F6" w:rsidRPr="004E67F6" w:rsidP="009655CD">
      <w:pPr>
        <w:ind w:left="720"/>
      </w:pPr>
    </w:p>
    <w:p w:rsidR="004E67F6" w:rsidRPr="004E67F6" w:rsidP="009655CD">
      <w:pPr>
        <w:numPr>
          <w:ilvl w:val="0"/>
          <w:numId w:val="37"/>
        </w:numPr>
        <w:jc w:val="both"/>
      </w:pPr>
      <w:r w:rsidRPr="004E67F6">
        <w:t>V § 11 ods. 1 písm. c) sa za slovo „pokladnicu“ vkladajú slová „alebo virtuálnu registračnú pokladnicu“.“.</w:t>
      </w:r>
    </w:p>
    <w:p w:rsidR="004E67F6" w:rsidRPr="004E67F6" w:rsidP="009655CD">
      <w:pPr>
        <w:jc w:val="both"/>
      </w:pPr>
    </w:p>
    <w:p w:rsidR="004E67F6" w:rsidRPr="004E67F6" w:rsidP="009655CD">
      <w:pPr>
        <w:ind w:firstLine="426"/>
        <w:jc w:val="both"/>
      </w:pPr>
      <w:r w:rsidRPr="004E67F6">
        <w:t xml:space="preserve">Doterajšie články III až IX  je potrebné primerane prečíslovať. </w:t>
      </w:r>
    </w:p>
    <w:p w:rsidR="004E67F6" w:rsidRPr="004E67F6" w:rsidP="009655CD">
      <w:pPr>
        <w:tabs>
          <w:tab w:val="left" w:pos="426"/>
        </w:tabs>
        <w:jc w:val="both"/>
      </w:pPr>
    </w:p>
    <w:p w:rsidR="004E67F6" w:rsidRPr="004E67F6" w:rsidP="009655CD">
      <w:pPr>
        <w:jc w:val="both"/>
      </w:pPr>
      <w:r w:rsidRPr="004E67F6">
        <w:t xml:space="preserve">Účinnosť tohto bodu sa navrhuje 1.4.2015, čo sa premietne do ustanovenia  doterajšieho </w:t>
        <w:br/>
        <w:t xml:space="preserve">čl. IX o účinnosti návrhu zákona. </w:t>
      </w:r>
    </w:p>
    <w:p w:rsidR="004E67F6" w:rsidRPr="004E67F6" w:rsidP="009655CD">
      <w:pPr>
        <w:tabs>
          <w:tab w:val="left" w:pos="426"/>
        </w:tabs>
        <w:jc w:val="both"/>
      </w:pPr>
    </w:p>
    <w:p w:rsidR="004E67F6" w:rsidRPr="004E67F6" w:rsidP="009655CD">
      <w:pPr>
        <w:ind w:left="3540"/>
        <w:jc w:val="both"/>
      </w:pPr>
      <w:r w:rsidRPr="004E67F6">
        <w:t xml:space="preserve">S prihliadnutím na to, že na evidenciu prijatých tržieb môže podnikateľ používať nielen elektronickú registračnú pokladnicu, ale aj virtuálnu registračnú pokladnicu,  je potrebné túto skutočnosť premietnuť do  zákona o podmienkach predaja výrobkov a poskytovania služieb na trhových miestach. Pri používaní virtuálnej registračnej pokladnice sa nepoužíva kniha pokladnice, a preto sa navrhuje, aby podnikateľ pri používaní takejto pokladnice bol povinný predložiť k žiadosti o povolenie predaja na trhovom mieste potvrdenie z daňového úradu o pridelení daňového kódu virtuálnej registračnej pokladnice.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overflowPunct w:val="0"/>
        <w:ind w:left="851" w:hanging="425"/>
        <w:contextualSpacing/>
        <w:jc w:val="both"/>
        <w:rPr>
          <w:b/>
        </w:rPr>
      </w:pPr>
      <w:r w:rsidRPr="004E67F6">
        <w:rPr>
          <w:b/>
        </w:rPr>
        <w:t xml:space="preserve">K čl. III, 2. bodu </w:t>
      </w:r>
    </w:p>
    <w:p w:rsidR="004E67F6" w:rsidRPr="004E67F6" w:rsidP="009655CD">
      <w:pPr>
        <w:overflowPunct w:val="0"/>
        <w:ind w:left="720"/>
        <w:contextualSpacing/>
        <w:jc w:val="both"/>
      </w:pPr>
      <w:r w:rsidRPr="004E67F6">
        <w:t>V 2. bode, § 2 ods. 10 poslednej vete sa za slová „Pri posudzovaní podmienok“ vkladajú slová „podľa odsekov 6 až 8“.</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Pripomienka konkretizuje citované ustanovenie doplnením vnútorného odkazu.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P="009655CD">
      <w:pPr>
        <w:overflowPunct w:val="0"/>
        <w:jc w:val="both"/>
        <w:rPr>
          <w:bCs/>
        </w:rPr>
      </w:pPr>
    </w:p>
    <w:p w:rsidR="009655CD" w:rsidRPr="004E67F6" w:rsidP="009655CD">
      <w:pPr>
        <w:overflowPunct w:val="0"/>
        <w:jc w:val="both"/>
        <w:rPr>
          <w:bCs/>
        </w:rPr>
      </w:pPr>
    </w:p>
    <w:p w:rsidR="004E67F6" w:rsidRPr="004E67F6" w:rsidP="009655CD">
      <w:pPr>
        <w:numPr>
          <w:ilvl w:val="0"/>
          <w:numId w:val="40"/>
        </w:numPr>
        <w:overflowPunct w:val="0"/>
        <w:ind w:left="851" w:hanging="425"/>
        <w:contextualSpacing/>
        <w:jc w:val="both"/>
      </w:pPr>
      <w:r w:rsidRPr="004E67F6">
        <w:rPr>
          <w:b/>
        </w:rPr>
        <w:t>K čl. III, 16. bodu</w:t>
      </w:r>
      <w:r w:rsidRPr="004E67F6">
        <w:t xml:space="preserve"> </w:t>
      </w:r>
    </w:p>
    <w:p w:rsidR="004E67F6" w:rsidRPr="004E67F6" w:rsidP="009655CD">
      <w:pPr>
        <w:overflowPunct w:val="0"/>
        <w:ind w:left="720"/>
        <w:contextualSpacing/>
        <w:jc w:val="both"/>
      </w:pPr>
      <w:r w:rsidRPr="004E67F6">
        <w:t>V 16. bode, § 23a ods. 4 sa vypúšťa slovo „obsahu“.</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Legislatívno-technická pripomienka vypúšťa nadbytočné slovo. </w:t>
      </w:r>
    </w:p>
    <w:p w:rsidR="004E67F6" w:rsidRPr="004E67F6" w:rsidP="009655CD">
      <w:pPr>
        <w:overflowPunct w:val="0"/>
        <w:ind w:left="720"/>
        <w:contextualSpacing/>
        <w:jc w:val="both"/>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ind w:left="851" w:hanging="425"/>
        <w:contextualSpacing/>
        <w:jc w:val="both"/>
        <w:rPr>
          <w:b/>
        </w:rPr>
      </w:pPr>
      <w:r w:rsidRPr="004E67F6">
        <w:rPr>
          <w:b/>
        </w:rPr>
        <w:t>K čl. III, 19. bodu</w:t>
      </w:r>
    </w:p>
    <w:p w:rsidR="004E67F6" w:rsidRPr="004E67F6" w:rsidP="009655CD">
      <w:pPr>
        <w:ind w:left="720"/>
        <w:contextualSpacing/>
        <w:jc w:val="both"/>
      </w:pPr>
      <w:r w:rsidRPr="004E67F6">
        <w:t xml:space="preserve">V 19. bode, § 23b ods. 3 sa slová „podľa § 17 ods. 2 písm. c) až e)“ nahrádzajú slovami „podľa § 17 ods. 2 písm. c) až f)“. </w:t>
      </w:r>
    </w:p>
    <w:p w:rsidR="004E67F6" w:rsidRPr="004E67F6" w:rsidP="009655CD">
      <w:pPr>
        <w:ind w:left="720"/>
        <w:contextualSpacing/>
        <w:jc w:val="both"/>
      </w:pPr>
    </w:p>
    <w:p w:rsidR="004E67F6" w:rsidRPr="004E67F6" w:rsidP="009655CD">
      <w:pPr>
        <w:tabs>
          <w:tab w:val="left" w:pos="3544"/>
        </w:tabs>
        <w:ind w:left="3540"/>
        <w:contextualSpacing/>
        <w:jc w:val="both"/>
      </w:pPr>
      <w:r w:rsidRPr="004E67F6">
        <w:tab/>
        <w:t>Pripomienka berie do úvahy, pôsobnosť Finančného riaditeľstva, ktoré preveruje, či účtovná závierka a oznámenie o dátume jej schválenia uložené v listinnej podobe obsahujú „vyplnené všeobecné náležitosti“ aj podľa § 17 ods. 2 písm. f)</w:t>
      </w:r>
      <w:r w:rsidRPr="004E67F6">
        <w:rPr>
          <w:b/>
        </w:rPr>
        <w:t xml:space="preserve"> </w:t>
      </w:r>
      <w:r w:rsidRPr="004E67F6">
        <w:t xml:space="preserve">- ďalšie údaje ustanovené opatrením ministerstva. </w:t>
      </w:r>
    </w:p>
    <w:p w:rsidR="004E67F6" w:rsidP="009655CD">
      <w:pPr>
        <w:overflowPunct w:val="0"/>
        <w:jc w:val="both"/>
        <w:rPr>
          <w:b/>
          <w:bCs/>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334FE3" w:rsidP="009655CD">
      <w:pPr>
        <w:overflowPunct w:val="0"/>
        <w:jc w:val="both"/>
        <w:rPr>
          <w:b/>
          <w:bCs/>
        </w:rPr>
      </w:pPr>
    </w:p>
    <w:p w:rsidR="004E67F6" w:rsidRPr="004E67F6" w:rsidP="009655CD">
      <w:pPr>
        <w:numPr>
          <w:ilvl w:val="0"/>
          <w:numId w:val="40"/>
        </w:numPr>
        <w:ind w:left="851" w:hanging="425"/>
        <w:contextualSpacing/>
        <w:jc w:val="both"/>
        <w:rPr>
          <w:b/>
        </w:rPr>
      </w:pPr>
      <w:r w:rsidRPr="004E67F6">
        <w:rPr>
          <w:b/>
        </w:rPr>
        <w:t>K čl. III, 28. bodu</w:t>
      </w:r>
    </w:p>
    <w:p w:rsidR="004E67F6" w:rsidRPr="004E67F6" w:rsidP="009655CD">
      <w:pPr>
        <w:numPr>
          <w:ilvl w:val="0"/>
          <w:numId w:val="36"/>
        </w:numPr>
        <w:contextualSpacing/>
        <w:jc w:val="both"/>
      </w:pPr>
      <w:r w:rsidRPr="004E67F6">
        <w:t xml:space="preserve">Bod znie:     </w:t>
      </w:r>
    </w:p>
    <w:p w:rsidR="004E67F6" w:rsidRPr="004E67F6" w:rsidP="009655CD">
      <w:pPr>
        <w:ind w:left="720"/>
        <w:contextualSpacing/>
        <w:jc w:val="both"/>
      </w:pPr>
      <w:r w:rsidRPr="004E67F6">
        <w:t>„28. Príloha sa dopĺňa bodom 11, ktorý znie:</w:t>
      </w:r>
    </w:p>
    <w:p w:rsidR="004E67F6" w:rsidRPr="004E67F6" w:rsidP="009655CD">
      <w:pPr>
        <w:ind w:left="720"/>
        <w:contextualSpacing/>
        <w:jc w:val="both"/>
      </w:pPr>
      <w:r w:rsidRPr="004E67F6">
        <w:t>„11.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p w:rsidR="004E67F6" w:rsidRPr="004E67F6" w:rsidP="009655CD">
      <w:pPr>
        <w:ind w:left="720"/>
        <w:contextualSpacing/>
        <w:jc w:val="both"/>
      </w:pPr>
      <w:r w:rsidRPr="004E67F6">
        <w:t xml:space="preserve">Zároveň sa v čl. III vypúšťa bod 29. </w:t>
      </w:r>
    </w:p>
    <w:p w:rsidR="004E67F6" w:rsidRPr="004E67F6" w:rsidP="009655CD">
      <w:pPr>
        <w:ind w:left="720"/>
        <w:contextualSpacing/>
        <w:jc w:val="both"/>
      </w:pPr>
    </w:p>
    <w:p w:rsidR="004E67F6" w:rsidP="009655CD">
      <w:pPr>
        <w:ind w:left="3544"/>
        <w:contextualSpacing/>
        <w:jc w:val="both"/>
      </w:pPr>
      <w:r w:rsidRPr="004E67F6">
        <w:t>Legislatívno-technická oprava ustanovenia rozporného so zaužívanou legislatívnou praxou.  Podľa zaužívanej legislatívnej praxe sa v tzv. transpozičnej prílohe nevykonávajú úpravy súvisiace so zrušením smerníc v nej uvedených, ale zrušené smernice ostávajú súčasťou transpozičnej prílohy, pričom ďalšie preberané smernice alebo aj novelizácia smerníc už uvedených v transpozičnej prílohe sa uvádzajú v samostatných bodoch v chronologickom poradí na konci transpozičnej prílohy.</w:t>
      </w:r>
    </w:p>
    <w:p w:rsidR="00334FE3" w:rsidP="009655CD">
      <w:pPr>
        <w:ind w:left="3544"/>
        <w:contextualSpacing/>
        <w:jc w:val="both"/>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334FE3" w:rsidP="009655CD">
      <w:pPr>
        <w:ind w:left="3544"/>
        <w:contextualSpacing/>
        <w:jc w:val="both"/>
      </w:pPr>
    </w:p>
    <w:p w:rsidR="009655CD" w:rsidP="009655CD">
      <w:pPr>
        <w:ind w:left="3544"/>
        <w:contextualSpacing/>
        <w:jc w:val="both"/>
      </w:pPr>
    </w:p>
    <w:p w:rsidR="009655CD" w:rsidP="009655CD">
      <w:pPr>
        <w:ind w:left="3544"/>
        <w:contextualSpacing/>
        <w:jc w:val="both"/>
      </w:pPr>
    </w:p>
    <w:p w:rsidR="009655CD" w:rsidP="009655CD">
      <w:pPr>
        <w:ind w:left="3544"/>
        <w:contextualSpacing/>
        <w:jc w:val="both"/>
      </w:pPr>
    </w:p>
    <w:p w:rsidR="009655CD" w:rsidRPr="004E67F6" w:rsidP="009655CD">
      <w:pPr>
        <w:ind w:left="3544"/>
        <w:contextualSpacing/>
        <w:jc w:val="both"/>
      </w:pPr>
    </w:p>
    <w:p w:rsidR="004E67F6" w:rsidRPr="004E67F6" w:rsidP="009655CD">
      <w:pPr>
        <w:numPr>
          <w:ilvl w:val="0"/>
          <w:numId w:val="40"/>
        </w:numPr>
        <w:overflowPunct w:val="0"/>
        <w:ind w:left="709"/>
        <w:contextualSpacing/>
        <w:jc w:val="both"/>
        <w:rPr>
          <w:b/>
        </w:rPr>
      </w:pPr>
      <w:r w:rsidRPr="004E67F6">
        <w:rPr>
          <w:b/>
        </w:rPr>
        <w:t xml:space="preserve">K čl. IV, 2. bodu </w:t>
      </w:r>
    </w:p>
    <w:p w:rsidR="004E67F6" w:rsidRPr="004E67F6" w:rsidP="009655CD">
      <w:pPr>
        <w:overflowPunct w:val="0"/>
        <w:ind w:left="720"/>
        <w:contextualSpacing/>
        <w:jc w:val="both"/>
      </w:pPr>
      <w:r w:rsidRPr="004E67F6">
        <w:t>V 2. bode úvodná veta znie: „Za § 7c sa vkladá § 7d, ktorý znie:“ a označenie „§ 7e“ sa nahrádza označením „§ 7d“.</w:t>
      </w:r>
    </w:p>
    <w:p w:rsidR="004E67F6" w:rsidRPr="004E67F6" w:rsidP="009655CD">
      <w:pPr>
        <w:overflowPunct w:val="0"/>
        <w:ind w:left="720"/>
        <w:contextualSpacing/>
        <w:jc w:val="both"/>
      </w:pPr>
    </w:p>
    <w:p w:rsidR="004E67F6" w:rsidRPr="004E67F6" w:rsidP="009655CD">
      <w:pPr>
        <w:overflowPunct w:val="0"/>
        <w:ind w:left="3544"/>
        <w:contextualSpacing/>
        <w:jc w:val="both"/>
      </w:pPr>
      <w:r w:rsidRPr="004E67F6">
        <w:t xml:space="preserve">Legislatívno-technická pripomienka reaguje na platné znenie zákona č. 564/2004 Z. z. o rozpočtovom určení výnosu dane z príjmov územnej samospráve a o zmene a doplnení niektorých zákonov v znení neskorších predpisov.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RPr="00503265" w:rsidP="009655CD">
      <w:pPr>
        <w:ind w:left="2832" w:firstLine="708"/>
        <w:jc w:val="both"/>
      </w:pPr>
      <w:r w:rsidRPr="00503265">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left="709"/>
        <w:contextualSpacing/>
        <w:jc w:val="both"/>
        <w:rPr>
          <w:b/>
        </w:rPr>
      </w:pPr>
      <w:r w:rsidRPr="004E67F6">
        <w:rPr>
          <w:b/>
        </w:rPr>
        <w:t>K čl. VII, 13. bodu</w:t>
      </w:r>
    </w:p>
    <w:p w:rsidR="004E67F6" w:rsidRPr="004E67F6" w:rsidP="009655CD">
      <w:pPr>
        <w:overflowPunct w:val="0"/>
        <w:ind w:left="720"/>
        <w:contextualSpacing/>
        <w:jc w:val="both"/>
      </w:pPr>
      <w:r w:rsidRPr="004E67F6">
        <w:t>V 13. bode sa slová „§ 16b ods. 8 a 10“ nahrádzajú slovami „§ 16b ods. 7 až 9“.</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Legislatívno-technická pripomienka opravuje znenie odsekov, ktoré majú byť predmetom novelizácie. </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RPr="00327C8B" w:rsidP="009655CD">
      <w:pPr>
        <w:ind w:left="2832" w:firstLine="708"/>
        <w:jc w:val="both"/>
        <w:rPr>
          <w:b/>
        </w:rPr>
      </w:pPr>
      <w:r w:rsidRPr="00327C8B">
        <w:rPr>
          <w:b/>
        </w:rPr>
        <w:t xml:space="preserve">Ústavnoprávny výbor NR SR </w:t>
      </w:r>
    </w:p>
    <w:p w:rsidR="00334FE3" w:rsidRPr="0090567A" w:rsidP="009655CD">
      <w:pPr>
        <w:ind w:left="2832" w:firstLine="708"/>
        <w:jc w:val="both"/>
        <w:rPr>
          <w:b/>
        </w:rPr>
      </w:pPr>
      <w:r w:rsidRPr="0090567A">
        <w:rPr>
          <w:b/>
        </w:rPr>
        <w:t xml:space="preserve">Výbor NR SR pre </w:t>
      </w:r>
      <w:r>
        <w:rPr>
          <w:b/>
        </w:rPr>
        <w:t>hospodárske záležitosti</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ind w:left="709"/>
        <w:contextualSpacing/>
        <w:jc w:val="both"/>
        <w:rPr>
          <w:b/>
        </w:rPr>
      </w:pPr>
      <w:r w:rsidRPr="004E67F6">
        <w:rPr>
          <w:b/>
        </w:rPr>
        <w:t>K čl. VII, 22. bodu</w:t>
      </w:r>
    </w:p>
    <w:p w:rsidR="004E67F6" w:rsidRPr="004E67F6" w:rsidP="009655CD">
      <w:pPr>
        <w:ind w:left="357"/>
        <w:contextualSpacing/>
        <w:jc w:val="both"/>
      </w:pPr>
      <w:r w:rsidRPr="004E67F6">
        <w:t>V doterajšom bode 22, § 4a ods. 2  sa číslo „300“ nahrádza číslom „1 000“.</w:t>
        <w:tab/>
        <w:tab/>
        <w:tab/>
      </w:r>
    </w:p>
    <w:p w:rsidR="004E67F6" w:rsidRPr="004E67F6" w:rsidP="009655CD">
      <w:pPr>
        <w:tabs>
          <w:tab w:val="left" w:pos="426"/>
        </w:tabs>
        <w:ind w:left="3540"/>
        <w:jc w:val="both"/>
      </w:pPr>
    </w:p>
    <w:p w:rsidR="004E67F6" w:rsidRPr="004E67F6" w:rsidP="009655CD">
      <w:pPr>
        <w:tabs>
          <w:tab w:val="left" w:pos="426"/>
        </w:tabs>
        <w:ind w:left="3540"/>
        <w:jc w:val="both"/>
      </w:pPr>
      <w:r w:rsidRPr="004E67F6">
        <w:t>Používanie virtuálnej registračnej pokladnice bolo v doterajšom návrhu obmedzené počtom vyhotovených pokladničných dokladov – 300 za mesiac. Tento počet je značne nízky, čo môže podnikateľom spôsobovať problémy pri kontrole počtu ustanovených vyhotovených pokladničných dokladov. V záujme toho, aby virtuálnu registračnú pokladnicu mohol využívať väčší počet podnikateľov,  navrhuje sa, aby pôvodné navrhnuté obmedzenie z 300 pokladničných dokladov bolo zvýšené na 1 000 pokladničných dokladov za mesiac.</w:t>
      </w:r>
    </w:p>
    <w:p w:rsidR="00334FE3" w:rsidP="009655CD">
      <w:pPr>
        <w:ind w:left="2832" w:firstLine="708"/>
        <w:jc w:val="both"/>
        <w:rPr>
          <w:b/>
        </w:rPr>
      </w:pPr>
    </w:p>
    <w:p w:rsidR="00334FE3" w:rsidP="009655CD">
      <w:pPr>
        <w:ind w:left="2832" w:firstLine="708"/>
        <w:jc w:val="both"/>
        <w:rPr>
          <w:b/>
        </w:rPr>
      </w:pPr>
      <w:r w:rsidRPr="0085353E">
        <w:rPr>
          <w:b/>
        </w:rPr>
        <w:t>Výbor NR SR pre financie a</w:t>
      </w:r>
      <w:r>
        <w:rPr>
          <w:b/>
        </w:rPr>
        <w:t> </w:t>
      </w:r>
      <w:r w:rsidRPr="0085353E">
        <w:rPr>
          <w:b/>
        </w:rPr>
        <w:t>rozpočet</w:t>
      </w:r>
    </w:p>
    <w:p w:rsidR="00334FE3"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overflowPunct w:val="0"/>
        <w:ind w:hanging="1156"/>
        <w:contextualSpacing/>
        <w:jc w:val="both"/>
        <w:rPr>
          <w:b/>
        </w:rPr>
      </w:pPr>
      <w:r w:rsidRPr="004E67F6">
        <w:rPr>
          <w:b/>
        </w:rPr>
        <w:t>K čl. VII, 22. bodu</w:t>
      </w:r>
    </w:p>
    <w:p w:rsidR="004E67F6" w:rsidRPr="004E67F6" w:rsidP="009655CD">
      <w:pPr>
        <w:overflowPunct w:val="0"/>
        <w:ind w:left="720"/>
        <w:contextualSpacing/>
        <w:jc w:val="both"/>
      </w:pPr>
      <w:r w:rsidRPr="004E67F6">
        <w:t>V 22. bode, § 4b ods. 1 prvej vete sa slová „je certifikovaná“ nahrádzajú slovami „má byť certifikovaná“.</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Gramatická pripomienka zohľadňujúca stav, kedy ešte k certifikácii fiskálnej tlačiarne má len dôjsť.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P="009655CD">
      <w:pPr>
        <w:overflowPunct w:val="0"/>
        <w:ind w:left="720"/>
        <w:contextualSpacing/>
        <w:jc w:val="both"/>
      </w:pPr>
    </w:p>
    <w:p w:rsidR="009655CD"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K čl. VII, 22. bodu</w:t>
      </w:r>
    </w:p>
    <w:p w:rsidR="004E67F6" w:rsidRPr="004E67F6" w:rsidP="009655CD">
      <w:pPr>
        <w:overflowPunct w:val="0"/>
        <w:ind w:left="720"/>
        <w:contextualSpacing/>
        <w:jc w:val="both"/>
      </w:pPr>
      <w:r w:rsidRPr="004E67F6">
        <w:t>V 22. bode, § 4b ods. 1 druhej vete sa slová „a desať rokov nasledujúcich po skončení výroby“ nahrádzajú slovami „a desať rokov bezprostredne nasledujúcich po roku, v ktorom sa skončila výroba“.</w:t>
      </w:r>
    </w:p>
    <w:p w:rsidR="004E67F6" w:rsidRPr="004E67F6" w:rsidP="009655CD">
      <w:pPr>
        <w:overflowPunct w:val="0"/>
        <w:ind w:left="720"/>
        <w:contextualSpacing/>
        <w:jc w:val="both"/>
      </w:pPr>
    </w:p>
    <w:p w:rsidR="004E67F6" w:rsidRPr="004E67F6" w:rsidP="009655CD">
      <w:pPr>
        <w:tabs>
          <w:tab w:val="left" w:pos="3544"/>
          <w:tab w:val="left" w:pos="6521"/>
        </w:tabs>
        <w:overflowPunct w:val="0"/>
        <w:ind w:left="3540" w:right="140"/>
        <w:contextualSpacing/>
        <w:jc w:val="both"/>
      </w:pPr>
      <w:r w:rsidRPr="004E67F6">
        <w:tab/>
        <w:t xml:space="preserve">Legislatívno-technická pripomienka konkretizujúca navrhované ustanovenie.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K čl. VII, 22. bodu</w:t>
      </w:r>
    </w:p>
    <w:p w:rsidR="004E67F6" w:rsidRPr="004E67F6" w:rsidP="009655CD">
      <w:pPr>
        <w:overflowPunct w:val="0"/>
        <w:ind w:left="720"/>
        <w:contextualSpacing/>
        <w:jc w:val="both"/>
      </w:pPr>
      <w:r w:rsidRPr="004E67F6">
        <w:t>V 22. bode, § 4b ods. 2 sa slová „požiadaviek podľa § 4 ods. 1 písm. b) tretieho bodu,“ nahrádzajú slovami „požiadaviek ustanovených osobitným predpisom,</w:t>
      </w:r>
      <w:r w:rsidRPr="004E67F6">
        <w:rPr>
          <w:vertAlign w:val="superscript"/>
        </w:rPr>
        <w:t>11</w:t>
      </w:r>
      <w:r w:rsidRPr="004E67F6">
        <w:t>)“.</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Pripomienka harmonizuje uvedené ustanovenie s  § 4 ods. 1 písm. b) tretí bod  – čl. VII, 17. bod návrhu zákona.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overflowPunct w:val="0"/>
        <w:ind w:hanging="1156"/>
        <w:contextualSpacing/>
        <w:jc w:val="both"/>
        <w:rPr>
          <w:b/>
        </w:rPr>
      </w:pPr>
      <w:r w:rsidRPr="004E67F6">
        <w:rPr>
          <w:b/>
        </w:rPr>
        <w:t>K čl. VII, 22. bodu</w:t>
      </w:r>
    </w:p>
    <w:p w:rsidR="004E67F6" w:rsidRPr="004E67F6" w:rsidP="009655CD">
      <w:pPr>
        <w:overflowPunct w:val="0"/>
        <w:ind w:left="720"/>
        <w:contextualSpacing/>
        <w:jc w:val="both"/>
      </w:pPr>
      <w:r w:rsidRPr="004E67F6">
        <w:t>V 22. bode, § 4b ods. 4  a 6 sa slovo „predajca“ nahrádza slovom „distribútor“.</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Pripomienka zosúlaďuje uvedené ustanovenie so znením § 4b ods. 1 – čl. VII, 22. bod návrhu zákona.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P="009655CD">
      <w:pPr>
        <w:overflowPunct w:val="0"/>
        <w:jc w:val="both"/>
        <w:rPr>
          <w:bCs/>
        </w:rPr>
      </w:pPr>
    </w:p>
    <w:p w:rsidR="004E67F6" w:rsidRPr="004E67F6" w:rsidP="009655CD">
      <w:pPr>
        <w:numPr>
          <w:ilvl w:val="0"/>
          <w:numId w:val="40"/>
        </w:numPr>
        <w:overflowPunct w:val="0"/>
        <w:ind w:hanging="1156"/>
        <w:contextualSpacing/>
        <w:jc w:val="both"/>
        <w:rPr>
          <w:b/>
        </w:rPr>
      </w:pPr>
      <w:r w:rsidRPr="004E67F6">
        <w:rPr>
          <w:b/>
        </w:rPr>
        <w:t>K čl. VII, 27. bodu</w:t>
      </w:r>
    </w:p>
    <w:p w:rsidR="004E67F6" w:rsidRPr="004E67F6" w:rsidP="009655CD">
      <w:pPr>
        <w:overflowPunct w:val="0"/>
        <w:ind w:left="720"/>
        <w:contextualSpacing/>
        <w:jc w:val="both"/>
      </w:pPr>
      <w:r w:rsidRPr="004E67F6">
        <w:t xml:space="preserve">V 27. bode, § 7a ods. 3 sa za slovo „oznámiť“ vkladajú slová „daňovému úradu“. </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Legislatívno-technická pripomienka konkretizujúca navrhované ustanovenie v zmysle doplnenia príslušného orgánu.</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ind w:hanging="1156"/>
        <w:contextualSpacing/>
        <w:jc w:val="both"/>
        <w:rPr>
          <w:b/>
        </w:rPr>
      </w:pPr>
      <w:r w:rsidRPr="004E67F6">
        <w:rPr>
          <w:b/>
        </w:rPr>
        <w:t>K čl. VII, 27. bodu</w:t>
      </w:r>
    </w:p>
    <w:p w:rsidR="004E67F6" w:rsidRPr="004E67F6" w:rsidP="009655CD">
      <w:pPr>
        <w:ind w:left="357" w:firstLine="351"/>
        <w:contextualSpacing/>
        <w:jc w:val="both"/>
        <w:rPr>
          <w:b/>
        </w:rPr>
      </w:pPr>
      <w:r w:rsidRPr="004E67F6">
        <w:t xml:space="preserve">V doterajšom bode 27, § 7a sa vypúšťa odsek 4. </w:t>
      </w:r>
    </w:p>
    <w:p w:rsidR="004E67F6" w:rsidRPr="004E67F6" w:rsidP="009655CD">
      <w:pPr>
        <w:tabs>
          <w:tab w:val="left" w:pos="426"/>
        </w:tabs>
        <w:ind w:left="3540"/>
        <w:jc w:val="both"/>
      </w:pPr>
    </w:p>
    <w:p w:rsidR="004E67F6" w:rsidRPr="004E67F6" w:rsidP="009655CD">
      <w:pPr>
        <w:tabs>
          <w:tab w:val="left" w:pos="426"/>
        </w:tabs>
        <w:ind w:left="3540"/>
        <w:jc w:val="both"/>
      </w:pPr>
      <w:r w:rsidRPr="004E67F6">
        <w:t xml:space="preserve">Navrhuje sa, aby sa prijaté tržby mohli podnikateľmi evidovať nielen v elektronickej registračnej pokladnici, ale aj vo virtuálnej registračnej pokladnici. Virtuálnu registračnú pokladnicu môžu používať všetci podnikatelia, tak pri predaji tovaru, ako aj pri poskytovaní služieb uvedených v prílohe č. 1. Podnikateľ si môže vybrať, či pri predaji tovaru alebo poskytovaní služby uvedenej v prílohe č. 1 bude používať elektronickú registračnú pokladnicu alebo virtuálnu registračnú pokladnicu. Používanie virtuálnej registračnej pokladnice bude obmedzené počtom vyhotovených pokladničných dokladov, a to – 1 000 za mesiac.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K čl. VII, 32. bodu</w:t>
      </w:r>
    </w:p>
    <w:p w:rsidR="004E67F6" w:rsidRPr="004E67F6" w:rsidP="009655CD">
      <w:pPr>
        <w:overflowPunct w:val="0"/>
        <w:ind w:left="720"/>
        <w:contextualSpacing/>
        <w:jc w:val="both"/>
      </w:pPr>
      <w:r w:rsidRPr="004E67F6">
        <w:t>V 32. bode (§ 8 ods. 5) sa slová „Primerane sa postupuje“ nahrádzajú slovami „Podnikateľ je povinný primerane postupovať“.</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Legislatívno-technická pripomienka konkretizujúca navrhované ustanovenie v zmysle vymedzenia povinnej osoby.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overflowPunct w:val="0"/>
        <w:ind w:hanging="1156"/>
        <w:contextualSpacing/>
        <w:jc w:val="both"/>
        <w:rPr>
          <w:b/>
        </w:rPr>
      </w:pPr>
      <w:r w:rsidRPr="004E67F6">
        <w:rPr>
          <w:b/>
        </w:rPr>
        <w:t>K čl. VII, 48. bodu</w:t>
      </w:r>
    </w:p>
    <w:p w:rsidR="004E67F6" w:rsidRPr="004E67F6" w:rsidP="009655CD">
      <w:pPr>
        <w:overflowPunct w:val="0"/>
        <w:ind w:left="720"/>
        <w:contextualSpacing/>
        <w:jc w:val="both"/>
      </w:pPr>
      <w:r w:rsidRPr="004E67F6">
        <w:t>V 48. bode sa slová „Nadpis § 16b“ nahrádzajú slovami „Nadpis nad § 16b“.</w:t>
      </w:r>
    </w:p>
    <w:p w:rsidR="004E67F6" w:rsidRPr="004E67F6" w:rsidP="009655CD">
      <w:pPr>
        <w:overflowPunct w:val="0"/>
        <w:ind w:left="720"/>
        <w:contextualSpacing/>
        <w:jc w:val="both"/>
      </w:pPr>
    </w:p>
    <w:p w:rsidR="004E67F6" w:rsidRPr="004E67F6" w:rsidP="009655CD">
      <w:pPr>
        <w:overflowPunct w:val="0"/>
        <w:ind w:left="2844" w:firstLine="696"/>
        <w:contextualSpacing/>
        <w:jc w:val="both"/>
      </w:pPr>
      <w:r w:rsidRPr="004E67F6">
        <w:t xml:space="preserve">Legislatívno-technická pripomienka.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K čl. VII, 50. bodu</w:t>
      </w:r>
    </w:p>
    <w:p w:rsidR="004E67F6" w:rsidRPr="004E67F6" w:rsidP="009655CD">
      <w:pPr>
        <w:overflowPunct w:val="0"/>
        <w:ind w:left="720"/>
        <w:contextualSpacing/>
        <w:jc w:val="both"/>
      </w:pPr>
      <w:r w:rsidRPr="004E67F6">
        <w:t>V 50. bode, § 16b ods. 7 druhej vete sa za slová „povinnosť používať elektronickú registračnú pokladnicu“ vkladajú slová „na predajnom mieste“.</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Pripomienka zosúlaďuje text so znením druhej vety citovaného ustanovenia.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RPr="004E67F6" w:rsidP="009655CD">
      <w:pPr>
        <w:overflowPunct w:val="0"/>
        <w:jc w:val="both"/>
        <w:rPr>
          <w:bCs/>
        </w:rPr>
      </w:pPr>
    </w:p>
    <w:p w:rsidR="004E67F6" w:rsidRPr="004E67F6" w:rsidP="009655CD">
      <w:pPr>
        <w:numPr>
          <w:ilvl w:val="0"/>
          <w:numId w:val="40"/>
        </w:numPr>
        <w:overflowPunct w:val="0"/>
        <w:ind w:hanging="1156"/>
        <w:contextualSpacing/>
        <w:jc w:val="both"/>
        <w:rPr>
          <w:b/>
        </w:rPr>
      </w:pPr>
      <w:r w:rsidRPr="004E67F6">
        <w:rPr>
          <w:b/>
        </w:rPr>
        <w:t>K čl. VII, 50. bodu</w:t>
      </w:r>
    </w:p>
    <w:p w:rsidR="004E67F6" w:rsidRPr="004E67F6" w:rsidP="009655CD">
      <w:pPr>
        <w:overflowPunct w:val="0"/>
        <w:ind w:left="720"/>
        <w:contextualSpacing/>
        <w:jc w:val="both"/>
      </w:pPr>
      <w:r w:rsidRPr="004E67F6">
        <w:t>V 50. bode, § 16b ods. 7 druhej vete sa slovo „občanov“ nahrádza slovom „osôb“.</w:t>
      </w:r>
    </w:p>
    <w:p w:rsidR="004E67F6" w:rsidRPr="004E67F6" w:rsidP="009655CD">
      <w:pPr>
        <w:overflowPunct w:val="0"/>
        <w:ind w:left="720"/>
        <w:contextualSpacing/>
        <w:jc w:val="both"/>
      </w:pPr>
    </w:p>
    <w:p w:rsidR="004E67F6" w:rsidRPr="004E67F6" w:rsidP="009655CD">
      <w:pPr>
        <w:overflowPunct w:val="0"/>
        <w:ind w:left="3540"/>
        <w:jc w:val="both"/>
        <w:rPr>
          <w:bCs/>
        </w:rPr>
      </w:pPr>
      <w:r w:rsidRPr="004E67F6">
        <w:rPr>
          <w:bCs/>
        </w:rPr>
        <w:t xml:space="preserve">Pripomienka odstraňuje diskriminačný charakter daného ustanovenia v zmysle, že ochrana života a zdravia sa musí vzťahovať na všetkých ľudí.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K čl. VII, 52. bodu</w:t>
      </w:r>
    </w:p>
    <w:p w:rsidR="004E67F6" w:rsidRPr="004E67F6" w:rsidP="009655CD">
      <w:pPr>
        <w:overflowPunct w:val="0"/>
        <w:ind w:left="720"/>
        <w:contextualSpacing/>
        <w:jc w:val="both"/>
      </w:pPr>
      <w:r w:rsidRPr="004E67F6">
        <w:t xml:space="preserve">Bod 52. sa vypúšťa. Doterajšie body 53 až 58 sa primerane prečíslujú. </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Pripomienka vypúšťa novelizačný bod, nakoľko zmena v ňom navrhovaná je obsahom úpravy 13. bodu v čl. VII.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RPr="004E67F6" w:rsidP="009655CD">
      <w:pPr>
        <w:overflowPunct w:val="0"/>
        <w:ind w:left="720"/>
        <w:contextualSpacing/>
        <w:jc w:val="both"/>
      </w:pPr>
    </w:p>
    <w:p w:rsidR="004E67F6" w:rsidRPr="004E67F6" w:rsidP="009655CD">
      <w:pPr>
        <w:numPr>
          <w:ilvl w:val="0"/>
          <w:numId w:val="40"/>
        </w:numPr>
        <w:overflowPunct w:val="0"/>
        <w:ind w:hanging="1156"/>
        <w:contextualSpacing/>
        <w:jc w:val="both"/>
        <w:rPr>
          <w:b/>
        </w:rPr>
      </w:pPr>
      <w:r w:rsidRPr="004E67F6">
        <w:rPr>
          <w:b/>
        </w:rPr>
        <w:t>K čl. VII, 54. bodu</w:t>
      </w:r>
    </w:p>
    <w:p w:rsidR="004E67F6" w:rsidRPr="004E67F6" w:rsidP="009655CD">
      <w:pPr>
        <w:overflowPunct w:val="0"/>
        <w:ind w:left="720"/>
        <w:contextualSpacing/>
        <w:jc w:val="both"/>
      </w:pPr>
      <w:r w:rsidRPr="004E67F6">
        <w:t>V 54. bode, § 17a ods. 5 sa slová „vykonania expertízy“ nahrádzajú slovami „vykonania technickej expertízy“.</w:t>
      </w:r>
    </w:p>
    <w:p w:rsidR="004E67F6" w:rsidRPr="004E67F6" w:rsidP="009655CD">
      <w:pPr>
        <w:overflowPunct w:val="0"/>
        <w:ind w:left="720"/>
        <w:contextualSpacing/>
        <w:jc w:val="both"/>
      </w:pPr>
    </w:p>
    <w:p w:rsidR="004E67F6" w:rsidRPr="004E67F6" w:rsidP="009655CD">
      <w:pPr>
        <w:overflowPunct w:val="0"/>
        <w:ind w:left="3540"/>
        <w:contextualSpacing/>
        <w:jc w:val="both"/>
      </w:pPr>
      <w:r w:rsidRPr="004E67F6">
        <w:t xml:space="preserve">Pripomienka harmonizuje uvedené ustanovenie s § 17a ods. 2 – čl. VII, 54. bod návrhu zákona.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RPr="00327C8B" w:rsidP="009655CD">
      <w:pPr>
        <w:ind w:left="2832" w:firstLine="708"/>
        <w:jc w:val="both"/>
        <w:rPr>
          <w:b/>
        </w:rPr>
      </w:pPr>
      <w:r w:rsidRPr="00327C8B">
        <w:rPr>
          <w:b/>
        </w:rPr>
        <w:t xml:space="preserve">Ústavnoprávny výbor NR SR </w:t>
      </w:r>
    </w:p>
    <w:p w:rsidR="005E1E01" w:rsidRPr="0090567A" w:rsidP="009655CD">
      <w:pPr>
        <w:ind w:left="2832" w:firstLine="708"/>
        <w:jc w:val="both"/>
        <w:rPr>
          <w:b/>
        </w:rPr>
      </w:pPr>
      <w:r w:rsidRPr="0090567A">
        <w:rPr>
          <w:b/>
        </w:rPr>
        <w:t xml:space="preserve">Výbor NR SR pre </w:t>
      </w:r>
      <w:r>
        <w:rPr>
          <w:b/>
        </w:rPr>
        <w:t>hospodárske záležitosti</w:t>
      </w:r>
    </w:p>
    <w:p w:rsidR="005E1E01" w:rsidP="009655CD">
      <w:pPr>
        <w:ind w:left="2832" w:firstLine="708"/>
        <w:jc w:val="both"/>
      </w:pPr>
      <w:r>
        <w:rPr>
          <w:b/>
        </w:rPr>
        <w:t>Gestorský výbor odporúča schváliť.</w:t>
      </w:r>
    </w:p>
    <w:p w:rsidR="004E67F6" w:rsidP="009655CD">
      <w:pPr>
        <w:jc w:val="both"/>
        <w:rPr>
          <w:bCs/>
        </w:rPr>
      </w:pPr>
    </w:p>
    <w:p w:rsidR="00371511" w:rsidRPr="00371511" w:rsidP="009655CD">
      <w:pPr>
        <w:pStyle w:val="ListParagraph"/>
        <w:numPr>
          <w:ilvl w:val="0"/>
          <w:numId w:val="40"/>
        </w:numPr>
        <w:overflowPunct w:val="0"/>
        <w:spacing w:after="0" w:line="240" w:lineRule="auto"/>
        <w:ind w:hanging="1156"/>
        <w:jc w:val="both"/>
        <w:rPr>
          <w:rFonts w:ascii="Times New Roman" w:hAnsi="Times New Roman"/>
          <w:b/>
          <w:sz w:val="24"/>
          <w:szCs w:val="24"/>
        </w:rPr>
      </w:pPr>
      <w:r w:rsidRPr="00371511">
        <w:rPr>
          <w:rFonts w:ascii="Times New Roman" w:hAnsi="Times New Roman"/>
          <w:b/>
          <w:sz w:val="24"/>
          <w:szCs w:val="24"/>
        </w:rPr>
        <w:t>K čl. VII, 55. bodu</w:t>
      </w:r>
    </w:p>
    <w:p w:rsidR="00371511" w:rsidRPr="00371511" w:rsidP="009655CD">
      <w:pPr>
        <w:ind w:left="720"/>
        <w:jc w:val="both"/>
        <w:rPr>
          <w:bCs/>
        </w:rPr>
      </w:pPr>
      <w:r w:rsidRPr="00371511">
        <w:t>V bode 55</w:t>
      </w:r>
      <w:r>
        <w:t>,</w:t>
      </w:r>
      <w:r w:rsidRPr="00371511">
        <w:t xml:space="preserve"> </w:t>
      </w:r>
      <w:r>
        <w:t>§</w:t>
      </w:r>
      <w:r w:rsidRPr="00371511">
        <w:t xml:space="preserve"> 18cb odsek 1 </w:t>
      </w:r>
      <w:r>
        <w:t xml:space="preserve">sa </w:t>
      </w:r>
      <w:r w:rsidRPr="00371511">
        <w:t>vypúšťajú slová „</w:t>
      </w:r>
      <w:r w:rsidRPr="00371511">
        <w:rPr>
          <w:bCs/>
        </w:rPr>
        <w:t>69.10 Právne činnosti,“.</w:t>
      </w:r>
    </w:p>
    <w:p w:rsidR="00371511" w:rsidP="009655CD">
      <w:pPr>
        <w:pStyle w:val="NormalWeb"/>
        <w:spacing w:before="0" w:beforeAutospacing="0" w:after="0" w:afterAutospacing="0"/>
        <w:ind w:left="4395"/>
        <w:jc w:val="both"/>
        <w:rPr>
          <w:color w:val="000000"/>
        </w:rPr>
      </w:pPr>
    </w:p>
    <w:p w:rsidR="00371511" w:rsidRPr="00371511" w:rsidP="009655CD">
      <w:pPr>
        <w:pStyle w:val="NormalWeb"/>
        <w:spacing w:before="0" w:beforeAutospacing="0" w:after="0" w:afterAutospacing="0"/>
        <w:ind w:left="3540"/>
        <w:jc w:val="both"/>
        <w:rPr>
          <w:color w:val="000000"/>
        </w:rPr>
      </w:pPr>
      <w:r w:rsidRPr="00371511">
        <w:rPr>
          <w:color w:val="000000"/>
        </w:rPr>
        <w:t>Návrh ministerstva financií vychádza z prieskumu, z ktorého vyplýva, že veľká časť subjektov nepriznáva štátu všetky príjmy. A dotýka sa všetkých právnych činností vrátane exekútorov, notárov a advokátov.  Prijatie tejto úpravy, okrem toho, že nemôže zabezpečiť vyššiu úroveň priznávania príjmov notárov, advokátov a súdnych exekútorov z vyššie uvedených dôvodov, bude mať dopad iba na nákladovú položku hospodárenia právnych činností, budú si musieť zabezpečiť elektronickú pokladnicu, ktorá nákladová položka sa bude musieť prejaviť v ich hospodárení.</w:t>
      </w:r>
    </w:p>
    <w:p w:rsidR="00371511" w:rsidRPr="00371511" w:rsidP="009655CD">
      <w:pPr>
        <w:pStyle w:val="NormalWeb"/>
        <w:spacing w:before="0" w:beforeAutospacing="0" w:after="0" w:afterAutospacing="0"/>
        <w:ind w:left="3540"/>
        <w:jc w:val="both"/>
        <w:rPr>
          <w:rStyle w:val="Strong"/>
          <w:b w:val="0"/>
          <w:color w:val="000000"/>
        </w:rPr>
      </w:pPr>
      <w:r w:rsidRPr="00371511">
        <w:rPr>
          <w:rStyle w:val="Strong"/>
          <w:b w:val="0"/>
          <w:color w:val="000000"/>
        </w:rPr>
        <w:t xml:space="preserve">Pri činnosti súdnych exekútorov </w:t>
      </w:r>
      <w:r w:rsidRPr="00371511">
        <w:rPr>
          <w:color w:val="000000"/>
        </w:rPr>
        <w:t xml:space="preserve"> nie je dôvod zavádzať registračné pokladne, lebo finančné prostriedky, ktoré dlžník alebo veriteľ zaplatia exekútorovi ako štátom splnomocnenej osobe nie sú príjmom exekútora. Exekútor pri výkone exekúcie plní iba úlohu platobného miesta, kde prichádza do styku  s finančnými prostriedkami povinných osôb, ktorými uhrádzajú svoje záväzky voči oprávneným. Preto neexistuje žiadny logický dôvod na to, aby súdny  exekútor používal registračnú pokladnicu.</w:t>
      </w:r>
      <w:r w:rsidRPr="00371511">
        <w:rPr>
          <w:rStyle w:val="Strong"/>
          <w:color w:val="000000"/>
        </w:rPr>
        <w:t>     </w:t>
      </w:r>
    </w:p>
    <w:p w:rsidR="00371511" w:rsidRPr="00371511" w:rsidP="009655CD">
      <w:pPr>
        <w:pStyle w:val="NormalWeb"/>
        <w:spacing w:before="0" w:beforeAutospacing="0" w:after="0" w:afterAutospacing="0"/>
        <w:ind w:left="3544"/>
        <w:jc w:val="both"/>
        <w:rPr>
          <w:rStyle w:val="Strong"/>
          <w:color w:val="000000"/>
        </w:rPr>
      </w:pPr>
      <w:r w:rsidRPr="00371511">
        <w:rPr>
          <w:rStyle w:val="Strong"/>
          <w:b w:val="0"/>
          <w:color w:val="000000"/>
        </w:rPr>
        <w:t>Pri činnosti</w:t>
      </w:r>
      <w:r w:rsidRPr="00371511">
        <w:rPr>
          <w:rStyle w:val="Strong"/>
          <w:color w:val="000000"/>
        </w:rPr>
        <w:t xml:space="preserve"> </w:t>
      </w:r>
      <w:r w:rsidRPr="00371511">
        <w:rPr>
          <w:color w:val="000000"/>
        </w:rPr>
        <w:t>advokátov, ktorí pôsobia na Slovensku, je skoro polovica platcami DPH a už teraz musia viesť presnú evidenciu platieb. 4000 väčšinou samostatne pôsobiacim advokátom žijúcich najmä v sociálne slabších regiónoch zavedenie registračných pokladníc mohlo uškodiť alebo dokonca byť pre nich takmer likvidačné. Malé advokátske kancelárie, ktoré zabezpečujú právne služby najmä v regiónoch vyberajú minimálne odmeny. Advokáti by museli premietnuť náklady na zavedenie registračných pokladníc do vyšších nákladov pre svojich klientov, čím sa zároveň zníži aj dostupnosť právnych služieb sociálne najcitlivejšej skupine</w:t>
      </w:r>
    </w:p>
    <w:p w:rsidR="00371511" w:rsidRPr="00371511" w:rsidP="009655CD">
      <w:pPr>
        <w:pStyle w:val="NormalWeb"/>
        <w:spacing w:before="0" w:beforeAutospacing="0" w:after="0" w:afterAutospacing="0"/>
        <w:ind w:left="3544"/>
        <w:jc w:val="both"/>
        <w:rPr>
          <w:color w:val="000000"/>
        </w:rPr>
      </w:pPr>
      <w:r w:rsidRPr="00371511">
        <w:rPr>
          <w:rStyle w:val="Strong"/>
          <w:b w:val="0"/>
          <w:color w:val="000000"/>
        </w:rPr>
        <w:t>Notár by</w:t>
      </w:r>
      <w:r w:rsidRPr="00371511">
        <w:rPr>
          <w:rStyle w:val="Strong"/>
          <w:color w:val="000000"/>
        </w:rPr>
        <w:t xml:space="preserve"> </w:t>
      </w:r>
      <w:r w:rsidRPr="00371511">
        <w:rPr>
          <w:color w:val="000000"/>
        </w:rPr>
        <w:t>v prípade prijatia tejto právnej normy nemožno očakávať vyššiu úroveň priznávania príjmov notárov z ich činnosti, nie je u nich priestor na zatajovanie príjmov z nasledovných dôvodov v prípade príjmov z ich rozhodujúcej činnosti, notárov ako súdnych komisárov v dedičských veciach, sú všetky príjmy notárov z tejto činnosti obsiahnuté v konečnom rozhodnutí o dedičstve, odmenu notára a jeho hotové výdavky schvaľuje súd, nie je priestor na zatajovanie príjmov. V prípade príjmov z ostatnej notárskej činnosti sú všetky tieto príjmy notárov evidované v osobitných registroch, ktoré sú na základe všeobecne záväzných právnych predpisov povinní notári viesť, nie je priestor na zatajovanie príjmov. Všetci notári, ktorí pôsobia v Slovenskej republike sú platcami DPH, na všetky platby sú povinní vystavovať príjmové doklady v súlade so zákonom o DPH, nie je priestor na zatajovanie príjmov.</w:t>
      </w:r>
    </w:p>
    <w:p w:rsidR="00371511" w:rsidP="009655CD">
      <w:pPr>
        <w:ind w:left="3544"/>
        <w:jc w:val="both"/>
        <w:rPr>
          <w:bCs/>
        </w:rPr>
      </w:pPr>
    </w:p>
    <w:p w:rsidR="00371511" w:rsidRPr="00327C8B" w:rsidP="009655CD">
      <w:pPr>
        <w:ind w:left="2832" w:firstLine="708"/>
        <w:jc w:val="both"/>
        <w:rPr>
          <w:b/>
        </w:rPr>
      </w:pPr>
      <w:r w:rsidRPr="00327C8B">
        <w:rPr>
          <w:b/>
        </w:rPr>
        <w:t xml:space="preserve">Ústavnoprávny výbor NR SR </w:t>
      </w:r>
    </w:p>
    <w:p w:rsidR="00371511" w:rsidRPr="0084193C" w:rsidP="009655CD">
      <w:pPr>
        <w:ind w:left="2832" w:firstLine="708"/>
        <w:jc w:val="both"/>
      </w:pPr>
      <w:r w:rsidRPr="0084193C">
        <w:rPr>
          <w:b/>
        </w:rPr>
        <w:t>Gestorský výbor odporúča neschváliť.</w:t>
      </w:r>
    </w:p>
    <w:p w:rsidR="00371511" w:rsidP="009655CD">
      <w:pPr>
        <w:ind w:left="3544"/>
        <w:jc w:val="both"/>
        <w:rPr>
          <w:bCs/>
        </w:rPr>
      </w:pPr>
    </w:p>
    <w:p w:rsidR="004E67F6" w:rsidRPr="004E67F6" w:rsidP="009655CD">
      <w:pPr>
        <w:numPr>
          <w:ilvl w:val="0"/>
          <w:numId w:val="40"/>
        </w:numPr>
        <w:ind w:left="709" w:hanging="425"/>
        <w:contextualSpacing/>
        <w:jc w:val="both"/>
        <w:rPr>
          <w:b/>
        </w:rPr>
      </w:pPr>
      <w:r w:rsidRPr="004E67F6">
        <w:rPr>
          <w:b/>
        </w:rPr>
        <w:t>K čl. VII, 55. bodu</w:t>
      </w:r>
    </w:p>
    <w:p w:rsidR="004E67F6" w:rsidRPr="004E67F6" w:rsidP="009655CD">
      <w:pPr>
        <w:ind w:left="708"/>
        <w:contextualSpacing/>
        <w:jc w:val="both"/>
      </w:pPr>
      <w:r w:rsidRPr="004E67F6">
        <w:t>V doterajšom bode 55, § 18cb sa za odsek 1 vkladajú nové odseky 2 a 3, ktoré znejú:</w:t>
      </w:r>
    </w:p>
    <w:p w:rsidR="004E67F6" w:rsidRPr="004E67F6" w:rsidP="009655CD">
      <w:pPr>
        <w:ind w:left="708"/>
        <w:contextualSpacing/>
        <w:jc w:val="both"/>
      </w:pPr>
      <w:r w:rsidRPr="004E67F6">
        <w:t>„(2) Podnikateľ, ktorému vznikla povinnosť používať elektronickú registračnú pokladnicu pred 1. januárom 2015, môže začať používať virtuálnu registračnú pokladnicu najskôr od 1. januára 2016.</w:t>
      </w:r>
    </w:p>
    <w:p w:rsidR="004E67F6" w:rsidRPr="004E67F6" w:rsidP="009655CD">
      <w:pPr>
        <w:ind w:left="708"/>
        <w:jc w:val="both"/>
      </w:pPr>
      <w:r w:rsidRPr="004E67F6">
        <w:t xml:space="preserve">(3) Podnikateľ, ktorému vznikne povinnosť používať elektronickú registračnú pokladnicu prvýkrát v období od 1. januára 2015 do 31. marca 2015 pri predaji tovaru alebo poskytovaní služby, ktoré sú uvedené v prílohe č. 1 v znení účinnom do 31. decembra 2014, môže začať používať virtuálnu registračnú pokladnicu najskôr od </w:t>
        <w:br/>
        <w:t xml:space="preserve">1. januára 2016.“.  </w:t>
      </w:r>
    </w:p>
    <w:p w:rsidR="004E67F6" w:rsidRPr="004E67F6" w:rsidP="009655CD">
      <w:pPr>
        <w:jc w:val="both"/>
        <w:rPr>
          <w:b/>
        </w:rPr>
      </w:pPr>
    </w:p>
    <w:p w:rsidR="004E67F6" w:rsidRPr="004E67F6" w:rsidP="009655CD">
      <w:pPr>
        <w:ind w:left="357" w:firstLine="351"/>
        <w:contextualSpacing/>
        <w:jc w:val="both"/>
      </w:pPr>
      <w:r w:rsidRPr="004E67F6">
        <w:t>Doterajšie odseky 2 až 5 sa označujú ako odseky 4 až 7.</w:t>
      </w:r>
    </w:p>
    <w:p w:rsidR="004E67F6" w:rsidRPr="004E67F6" w:rsidP="009655CD">
      <w:pPr>
        <w:ind w:left="2832" w:firstLine="708"/>
      </w:pPr>
    </w:p>
    <w:p w:rsidR="004E67F6" w:rsidRPr="004E67F6" w:rsidP="009655CD">
      <w:pPr>
        <w:tabs>
          <w:tab w:val="left" w:pos="426"/>
        </w:tabs>
        <w:ind w:left="3540"/>
        <w:jc w:val="both"/>
      </w:pPr>
      <w:r w:rsidRPr="004E67F6">
        <w:t xml:space="preserve">Navrhuje sa, aby podnikatelia, ktorí používajú elektronickú registračnú pokladnicu v súčasnosti a tí, ktorí predávajú tovar alebo poskytujú službu uvedenú v prílohe č. 1 v znení účinnom do 31. decembra 2014 a vzniknú období od 1. januára 2015 do 31. marca 2015, mohli začať používať virtuálnu registračnú pokladnicu najskôr od 1. januára 2016. K uvedenému sa pristúpilo z dôvodu zohľadnenia kapacitných možností finančnej správy pri zavádzaní systému virtuálnej registračnej pokladnice. </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P="009655CD">
      <w:pPr>
        <w:ind w:left="2832" w:firstLine="708"/>
        <w:jc w:val="both"/>
      </w:pPr>
      <w:r>
        <w:rPr>
          <w:b/>
        </w:rPr>
        <w:t>Gestorský výbor odporúča schváliť.</w:t>
      </w:r>
    </w:p>
    <w:p w:rsidR="004E67F6" w:rsidP="009655CD">
      <w:pPr>
        <w:tabs>
          <w:tab w:val="left" w:pos="426"/>
        </w:tabs>
        <w:jc w:val="both"/>
      </w:pPr>
    </w:p>
    <w:p w:rsidR="008B244F" w:rsidRPr="004E67F6" w:rsidP="008B244F">
      <w:pPr>
        <w:numPr>
          <w:ilvl w:val="0"/>
          <w:numId w:val="40"/>
        </w:numPr>
        <w:ind w:hanging="1156"/>
        <w:contextualSpacing/>
        <w:jc w:val="both"/>
        <w:rPr>
          <w:b/>
        </w:rPr>
      </w:pPr>
      <w:r w:rsidRPr="004E67F6">
        <w:rPr>
          <w:b/>
        </w:rPr>
        <w:t>K čl. VII, 56. bodu</w:t>
      </w:r>
    </w:p>
    <w:p w:rsidR="008B244F" w:rsidRPr="004E67F6" w:rsidP="008B244F">
      <w:pPr>
        <w:ind w:left="708"/>
        <w:contextualSpacing/>
        <w:jc w:val="both"/>
      </w:pPr>
      <w:r w:rsidRPr="004E67F6">
        <w:t>V doterajšom bode 56 sa v nadpise prílohy č. 1</w:t>
      </w:r>
      <w:r w:rsidRPr="004E67F6">
        <w:rPr>
          <w:b/>
        </w:rPr>
        <w:t xml:space="preserve"> </w:t>
      </w:r>
      <w:r w:rsidRPr="004E67F6">
        <w:t xml:space="preserve"> na konci pripájajú tieto slová: „ALEBO VO VIRTUÁLNEJ REGISTRAČNEJ POKLADNICI“. </w:t>
      </w:r>
    </w:p>
    <w:p w:rsidR="008B244F" w:rsidRPr="004E67F6" w:rsidP="008B244F">
      <w:pPr>
        <w:ind w:left="357"/>
        <w:contextualSpacing/>
        <w:jc w:val="both"/>
        <w:rPr>
          <w:b/>
          <w:color w:val="FF0000"/>
        </w:rPr>
      </w:pPr>
    </w:p>
    <w:p w:rsidR="008B244F" w:rsidRPr="004E67F6" w:rsidP="008B244F">
      <w:pPr>
        <w:tabs>
          <w:tab w:val="left" w:pos="426"/>
        </w:tabs>
        <w:ind w:left="3540"/>
        <w:jc w:val="both"/>
      </w:pPr>
      <w:r w:rsidRPr="004E67F6">
        <w:t xml:space="preserve">Nadväzne na skutočnosť, že virtuálnu registračnú pokladnicu budú môcť používať všetci podnikatelia, ktorí poskytujú služby uvedené v prílohe č. 1, je potrebné z dôvodu jednoznačnosti a zachovania princípu právnej istoty upraviť nadpis prílohy č. 1. </w:t>
      </w:r>
    </w:p>
    <w:p w:rsidR="008B244F" w:rsidP="008B244F">
      <w:pPr>
        <w:ind w:left="2832" w:firstLine="708"/>
        <w:jc w:val="both"/>
        <w:rPr>
          <w:b/>
        </w:rPr>
      </w:pPr>
    </w:p>
    <w:p w:rsidR="008B244F" w:rsidP="008B244F">
      <w:pPr>
        <w:ind w:left="2832" w:firstLine="708"/>
        <w:jc w:val="both"/>
        <w:rPr>
          <w:b/>
        </w:rPr>
      </w:pPr>
      <w:r w:rsidRPr="0085353E">
        <w:rPr>
          <w:b/>
        </w:rPr>
        <w:t>Výbor NR SR pre financie a</w:t>
      </w:r>
      <w:r>
        <w:rPr>
          <w:b/>
        </w:rPr>
        <w:t> </w:t>
      </w:r>
      <w:r w:rsidRPr="0085353E">
        <w:rPr>
          <w:b/>
        </w:rPr>
        <w:t>rozpočet</w:t>
      </w:r>
    </w:p>
    <w:p w:rsidR="008B244F" w:rsidP="008B244F">
      <w:pPr>
        <w:ind w:left="2832" w:firstLine="708"/>
        <w:jc w:val="both"/>
        <w:rPr>
          <w:b/>
        </w:rPr>
      </w:pPr>
      <w:r>
        <w:rPr>
          <w:b/>
        </w:rPr>
        <w:t>Gestorský výbor odporúča schváliť.</w:t>
      </w:r>
    </w:p>
    <w:p w:rsidR="008B244F" w:rsidP="008B244F">
      <w:pPr>
        <w:ind w:left="2832" w:firstLine="708"/>
        <w:jc w:val="both"/>
      </w:pPr>
    </w:p>
    <w:p w:rsidR="00371511" w:rsidRPr="00371511" w:rsidP="009655CD">
      <w:pPr>
        <w:pStyle w:val="ListParagraph"/>
        <w:numPr>
          <w:ilvl w:val="0"/>
          <w:numId w:val="40"/>
        </w:numPr>
        <w:overflowPunct w:val="0"/>
        <w:spacing w:after="0" w:line="240" w:lineRule="auto"/>
        <w:ind w:left="709" w:hanging="425"/>
        <w:jc w:val="both"/>
        <w:rPr>
          <w:rFonts w:ascii="Times New Roman" w:hAnsi="Times New Roman"/>
          <w:b/>
          <w:sz w:val="24"/>
          <w:szCs w:val="24"/>
        </w:rPr>
      </w:pPr>
      <w:r w:rsidRPr="00371511">
        <w:rPr>
          <w:rFonts w:ascii="Times New Roman" w:hAnsi="Times New Roman"/>
          <w:b/>
          <w:sz w:val="24"/>
          <w:szCs w:val="24"/>
        </w:rPr>
        <w:t>K čl. VII, 56. bodu</w:t>
      </w:r>
    </w:p>
    <w:p w:rsidR="00371511" w:rsidRPr="00371511" w:rsidP="009655CD">
      <w:pPr>
        <w:ind w:left="720"/>
        <w:jc w:val="both"/>
        <w:rPr>
          <w:bCs/>
        </w:rPr>
      </w:pPr>
      <w:r w:rsidRPr="00371511">
        <w:t>V bode 56</w:t>
      </w:r>
      <w:r w:rsidR="000B54D4">
        <w:t>,</w:t>
      </w:r>
      <w:r w:rsidRPr="00371511">
        <w:t xml:space="preserve"> v prílohe č. 1 sa vypúšťajú slová „</w:t>
      </w:r>
      <w:r w:rsidRPr="00371511">
        <w:rPr>
          <w:bCs/>
        </w:rPr>
        <w:t xml:space="preserve">69.10 Právne činnosti“. </w:t>
      </w:r>
    </w:p>
    <w:p w:rsidR="00371511" w:rsidP="009655CD">
      <w:pPr>
        <w:pStyle w:val="NormalWeb"/>
        <w:spacing w:before="0" w:beforeAutospacing="0" w:after="0" w:afterAutospacing="0"/>
        <w:ind w:left="4395"/>
        <w:jc w:val="both"/>
        <w:rPr>
          <w:color w:val="000000"/>
        </w:rPr>
      </w:pPr>
    </w:p>
    <w:p w:rsidR="00371511" w:rsidRPr="00371511" w:rsidP="009655CD">
      <w:pPr>
        <w:pStyle w:val="NormalWeb"/>
        <w:spacing w:before="0" w:beforeAutospacing="0" w:after="0" w:afterAutospacing="0"/>
        <w:ind w:left="3540"/>
        <w:jc w:val="both"/>
        <w:rPr>
          <w:color w:val="000000"/>
        </w:rPr>
      </w:pPr>
      <w:r w:rsidRPr="00371511">
        <w:rPr>
          <w:color w:val="000000"/>
        </w:rPr>
        <w:t>Návrh ministerstva financií vychádza z prieskumu, z ktorého vyplýva, že veľká časť subjektov nepriznáva štátu všetky príjmy. A dotýka sa všetkých právnych činností vrátane exekútorov, notárov a advokátov.  Prijatie tejto úpravy, okrem toho, že nemôže zabezpečiť vyššiu úroveň priznávania príjmov notárov, advokátov a súdnych exekútorov z vyššie uvedených dôvodov, bude mať dopad iba na nákladovú položku hospodárenia právnych činností, budú si musieť zabezpečiť elektronickú pokladnicu, ktorá nákladová položka sa bude musieť prejaviť v ich hospodárení.</w:t>
      </w:r>
    </w:p>
    <w:p w:rsidR="00371511" w:rsidRPr="00371511" w:rsidP="009655CD">
      <w:pPr>
        <w:pStyle w:val="NormalWeb"/>
        <w:spacing w:before="0" w:beforeAutospacing="0" w:after="0" w:afterAutospacing="0"/>
        <w:ind w:left="3544"/>
        <w:jc w:val="both"/>
        <w:rPr>
          <w:rStyle w:val="Strong"/>
          <w:b w:val="0"/>
          <w:color w:val="000000"/>
        </w:rPr>
      </w:pPr>
      <w:r w:rsidRPr="00371511">
        <w:rPr>
          <w:rStyle w:val="Strong"/>
          <w:b w:val="0"/>
          <w:color w:val="000000"/>
        </w:rPr>
        <w:t xml:space="preserve">Pri činnosti súdnych exekútorov </w:t>
      </w:r>
      <w:r w:rsidRPr="00371511">
        <w:rPr>
          <w:b/>
          <w:color w:val="000000"/>
        </w:rPr>
        <w:t xml:space="preserve"> </w:t>
      </w:r>
      <w:r w:rsidRPr="00371511">
        <w:rPr>
          <w:color w:val="000000"/>
        </w:rPr>
        <w:t>nie je dôvod zavádzať registračné pokladne, lebo finančné prostriedky, ktoré dlžník alebo veriteľ zaplatia exekútorovi ako štátom splnomocnenej osobe nie sú príjmom exekútora. Exekútor pri výkone exekúcie plní iba úlohu platobného miesta, kde prichádza do styku  s finančnými prostriedkami povinných osôb, ktorými uhrádzajú svoje záväzky voči oprávneným. Preto neexistuje žiadny logický dôvod na to, aby súdny  exekútor používal registračnú pokladnicu.</w:t>
      </w:r>
      <w:r w:rsidRPr="00371511">
        <w:rPr>
          <w:rStyle w:val="Strong"/>
          <w:color w:val="000000"/>
        </w:rPr>
        <w:t>     </w:t>
      </w:r>
    </w:p>
    <w:p w:rsidR="00371511" w:rsidRPr="00371511" w:rsidP="009655CD">
      <w:pPr>
        <w:pStyle w:val="NormalWeb"/>
        <w:spacing w:before="0" w:beforeAutospacing="0" w:after="0" w:afterAutospacing="0"/>
        <w:ind w:left="3544"/>
        <w:jc w:val="both"/>
        <w:rPr>
          <w:rStyle w:val="Strong"/>
          <w:b w:val="0"/>
          <w:color w:val="000000"/>
        </w:rPr>
      </w:pPr>
      <w:r w:rsidRPr="00371511">
        <w:rPr>
          <w:rStyle w:val="Strong"/>
          <w:b w:val="0"/>
          <w:color w:val="000000"/>
        </w:rPr>
        <w:t>Pri činnosti</w:t>
      </w:r>
      <w:r w:rsidRPr="00371511">
        <w:rPr>
          <w:rStyle w:val="Strong"/>
          <w:color w:val="000000"/>
        </w:rPr>
        <w:t xml:space="preserve"> </w:t>
      </w:r>
      <w:r w:rsidRPr="00371511">
        <w:rPr>
          <w:color w:val="000000"/>
        </w:rPr>
        <w:t>advokátov, ktorí pôsobia na Slovensku, je skoro polovica platcami DPH a už teraz musia viesť presnú evidenciu platieb. 4000 väčšinou samostatne pôsobiacim advokátom žijúcich najmä v sociálne slabších regiónoch zavedenie registračných pokladníc mohlo uškodiť alebo dokonca byť pre nich takmer likvidačné. Malé advokátske kancelárie, ktoré zabezpečujú právne služby najmä v regiónoch vyberajú minimálne odmeny. Advokáti by museli premietnuť náklady na zavedenie registračných pokladníc do vyšších nákladov pre svojich klientov, čím sa zároveň zníži aj dostupnosť právnych služieb sociálne najcitlivejšej skupine</w:t>
      </w:r>
    </w:p>
    <w:p w:rsidR="00371511" w:rsidRPr="00371511" w:rsidP="009655CD">
      <w:pPr>
        <w:pStyle w:val="NormalWeb"/>
        <w:spacing w:before="0" w:beforeAutospacing="0" w:after="0" w:afterAutospacing="0"/>
        <w:ind w:left="3544"/>
        <w:jc w:val="both"/>
        <w:rPr>
          <w:color w:val="000000"/>
        </w:rPr>
      </w:pPr>
      <w:r w:rsidRPr="00371511">
        <w:rPr>
          <w:rStyle w:val="Strong"/>
          <w:b w:val="0"/>
          <w:color w:val="000000"/>
        </w:rPr>
        <w:t xml:space="preserve">Notár by </w:t>
      </w:r>
      <w:r w:rsidRPr="00371511">
        <w:rPr>
          <w:b/>
          <w:color w:val="000000"/>
        </w:rPr>
        <w:t>v</w:t>
      </w:r>
      <w:r w:rsidRPr="00371511">
        <w:rPr>
          <w:color w:val="000000"/>
        </w:rPr>
        <w:t> prípade prijatia tejto právnej normy nemožno očakávať vyššiu úroveň priznávania príjmov notárov z ich činnosti, nie je u nich priestor na zatajovanie príjmov z nasledovných dôvodov v prípade príjmov z ich rozhodujúcej činnosti, notárov ako súdnych komisárov v dedičských veciach, sú všetky príjmy notárov z tejto činnosti obsiahnuté v konečnom rozhodnutí o dedičstve, odmenu notára a jeho hotové výdavky schvaľuje súd, nie je priestor na zatajovanie príjmov. V prípade príjmov z ostatnej notárskej činnosti sú všetky tieto príjmy notárov evidované v osobitných registroch, ktoré sú na základe všeobecne záväzných právnych predpisov povinní notári viesť, nie je priestor na zatajovanie príjmov. Všetci notári, ktorí pôsobia v Slovenskej republike sú platcami DPH, na všetky platby sú povinní vystavovať príjmové doklady v súlade so zákonom o DPH, nie je priestor na zatajovanie príjmov.</w:t>
      </w:r>
    </w:p>
    <w:p w:rsidR="00371511" w:rsidRPr="00371511" w:rsidP="009655CD">
      <w:pPr>
        <w:tabs>
          <w:tab w:val="left" w:pos="426"/>
        </w:tabs>
        <w:ind w:left="3544"/>
        <w:jc w:val="both"/>
      </w:pPr>
    </w:p>
    <w:p w:rsidR="000B54D4" w:rsidP="009655CD">
      <w:pPr>
        <w:ind w:left="2832" w:firstLine="708"/>
        <w:jc w:val="both"/>
        <w:rPr>
          <w:b/>
        </w:rPr>
      </w:pPr>
      <w:r w:rsidR="008B244F">
        <w:rPr>
          <w:b/>
        </w:rPr>
        <w:t>Ústavnoprávny výbor NR SR</w:t>
      </w:r>
    </w:p>
    <w:p w:rsidR="000B54D4" w:rsidRPr="0084193C" w:rsidP="009655CD">
      <w:pPr>
        <w:ind w:left="2832" w:firstLine="708"/>
        <w:jc w:val="both"/>
      </w:pPr>
      <w:r w:rsidRPr="0084193C">
        <w:rPr>
          <w:b/>
        </w:rPr>
        <w:t xml:space="preserve">Gestorský výbor odporúča </w:t>
      </w:r>
      <w:r w:rsidRPr="0084193C" w:rsidR="008B244F">
        <w:rPr>
          <w:b/>
        </w:rPr>
        <w:t>neschváliť</w:t>
      </w:r>
      <w:r w:rsidRPr="0084193C">
        <w:rPr>
          <w:b/>
        </w:rPr>
        <w:t>.</w:t>
      </w:r>
    </w:p>
    <w:p w:rsidR="00371511" w:rsidRPr="00371511" w:rsidP="009655CD">
      <w:pPr>
        <w:tabs>
          <w:tab w:val="left" w:pos="426"/>
        </w:tabs>
        <w:ind w:left="3544"/>
        <w:jc w:val="both"/>
      </w:pPr>
    </w:p>
    <w:p w:rsidR="004E67F6" w:rsidRPr="004E67F6" w:rsidP="009655CD">
      <w:pPr>
        <w:numPr>
          <w:ilvl w:val="0"/>
          <w:numId w:val="40"/>
        </w:numPr>
        <w:ind w:hanging="1156"/>
        <w:contextualSpacing/>
        <w:jc w:val="both"/>
        <w:rPr>
          <w:b/>
        </w:rPr>
      </w:pPr>
      <w:r w:rsidRPr="004E67F6">
        <w:rPr>
          <w:b/>
        </w:rPr>
        <w:t>K čl. VII, 58. bodu</w:t>
      </w:r>
    </w:p>
    <w:p w:rsidR="004E67F6" w:rsidRPr="004E67F6" w:rsidP="009655CD">
      <w:pPr>
        <w:ind w:left="708"/>
        <w:contextualSpacing/>
        <w:jc w:val="both"/>
        <w:rPr>
          <w:b/>
        </w:rPr>
      </w:pPr>
      <w:r w:rsidRPr="004E67F6">
        <w:t xml:space="preserve">V doterajšom bode 58  sa za slovami „virtuálna registračná pokladnica“ vypúšťa čiarka a slová „ak zo všetkých súvisiacich okolností nevyplýva, že ide iba o elektronickú registračnú pokladnicu“. </w:t>
      </w:r>
    </w:p>
    <w:p w:rsidR="004E67F6" w:rsidRPr="004E67F6" w:rsidP="009655CD">
      <w:pPr>
        <w:tabs>
          <w:tab w:val="left" w:pos="426"/>
        </w:tabs>
        <w:jc w:val="both"/>
      </w:pPr>
      <w:r w:rsidRPr="004E67F6">
        <w:tab/>
        <w:tab/>
        <w:tab/>
      </w:r>
    </w:p>
    <w:p w:rsidR="004E67F6" w:rsidRPr="004E67F6" w:rsidP="009655CD">
      <w:pPr>
        <w:tabs>
          <w:tab w:val="left" w:pos="426"/>
        </w:tabs>
        <w:ind w:left="3540"/>
        <w:jc w:val="both"/>
      </w:pPr>
      <w:r w:rsidRPr="004E67F6">
        <w:t>Úprava sa navrhuje z dôvodu, aby nedochádzalo k rozdielnej aplikácii tohto ustanovenia v praxi a nebol porušený ústavný princíp právnej istoty.</w:t>
      </w:r>
    </w:p>
    <w:p w:rsidR="005E1E01" w:rsidP="009655CD">
      <w:pPr>
        <w:ind w:left="2832" w:firstLine="708"/>
        <w:jc w:val="both"/>
        <w:rPr>
          <w:b/>
        </w:rPr>
      </w:pPr>
    </w:p>
    <w:p w:rsidR="005E1E01" w:rsidP="009655CD">
      <w:pPr>
        <w:ind w:left="2832" w:firstLine="708"/>
        <w:jc w:val="both"/>
        <w:rPr>
          <w:b/>
        </w:rPr>
      </w:pPr>
      <w:r w:rsidRPr="0085353E">
        <w:rPr>
          <w:b/>
        </w:rPr>
        <w:t>Výbor NR SR pre financie a</w:t>
      </w:r>
      <w:r>
        <w:rPr>
          <w:b/>
        </w:rPr>
        <w:t> </w:t>
      </w:r>
      <w:r w:rsidRPr="0085353E">
        <w:rPr>
          <w:b/>
        </w:rPr>
        <w:t>rozpočet</w:t>
      </w:r>
    </w:p>
    <w:p w:rsidR="005E1E01" w:rsidP="009655CD">
      <w:pPr>
        <w:ind w:left="2832" w:firstLine="708"/>
        <w:jc w:val="both"/>
      </w:pPr>
      <w:r>
        <w:rPr>
          <w:b/>
        </w:rPr>
        <w:t>Gestorský výbor odporúča schváliť.</w:t>
      </w:r>
    </w:p>
    <w:p w:rsidR="004E67F6" w:rsidRPr="004E67F6" w:rsidP="009655CD">
      <w:pPr>
        <w:tabs>
          <w:tab w:val="left" w:pos="426"/>
        </w:tabs>
        <w:ind w:left="3540"/>
        <w:jc w:val="both"/>
      </w:pPr>
    </w:p>
    <w:p w:rsidR="004E67F6" w:rsidRPr="004E67F6" w:rsidP="009655CD">
      <w:pPr>
        <w:numPr>
          <w:ilvl w:val="0"/>
          <w:numId w:val="40"/>
        </w:numPr>
        <w:ind w:hanging="1156"/>
        <w:jc w:val="both"/>
        <w:rPr>
          <w:b/>
        </w:rPr>
      </w:pPr>
      <w:r w:rsidRPr="004E67F6">
        <w:rPr>
          <w:b/>
        </w:rPr>
        <w:t>K čl. IX- účinnosť</w:t>
      </w:r>
    </w:p>
    <w:p w:rsidR="004E67F6" w:rsidRPr="004E67F6" w:rsidP="009655CD">
      <w:pPr>
        <w:ind w:left="708"/>
        <w:jc w:val="both"/>
      </w:pPr>
      <w:r w:rsidRPr="004E67F6">
        <w:t>V čl. IX sa slová „okrem čl. I až VII“ nahrádzajú slovami „okrem čl. I až V, čl. VI § 10 písm. a) a c) a čl. VII bodu 4, bodu 8 (§ 2 písm. x/ časť vety pred bodkočiarkou), bodov 11, 24 bodu 31 (§8 ods. 4 prvá veta), bodov 48, 49, bodu 50 (§16b ods.7 prvá až tretia veta), bodov 51, 54 až 56“.</w:t>
      </w:r>
    </w:p>
    <w:p w:rsidR="004E67F6" w:rsidRPr="004E67F6" w:rsidP="009655CD">
      <w:pPr>
        <w:jc w:val="both"/>
        <w:rPr>
          <w:bCs/>
        </w:rPr>
      </w:pPr>
    </w:p>
    <w:p w:rsidR="004E67F6" w:rsidRPr="004E67F6" w:rsidP="009655CD">
      <w:pPr>
        <w:ind w:left="3540"/>
        <w:jc w:val="both"/>
      </w:pPr>
      <w:r w:rsidRPr="004E67F6">
        <w:rPr>
          <w:bCs/>
        </w:rPr>
        <w:t>Ustanovenie o účinnosti zákona sa navrhuje z dôvodu jednoznačnosti sprecizovať a to exaktným vymenovaním konkrétnych bodov resp. ustanovení v prípadoch delenej účinnosti.</w:t>
      </w:r>
    </w:p>
    <w:p w:rsidR="004E67F6" w:rsidP="009655CD">
      <w:pPr>
        <w:pStyle w:val="BodyText2"/>
        <w:ind w:firstLine="708"/>
      </w:pPr>
    </w:p>
    <w:p w:rsidR="005E1E01" w:rsidP="009655CD">
      <w:pPr>
        <w:ind w:left="2832" w:firstLine="708"/>
        <w:jc w:val="both"/>
        <w:rPr>
          <w:b/>
        </w:rPr>
      </w:pPr>
      <w:r w:rsidRPr="0085353E">
        <w:rPr>
          <w:b/>
        </w:rPr>
        <w:t>Výbor NR SR pre financie a</w:t>
      </w:r>
      <w:r>
        <w:rPr>
          <w:b/>
        </w:rPr>
        <w:t> </w:t>
      </w:r>
      <w:r w:rsidRPr="0085353E">
        <w:rPr>
          <w:b/>
        </w:rPr>
        <w:t>rozpočet</w:t>
      </w:r>
    </w:p>
    <w:p w:rsidR="005E1E01" w:rsidP="009655CD">
      <w:pPr>
        <w:ind w:left="2832" w:firstLine="708"/>
        <w:jc w:val="both"/>
      </w:pPr>
      <w:r>
        <w:rPr>
          <w:b/>
        </w:rPr>
        <w:t>Gestorský výbor odporúča schváliť.</w:t>
      </w:r>
    </w:p>
    <w:p w:rsidR="00B64432" w:rsidRPr="00B64432" w:rsidP="009655CD">
      <w:pPr>
        <w:rPr>
          <w:b/>
        </w:rPr>
      </w:pPr>
    </w:p>
    <w:p w:rsidR="00445EE1" w:rsidP="009655CD">
      <w:pPr>
        <w:pStyle w:val="BodyText2"/>
        <w:ind w:firstLine="708"/>
      </w:pPr>
      <w:r>
        <w:t xml:space="preserve">Gestorský </w:t>
      </w:r>
      <w:r w:rsidR="006A3673">
        <w:t>výbor odporúča o návrhoch výborov</w:t>
      </w:r>
      <w:r>
        <w:t xml:space="preserve"> Národnej rady Slovenskej republiky, ktoré sú uvedené v spoločnej správe hlasovať takto :</w:t>
      </w:r>
    </w:p>
    <w:p w:rsidR="00445EE1" w:rsidP="009655CD">
      <w:pPr>
        <w:pStyle w:val="BodyText2"/>
      </w:pPr>
    </w:p>
    <w:p w:rsidR="00445EE1" w:rsidP="009655CD">
      <w:pPr>
        <w:pStyle w:val="BodyText2"/>
        <w:ind w:firstLine="708"/>
      </w:pPr>
      <w:r w:rsidR="00740C06">
        <w:t>O bodoch spoločnej správy č.</w:t>
      </w:r>
      <w:r w:rsidR="00141A76">
        <w:t xml:space="preserve"> </w:t>
      </w:r>
      <w:r w:rsidR="00BB0E07">
        <w:rPr>
          <w:b/>
        </w:rPr>
        <w:t xml:space="preserve">1 - 30, 32 - </w:t>
      </w:r>
      <w:r w:rsidR="00C900B4">
        <w:rPr>
          <w:b/>
        </w:rPr>
        <w:t xml:space="preserve">54, 56, </w:t>
      </w:r>
      <w:r w:rsidRPr="00C900B4" w:rsidR="00B6739C">
        <w:rPr>
          <w:b/>
        </w:rPr>
        <w:t>57, 59</w:t>
      </w:r>
      <w:r w:rsidR="00C900B4">
        <w:rPr>
          <w:b/>
        </w:rPr>
        <w:t xml:space="preserve">, </w:t>
      </w:r>
      <w:r w:rsidRPr="00C900B4" w:rsidR="00B6739C">
        <w:rPr>
          <w:b/>
        </w:rPr>
        <w:t>60</w:t>
      </w:r>
      <w:r w:rsidR="0031063E">
        <w:t xml:space="preserve"> </w:t>
      </w:r>
      <w:r>
        <w:t xml:space="preserve">hlasovať </w:t>
      </w:r>
      <w:r w:rsidR="0031063E">
        <w:t xml:space="preserve">spoločne </w:t>
      </w:r>
      <w:r>
        <w:t xml:space="preserve">s návrhom gestorského výboru </w:t>
      </w:r>
      <w:r w:rsidRPr="00AF1636">
        <w:rPr>
          <w:b/>
        </w:rPr>
        <w:t>sc</w:t>
      </w:r>
      <w:r w:rsidRPr="00B057B4">
        <w:rPr>
          <w:b/>
        </w:rPr>
        <w:t>hváliť</w:t>
      </w:r>
      <w:r>
        <w:t>.</w:t>
      </w:r>
    </w:p>
    <w:p w:rsidR="00BB0E07" w:rsidP="009655CD">
      <w:pPr>
        <w:pStyle w:val="BodyText2"/>
        <w:ind w:firstLine="708"/>
      </w:pPr>
    </w:p>
    <w:p w:rsidR="009A2FE0" w:rsidP="009655CD">
      <w:pPr>
        <w:pStyle w:val="BodyText2"/>
        <w:ind w:firstLine="708"/>
      </w:pPr>
      <w:r>
        <w:t xml:space="preserve">O bodoch spoločnej správy č. </w:t>
      </w:r>
      <w:r w:rsidRPr="00C900B4" w:rsidR="00B6739C">
        <w:rPr>
          <w:b/>
        </w:rPr>
        <w:t>31, 55, 58</w:t>
      </w:r>
      <w:r>
        <w:t xml:space="preserve"> hlasovať spoločne s návrhom gestorského výboru </w:t>
      </w:r>
      <w:r>
        <w:rPr>
          <w:b/>
        </w:rPr>
        <w:t>ne</w:t>
      </w:r>
      <w:r w:rsidRPr="00AF1636">
        <w:rPr>
          <w:b/>
        </w:rPr>
        <w:t>sc</w:t>
      </w:r>
      <w:r w:rsidRPr="00B057B4">
        <w:rPr>
          <w:b/>
        </w:rPr>
        <w:t>hváliť</w:t>
      </w:r>
      <w:r>
        <w:t>.</w:t>
      </w:r>
    </w:p>
    <w:p w:rsidR="009A2FE0" w:rsidP="009655CD">
      <w:pPr>
        <w:pStyle w:val="BodyText2"/>
        <w:ind w:firstLine="708"/>
      </w:pPr>
    </w:p>
    <w:p w:rsidR="00141A76" w:rsidP="009655CD">
      <w:pPr>
        <w:pStyle w:val="BodyText2"/>
        <w:ind w:firstLine="708"/>
      </w:pPr>
    </w:p>
    <w:p w:rsidR="00233A93" w:rsidP="009655CD">
      <w:pPr>
        <w:pStyle w:val="BodyText2"/>
        <w:jc w:val="center"/>
        <w:rPr>
          <w:b/>
        </w:rPr>
      </w:pPr>
      <w:r>
        <w:rPr>
          <w:b/>
        </w:rPr>
        <w:t>V.</w:t>
      </w:r>
    </w:p>
    <w:p w:rsidR="00D219D3" w:rsidP="009655CD">
      <w:pPr>
        <w:pStyle w:val="BodyText2"/>
        <w:jc w:val="center"/>
        <w:rPr>
          <w:b/>
        </w:rPr>
      </w:pPr>
    </w:p>
    <w:p w:rsidR="00233A93" w:rsidRPr="00791F4B" w:rsidP="009655CD">
      <w:pPr>
        <w:tabs>
          <w:tab w:val="left" w:pos="5040"/>
        </w:tabs>
        <w:jc w:val="both"/>
      </w:pPr>
      <w:r w:rsidRPr="00791F4B">
        <w:t>Gestorský výbor na základe stanovísk výborov k</w:t>
      </w:r>
      <w:r w:rsidRPr="00345BFB" w:rsidR="00345BFB">
        <w:t xml:space="preserve"> </w:t>
      </w:r>
      <w:r w:rsidRPr="00A241CC" w:rsidR="00140EA4">
        <w:t>vládn</w:t>
      </w:r>
      <w:r w:rsidR="00140EA4">
        <w:t>emu</w:t>
      </w:r>
      <w:r w:rsidRPr="00A241CC" w:rsidR="00140EA4">
        <w:t xml:space="preserve"> návrhu zákona, ktorým sa mení a dopĺňa zákon č. 595/2003 Z. z. o dani z príjmov v znení neskorších predpisov a ktorým sa menia a dopĺňajú niektoré zákony (tlač 1123)</w:t>
      </w:r>
      <w:r w:rsidR="00140EA4">
        <w:t xml:space="preserve"> </w:t>
      </w:r>
      <w:r w:rsidR="00D24BC0">
        <w:rPr>
          <w:bCs/>
        </w:rPr>
        <w:t>v</w:t>
      </w:r>
      <w:r w:rsidRPr="00791F4B">
        <w:t>yjadrených v uzneseniach uvedených pod bodom III. tejto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w:t>
      </w:r>
    </w:p>
    <w:p w:rsidR="00996696" w:rsidP="009655CD">
      <w:pPr>
        <w:pStyle w:val="BodyText2"/>
        <w:ind w:firstLine="708"/>
      </w:pPr>
    </w:p>
    <w:p w:rsidR="00233A93" w:rsidP="009655CD">
      <w:pPr>
        <w:pStyle w:val="BodyText2"/>
        <w:ind w:firstLine="708"/>
        <w:rPr>
          <w:b/>
          <w:bCs/>
        </w:rPr>
      </w:pPr>
      <w:r>
        <w:t xml:space="preserve"> </w:t>
      </w:r>
      <w:r>
        <w:rPr>
          <w:b/>
          <w:bCs/>
        </w:rPr>
        <w:t>odporúča Národnej rade Slovenskej republiky</w:t>
      </w:r>
    </w:p>
    <w:p w:rsidR="00D35084" w:rsidP="009655CD">
      <w:pPr>
        <w:pStyle w:val="BodyText2"/>
      </w:pPr>
      <w:r w:rsidR="00C339FD">
        <w:t xml:space="preserve"> </w:t>
      </w:r>
      <w:r w:rsidR="002A75EF">
        <w:t xml:space="preserve"> </w:t>
      </w:r>
    </w:p>
    <w:p w:rsidR="00B6739C" w:rsidP="009655CD">
      <w:pPr>
        <w:pStyle w:val="BodyText2"/>
      </w:pPr>
    </w:p>
    <w:p w:rsidR="00B6739C" w:rsidP="009655CD">
      <w:pPr>
        <w:pStyle w:val="BodyText2"/>
      </w:pPr>
    </w:p>
    <w:p w:rsidR="00B6739C" w:rsidP="009655CD">
      <w:pPr>
        <w:pStyle w:val="BodyText2"/>
      </w:pPr>
    </w:p>
    <w:p w:rsidR="00B6739C" w:rsidP="009655CD">
      <w:pPr>
        <w:pStyle w:val="BodyText2"/>
      </w:pPr>
    </w:p>
    <w:p w:rsidR="00B40188" w:rsidP="009655CD">
      <w:pPr>
        <w:tabs>
          <w:tab w:val="left" w:pos="720"/>
        </w:tabs>
        <w:jc w:val="both"/>
        <w:rPr>
          <w:b/>
          <w:bCs/>
        </w:rPr>
      </w:pPr>
      <w:r w:rsidR="00EF184C">
        <w:rPr>
          <w:szCs w:val="20"/>
        </w:rPr>
        <w:tab/>
      </w:r>
      <w:r w:rsidRPr="00A241CC" w:rsidR="00140EA4">
        <w:t>vládn</w:t>
      </w:r>
      <w:r w:rsidR="00140EA4">
        <w:t>y</w:t>
      </w:r>
      <w:r w:rsidRPr="00A241CC" w:rsidR="00140EA4">
        <w:t xml:space="preserve"> návrh zákona, ktorým sa mení a dopĺňa zákon č. 595/2003 Z. z. o dani z príjmov v znení neskorších predpisov a ktorým sa menia a dopĺňajú niektoré zákony (tlač 1123)</w:t>
      </w:r>
      <w:r w:rsidR="00140EA4">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075545" w:rsidP="009655CD">
      <w:pPr>
        <w:tabs>
          <w:tab w:val="left" w:pos="720"/>
        </w:tabs>
        <w:rPr>
          <w:b/>
          <w:bCs/>
        </w:rPr>
      </w:pPr>
    </w:p>
    <w:p w:rsidR="00294D26" w:rsidP="009655CD">
      <w:pPr>
        <w:tabs>
          <w:tab w:val="left" w:pos="720"/>
        </w:tabs>
        <w:rPr>
          <w:b/>
          <w:bCs/>
        </w:rPr>
      </w:pPr>
    </w:p>
    <w:p w:rsidR="00233A93" w:rsidP="009655CD">
      <w:pPr>
        <w:tabs>
          <w:tab w:val="left" w:pos="709"/>
        </w:tabs>
        <w:jc w:val="both"/>
      </w:pPr>
      <w:r w:rsidR="000734C1">
        <w:tab/>
      </w:r>
      <w:r>
        <w:t>Predmetná správa výborov Národnej rady Slovenskej republiky o</w:t>
      </w:r>
      <w:r w:rsidR="00791F4B">
        <w:t> </w:t>
      </w:r>
      <w:r w:rsidRPr="00A241CC" w:rsidR="00140EA4">
        <w:t>vládnom návrhu zákona, ktorým sa mení a dopĺňa zákon č. 595/2003 Z. z. o dani z príjmov v znení neskorších predpisov a ktorým sa menia a dopĺňajú niektoré zákony (tlač 1123</w:t>
      </w:r>
      <w:r w:rsidR="00140EA4">
        <w:t>a</w:t>
      </w:r>
      <w:r w:rsidRPr="00A241CC" w:rsidR="00140EA4">
        <w:t>)</w:t>
      </w:r>
      <w:r w:rsidR="00140EA4">
        <w:t xml:space="preserve"> </w:t>
      </w:r>
      <w:r>
        <w:t>bola schválená uznesením gestorského výboru č.</w:t>
      </w:r>
      <w:r w:rsidR="004E1881">
        <w:t xml:space="preserve"> </w:t>
      </w:r>
      <w:r w:rsidR="00B6739C">
        <w:t>353</w:t>
      </w:r>
      <w:r w:rsidR="009124B6">
        <w:t xml:space="preserve"> </w:t>
      </w:r>
      <w:r>
        <w:t>z</w:t>
      </w:r>
      <w:r w:rsidR="009124B6">
        <w:t>o</w:t>
      </w:r>
      <w:r w:rsidR="00E6496B">
        <w:t xml:space="preserve"> </w:t>
      </w:r>
      <w:r w:rsidR="000734C1">
        <w:t>1</w:t>
      </w:r>
      <w:r w:rsidR="009124B6">
        <w:t>4</w:t>
      </w:r>
      <w:r w:rsidR="002741E7">
        <w:t xml:space="preserve">. </w:t>
      </w:r>
      <w:r w:rsidR="009124B6">
        <w:t>októbra</w:t>
      </w:r>
      <w:r w:rsidR="00D365D2">
        <w:t xml:space="preserve"> 20</w:t>
      </w:r>
      <w:r w:rsidR="0020341D">
        <w:t>1</w:t>
      </w:r>
      <w:r w:rsidR="009A2FE0">
        <w:t>4</w:t>
      </w:r>
      <w:r w:rsidR="0020341D">
        <w:t>. Výbor určil poslan</w:t>
      </w:r>
      <w:r w:rsidR="00D219D3">
        <w:t>ca</w:t>
      </w:r>
      <w:r w:rsidR="007F1816">
        <w:t xml:space="preserve"> </w:t>
      </w:r>
      <w:r w:rsidR="00140EA4">
        <w:rPr>
          <w:b/>
        </w:rPr>
        <w:t>Ladislav Kamenický</w:t>
      </w:r>
      <w:r w:rsidR="00363905">
        <w:rPr>
          <w:b/>
        </w:rPr>
        <w:t xml:space="preserve"> </w:t>
      </w:r>
      <w:r>
        <w:t>za spoločn</w:t>
      </w:r>
      <w:r w:rsidR="00C23D38">
        <w:t>ého</w:t>
      </w:r>
      <w:r>
        <w:t xml:space="preserve"> spravodaj</w:t>
      </w:r>
      <w:r w:rsidR="00C23D38">
        <w:t>cu</w:t>
      </w:r>
      <w:r>
        <w:t xml:space="preserve"> výborov.</w:t>
      </w:r>
    </w:p>
    <w:p w:rsidR="00D35084" w:rsidP="009655CD">
      <w:pPr>
        <w:pStyle w:val="BodyText2"/>
      </w:pPr>
      <w:r w:rsidR="000106DD">
        <w:t xml:space="preserve"> </w:t>
      </w:r>
    </w:p>
    <w:p w:rsidR="00EF184C" w:rsidP="009655CD">
      <w:pPr>
        <w:pStyle w:val="BodyText2"/>
      </w:pPr>
    </w:p>
    <w:p w:rsidR="00233A93" w:rsidP="009655CD">
      <w:pPr>
        <w:pStyle w:val="BodyText2"/>
      </w:pPr>
      <w:r w:rsidR="00F35587">
        <w:t xml:space="preserve">Súčasne </w:t>
      </w:r>
      <w:r w:rsidR="00D219D3">
        <w:t>ho</w:t>
      </w:r>
      <w:r>
        <w:t xml:space="preserve"> poveril</w:t>
      </w:r>
    </w:p>
    <w:p w:rsidR="00D35084" w:rsidP="009655CD">
      <w:pPr>
        <w:pStyle w:val="BodyText2"/>
      </w:pPr>
    </w:p>
    <w:p w:rsidR="00233A93" w:rsidP="009655CD">
      <w:pPr>
        <w:pStyle w:val="BodyText3"/>
        <w:ind w:left="708"/>
        <w:rPr>
          <w:lang w:val="sk-SK"/>
        </w:rPr>
      </w:pPr>
      <w:r>
        <w:rPr>
          <w:lang w:val="sk-SK"/>
        </w:rPr>
        <w:t>1.  predniesť spoločnú správu výborov na schôdzi Národnej rady Slovenskej republiky</w:t>
      </w:r>
    </w:p>
    <w:p w:rsidR="00233A93" w:rsidP="009655CD">
      <w:pPr>
        <w:pStyle w:val="BodyText3"/>
        <w:rPr>
          <w:lang w:val="sk-SK"/>
        </w:rPr>
      </w:pPr>
    </w:p>
    <w:p w:rsidR="00C00821" w:rsidP="009655CD">
      <w:pPr>
        <w:pStyle w:val="BodyText3"/>
        <w:numPr>
          <w:ilvl w:val="0"/>
          <w:numId w:val="34"/>
        </w:numPr>
        <w:rPr>
          <w:lang w:val="sk-SK"/>
        </w:rPr>
      </w:pPr>
      <w:r w:rsidRPr="00C00821" w:rsidR="00233A93">
        <w:rPr>
          <w:lang w:val="sk-SK"/>
        </w:rPr>
        <w:t xml:space="preserve">navrhnúť Národnej rade Slovenskej republiky postup pri hlasovaní o pozmeňujúcich a doplňujúcich návrhoch, ktoré vyplynuli z rozpravy </w:t>
      </w:r>
      <w:r>
        <w:rPr>
          <w:lang w:val="sk-SK"/>
        </w:rPr>
        <w:t xml:space="preserve">(§ 83 ods. 2 a ods. 4, § 84 ods. 2 a § 86 zákona č. 350/1996 Z. z.). </w:t>
      </w:r>
    </w:p>
    <w:p w:rsidR="00597395" w:rsidRPr="00C00821" w:rsidP="009655CD">
      <w:pPr>
        <w:pStyle w:val="BodyText3"/>
        <w:ind w:left="720"/>
        <w:rPr>
          <w:lang w:val="sk-SK"/>
        </w:rPr>
      </w:pPr>
    </w:p>
    <w:p w:rsidR="00EF184C" w:rsidP="009655CD">
      <w:pPr>
        <w:pStyle w:val="BodyText3"/>
        <w:ind w:left="720"/>
        <w:rPr>
          <w:lang w:val="sk-SK"/>
        </w:rPr>
      </w:pPr>
    </w:p>
    <w:p w:rsidR="00EF184C" w:rsidP="009655CD">
      <w:pPr>
        <w:pStyle w:val="BodyText3"/>
        <w:ind w:left="720"/>
        <w:rPr>
          <w:lang w:val="sk-SK"/>
        </w:rPr>
      </w:pPr>
    </w:p>
    <w:p w:rsidR="00233A93" w:rsidP="009655CD">
      <w:pPr>
        <w:pStyle w:val="BodyText2"/>
        <w:jc w:val="center"/>
      </w:pPr>
      <w:r>
        <w:t xml:space="preserve">Bratislava </w:t>
      </w:r>
      <w:r w:rsidR="009124B6">
        <w:t>14. októbra</w:t>
      </w:r>
      <w:r w:rsidR="00385F60">
        <w:t xml:space="preserve"> </w:t>
      </w:r>
      <w:r w:rsidR="00C23D38">
        <w:t>201</w:t>
      </w:r>
      <w:r w:rsidR="009A2FE0">
        <w:t>4</w:t>
      </w:r>
    </w:p>
    <w:p w:rsidR="00B94345" w:rsidP="009655CD">
      <w:pPr>
        <w:pStyle w:val="BodyText2"/>
      </w:pPr>
    </w:p>
    <w:p w:rsidR="00AB5099" w:rsidP="009655CD">
      <w:pPr>
        <w:pStyle w:val="BodyText2"/>
      </w:pPr>
    </w:p>
    <w:p w:rsidR="00613A37" w:rsidP="009655CD">
      <w:pPr>
        <w:pStyle w:val="BodyText2"/>
      </w:pPr>
    </w:p>
    <w:p w:rsidR="00D35084" w:rsidP="009655CD">
      <w:pPr>
        <w:pStyle w:val="BodyText2"/>
      </w:pPr>
    </w:p>
    <w:p w:rsidR="00075545" w:rsidP="009655CD">
      <w:pPr>
        <w:pStyle w:val="BodyText2"/>
      </w:pPr>
    </w:p>
    <w:p w:rsidR="00D35084" w:rsidP="009655CD">
      <w:pPr>
        <w:pStyle w:val="BodyText2"/>
      </w:pPr>
    </w:p>
    <w:p w:rsidR="00D35084" w:rsidP="009655CD">
      <w:pPr>
        <w:pStyle w:val="BodyText2"/>
      </w:pPr>
    </w:p>
    <w:p w:rsidR="00194A2B" w:rsidP="009655CD">
      <w:pPr>
        <w:pStyle w:val="BodyText2"/>
        <w:jc w:val="center"/>
        <w:rPr>
          <w:b/>
          <w:bCs/>
        </w:rPr>
      </w:pPr>
      <w:r w:rsidR="00C23D38">
        <w:rPr>
          <w:b/>
          <w:bCs/>
        </w:rPr>
        <w:t>Daniel  D u c h o</w:t>
      </w:r>
      <w:r w:rsidR="00D219D3">
        <w:rPr>
          <w:b/>
          <w:bCs/>
        </w:rPr>
        <w:t> </w:t>
      </w:r>
      <w:r w:rsidR="00C23D38">
        <w:rPr>
          <w:b/>
          <w:bCs/>
        </w:rPr>
        <w:t>ň</w:t>
      </w:r>
    </w:p>
    <w:p w:rsidR="00233A93" w:rsidP="009655CD">
      <w:pPr>
        <w:pStyle w:val="BodyText2"/>
        <w:jc w:val="center"/>
        <w:rPr>
          <w:b/>
          <w:bCs/>
        </w:rPr>
      </w:pPr>
      <w:r>
        <w:rPr>
          <w:b/>
          <w:bCs/>
        </w:rPr>
        <w:t xml:space="preserve">predseda </w:t>
      </w:r>
    </w:p>
    <w:p w:rsidR="00233A93" w:rsidP="009655CD">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55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673">
      <w:rPr>
        <w:rStyle w:val="PageNumber"/>
        <w:noProof/>
      </w:rPr>
      <w:t>20</w:t>
    </w:r>
    <w:r>
      <w:rPr>
        <w:rStyle w:val="PageNumber"/>
      </w:rPr>
      <w:fldChar w:fldCharType="end"/>
    </w:r>
  </w:p>
  <w:p w:rsidR="009655C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4F96FC2"/>
    <w:multiLevelType w:val="hybridMultilevel"/>
    <w:tmpl w:val="CBC009B0"/>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5E1ADE"/>
    <w:multiLevelType w:val="hybridMultilevel"/>
    <w:tmpl w:val="FB60552E"/>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4D7045"/>
    <w:multiLevelType w:val="singleLevel"/>
    <w:tmpl w:val="BE00993C"/>
    <w:lvl w:ilvl="0">
      <w:start w:val="1"/>
      <w:numFmt w:val="bullet"/>
      <w:lvlText w:val="-"/>
      <w:lvlJc w:val="left"/>
      <w:pPr>
        <w:tabs>
          <w:tab w:val="num" w:pos="1065"/>
        </w:tabs>
        <w:ind w:left="1065" w:hanging="360"/>
      </w:pPr>
    </w:lvl>
  </w:abstractNum>
  <w:abstractNum w:abstractNumId="6">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1">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2">
    <w:nsid w:val="190B5E58"/>
    <w:multiLevelType w:val="multilevel"/>
    <w:tmpl w:val="830E539E"/>
    <w:lvl w:ilvl="0">
      <w:start w:val="1"/>
      <w:numFmt w:val="decimal"/>
      <w:lvlText w:val="%1."/>
      <w:lvlJc w:val="left"/>
      <w:rPr>
        <w:b w:val="0"/>
        <w:strike w:val="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1DDD4E74"/>
    <w:multiLevelType w:val="hybridMultilevel"/>
    <w:tmpl w:val="559EE88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6">
    <w:nsid w:val="1E002C52"/>
    <w:multiLevelType w:val="hybridMultilevel"/>
    <w:tmpl w:val="999096FE"/>
    <w:lvl w:ilvl="0">
      <w:start w:val="2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4B86B86"/>
    <w:multiLevelType w:val="hybridMultilevel"/>
    <w:tmpl w:val="60646C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9">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21">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2">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2AF23A1"/>
    <w:multiLevelType w:val="hybridMultilevel"/>
    <w:tmpl w:val="3B64B9CA"/>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7">
    <w:nsid w:val="3B834BB1"/>
    <w:multiLevelType w:val="hybridMultilevel"/>
    <w:tmpl w:val="21EE2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9">
    <w:nsid w:val="40D165DA"/>
    <w:multiLevelType w:val="hybridMultilevel"/>
    <w:tmpl w:val="32FA0E1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2">
    <w:nsid w:val="4A56089E"/>
    <w:multiLevelType w:val="hybridMultilevel"/>
    <w:tmpl w:val="72D24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5">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5C4645E4"/>
    <w:multiLevelType w:val="hybridMultilevel"/>
    <w:tmpl w:val="B336CAE8"/>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8">
    <w:nsid w:val="60822D5C"/>
    <w:multiLevelType w:val="hybridMultilevel"/>
    <w:tmpl w:val="B5F4065C"/>
    <w:lvl w:ilvl="0">
      <w:start w:val="1"/>
      <w:numFmt w:val="ordinal"/>
      <w:lvlText w:val="55%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77B28EE"/>
    <w:multiLevelType w:val="hybridMultilevel"/>
    <w:tmpl w:val="7D4A0F60"/>
    <w:lvl w:ilvl="0">
      <w:start w:val="1"/>
      <w:numFmt w:val="decimal"/>
      <w:lvlText w:val="%1."/>
      <w:lvlJc w:val="left"/>
      <w:pPr>
        <w:ind w:left="4755" w:hanging="360"/>
      </w:pPr>
      <w:rPr>
        <w:rFonts w:hint="default"/>
      </w:rPr>
    </w:lvl>
    <w:lvl w:ilvl="1" w:tentative="1">
      <w:start w:val="1"/>
      <w:numFmt w:val="lowerLetter"/>
      <w:lvlText w:val="%2."/>
      <w:lvlJc w:val="left"/>
      <w:pPr>
        <w:ind w:left="5475" w:hanging="360"/>
      </w:pPr>
    </w:lvl>
    <w:lvl w:ilvl="2" w:tentative="1">
      <w:start w:val="1"/>
      <w:numFmt w:val="lowerRoman"/>
      <w:lvlText w:val="%3."/>
      <w:lvlJc w:val="right"/>
      <w:pPr>
        <w:ind w:left="6195" w:hanging="180"/>
      </w:pPr>
    </w:lvl>
    <w:lvl w:ilvl="3" w:tentative="1">
      <w:start w:val="1"/>
      <w:numFmt w:val="decimal"/>
      <w:lvlText w:val="%4."/>
      <w:lvlJc w:val="left"/>
      <w:pPr>
        <w:ind w:left="6915" w:hanging="360"/>
      </w:pPr>
    </w:lvl>
    <w:lvl w:ilvl="4" w:tentative="1">
      <w:start w:val="1"/>
      <w:numFmt w:val="lowerLetter"/>
      <w:lvlText w:val="%5."/>
      <w:lvlJc w:val="left"/>
      <w:pPr>
        <w:ind w:left="7635" w:hanging="360"/>
      </w:pPr>
    </w:lvl>
    <w:lvl w:ilvl="5" w:tentative="1">
      <w:start w:val="1"/>
      <w:numFmt w:val="lowerRoman"/>
      <w:lvlText w:val="%6."/>
      <w:lvlJc w:val="right"/>
      <w:pPr>
        <w:ind w:left="8355" w:hanging="180"/>
      </w:pPr>
    </w:lvl>
    <w:lvl w:ilvl="6" w:tentative="1">
      <w:start w:val="1"/>
      <w:numFmt w:val="decimal"/>
      <w:lvlText w:val="%7."/>
      <w:lvlJc w:val="left"/>
      <w:pPr>
        <w:ind w:left="9075" w:hanging="360"/>
      </w:pPr>
    </w:lvl>
    <w:lvl w:ilvl="7" w:tentative="1">
      <w:start w:val="1"/>
      <w:numFmt w:val="lowerLetter"/>
      <w:lvlText w:val="%8."/>
      <w:lvlJc w:val="left"/>
      <w:pPr>
        <w:ind w:left="9795" w:hanging="360"/>
      </w:pPr>
    </w:lvl>
    <w:lvl w:ilvl="8" w:tentative="1">
      <w:start w:val="1"/>
      <w:numFmt w:val="lowerRoman"/>
      <w:lvlText w:val="%9."/>
      <w:lvlJc w:val="right"/>
      <w:pPr>
        <w:ind w:left="10515" w:hanging="180"/>
      </w:pPr>
    </w:lvl>
  </w:abstractNum>
  <w:abstractNum w:abstractNumId="43">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37B0078"/>
    <w:multiLevelType w:val="hybridMultilevel"/>
    <w:tmpl w:val="3BC2FC04"/>
    <w:lvl w:ilvl="0">
      <w:start w:val="1"/>
      <w:numFmt w:val="decimal"/>
      <w:lvlText w:val="%1."/>
      <w:lvlJc w:val="left"/>
      <w:pPr>
        <w:ind w:left="927" w:hanging="360"/>
      </w:pPr>
      <w:rPr>
        <w:rFonts w:ascii="Times New Roman" w:hAnsi="Times New Roman" w:cs="Times New Roman" w:hint="default"/>
        <w:b/>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5"/>
    <w:lvlOverride w:ilvl="0"/>
  </w:num>
  <w:num w:numId="2">
    <w:abstractNumId w:val="26"/>
    <w:lvlOverride w:ilvl="0">
      <w:startOverride w:val="1"/>
    </w:lvlOverride>
  </w:num>
  <w:num w:numId="3">
    <w:abstractNumId w:val="40"/>
  </w:num>
  <w:num w:numId="4">
    <w:abstractNumId w:val="35"/>
  </w:num>
  <w:num w:numId="5">
    <w:abstractNumId w:val="22"/>
  </w:num>
  <w:num w:numId="6">
    <w:abstractNumId w:val="7"/>
  </w:num>
  <w:num w:numId="7">
    <w:abstractNumId w:val="33"/>
  </w:num>
  <w:num w:numId="8">
    <w:abstractNumId w:val="43"/>
  </w:num>
  <w:num w:numId="9">
    <w:abstractNumId w:val="25"/>
  </w:num>
  <w:num w:numId="10">
    <w:abstractNumId w:val="45"/>
  </w:num>
  <w:num w:numId="11">
    <w:abstractNumId w:val="1"/>
  </w:num>
  <w:num w:numId="12">
    <w:abstractNumId w:val="28"/>
  </w:num>
  <w:num w:numId="13">
    <w:abstractNumId w:val="6"/>
  </w:num>
  <w:num w:numId="14">
    <w:abstractNumId w:val="18"/>
  </w:num>
  <w:num w:numId="15">
    <w:abstractNumId w:val="20"/>
  </w:num>
  <w:num w:numId="16">
    <w:abstractNumId w:val="39"/>
  </w:num>
  <w:num w:numId="17">
    <w:abstractNumId w:val="9"/>
  </w:num>
  <w:num w:numId="18">
    <w:abstractNumId w:val="8"/>
  </w:num>
  <w:num w:numId="19">
    <w:abstractNumId w:val="0"/>
  </w:num>
  <w:num w:numId="20">
    <w:abstractNumId w:val="37"/>
  </w:num>
  <w:num w:numId="21">
    <w:abstractNumId w:val="31"/>
  </w:num>
  <w:num w:numId="22">
    <w:abstractNumId w:val="19"/>
  </w:num>
  <w:num w:numId="2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1"/>
  </w:num>
  <w:num w:numId="30">
    <w:abstractNumId w:val="21"/>
  </w:num>
  <w:num w:numId="31">
    <w:abstractNumId w:val="34"/>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6"/>
  </w:num>
  <w:num w:numId="37">
    <w:abstractNumId w:val="12"/>
  </w:num>
  <w:num w:numId="38">
    <w:abstractNumId w:val="15"/>
  </w:num>
  <w:num w:numId="39">
    <w:abstractNumId w:val="42"/>
  </w:num>
  <w:num w:numId="40">
    <w:abstractNumId w:val="36"/>
  </w:num>
  <w:num w:numId="41">
    <w:abstractNumId w:val="29"/>
  </w:num>
  <w:num w:numId="42">
    <w:abstractNumId w:val="29"/>
  </w:num>
  <w:num w:numId="43">
    <w:abstractNumId w:val="23"/>
  </w:num>
  <w:num w:numId="44">
    <w:abstractNumId w:val="3"/>
  </w:num>
  <w:num w:numId="45">
    <w:abstractNumId w:val="27"/>
  </w:num>
  <w:num w:numId="46">
    <w:abstractNumId w:val="38"/>
  </w:num>
  <w:num w:numId="47">
    <w:abstractNumId w:val="32"/>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4E87"/>
    <w:rsid w:val="00035163"/>
    <w:rsid w:val="00040487"/>
    <w:rsid w:val="00042BC8"/>
    <w:rsid w:val="00044158"/>
    <w:rsid w:val="0005018A"/>
    <w:rsid w:val="000523B0"/>
    <w:rsid w:val="00057821"/>
    <w:rsid w:val="00057C25"/>
    <w:rsid w:val="0006073C"/>
    <w:rsid w:val="00063ABC"/>
    <w:rsid w:val="00066E03"/>
    <w:rsid w:val="00070664"/>
    <w:rsid w:val="00070D97"/>
    <w:rsid w:val="000734C1"/>
    <w:rsid w:val="00073A82"/>
    <w:rsid w:val="00075545"/>
    <w:rsid w:val="0007603C"/>
    <w:rsid w:val="00077B17"/>
    <w:rsid w:val="00077CF9"/>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4D4"/>
    <w:rsid w:val="000B5DBA"/>
    <w:rsid w:val="000C2C95"/>
    <w:rsid w:val="000C2E4D"/>
    <w:rsid w:val="000C4558"/>
    <w:rsid w:val="000C4689"/>
    <w:rsid w:val="000C5A69"/>
    <w:rsid w:val="000C66DF"/>
    <w:rsid w:val="000C7DF5"/>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6A3"/>
    <w:rsid w:val="00105888"/>
    <w:rsid w:val="00115AB5"/>
    <w:rsid w:val="00117B22"/>
    <w:rsid w:val="00121DBF"/>
    <w:rsid w:val="00122BBB"/>
    <w:rsid w:val="00123B9E"/>
    <w:rsid w:val="001249FA"/>
    <w:rsid w:val="0012624C"/>
    <w:rsid w:val="0012677F"/>
    <w:rsid w:val="00132FDA"/>
    <w:rsid w:val="00133371"/>
    <w:rsid w:val="001336EB"/>
    <w:rsid w:val="0013720E"/>
    <w:rsid w:val="001379E8"/>
    <w:rsid w:val="00137ED1"/>
    <w:rsid w:val="00140EA4"/>
    <w:rsid w:val="00141A76"/>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B1"/>
    <w:rsid w:val="00194A2B"/>
    <w:rsid w:val="00196202"/>
    <w:rsid w:val="001A4AB1"/>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E50D0"/>
    <w:rsid w:val="001F071C"/>
    <w:rsid w:val="001F3DD4"/>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43E4D"/>
    <w:rsid w:val="00251E2A"/>
    <w:rsid w:val="00254F22"/>
    <w:rsid w:val="00260A9F"/>
    <w:rsid w:val="00260FCA"/>
    <w:rsid w:val="0026107A"/>
    <w:rsid w:val="002624A5"/>
    <w:rsid w:val="002626A1"/>
    <w:rsid w:val="00262E63"/>
    <w:rsid w:val="00263012"/>
    <w:rsid w:val="002631D1"/>
    <w:rsid w:val="002703B9"/>
    <w:rsid w:val="0027046F"/>
    <w:rsid w:val="00270D31"/>
    <w:rsid w:val="00271C31"/>
    <w:rsid w:val="00272F7C"/>
    <w:rsid w:val="002737DD"/>
    <w:rsid w:val="002741E7"/>
    <w:rsid w:val="002750BB"/>
    <w:rsid w:val="002812D2"/>
    <w:rsid w:val="00281F8A"/>
    <w:rsid w:val="00284EDF"/>
    <w:rsid w:val="002869E9"/>
    <w:rsid w:val="00292B7A"/>
    <w:rsid w:val="002939EE"/>
    <w:rsid w:val="00294D26"/>
    <w:rsid w:val="00295B15"/>
    <w:rsid w:val="002A095E"/>
    <w:rsid w:val="002A3B7A"/>
    <w:rsid w:val="002A3B85"/>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1023"/>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69F7"/>
    <w:rsid w:val="003079DA"/>
    <w:rsid w:val="0031063E"/>
    <w:rsid w:val="00312C55"/>
    <w:rsid w:val="00315803"/>
    <w:rsid w:val="00315E6D"/>
    <w:rsid w:val="003169EC"/>
    <w:rsid w:val="00316EBA"/>
    <w:rsid w:val="00317A71"/>
    <w:rsid w:val="00322ED7"/>
    <w:rsid w:val="00324934"/>
    <w:rsid w:val="00327C8B"/>
    <w:rsid w:val="00330204"/>
    <w:rsid w:val="003309F1"/>
    <w:rsid w:val="00333732"/>
    <w:rsid w:val="00333F8B"/>
    <w:rsid w:val="00334C96"/>
    <w:rsid w:val="00334FE3"/>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511"/>
    <w:rsid w:val="00371D6E"/>
    <w:rsid w:val="003739E6"/>
    <w:rsid w:val="0038006F"/>
    <w:rsid w:val="0038102A"/>
    <w:rsid w:val="00382300"/>
    <w:rsid w:val="00384953"/>
    <w:rsid w:val="00385E48"/>
    <w:rsid w:val="00385F60"/>
    <w:rsid w:val="0038611B"/>
    <w:rsid w:val="003906B5"/>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C4815"/>
    <w:rsid w:val="003D6EDC"/>
    <w:rsid w:val="003D7154"/>
    <w:rsid w:val="003E0950"/>
    <w:rsid w:val="003E1359"/>
    <w:rsid w:val="003E55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1BB"/>
    <w:rsid w:val="00460624"/>
    <w:rsid w:val="00460BBF"/>
    <w:rsid w:val="00460D0F"/>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B750F"/>
    <w:rsid w:val="004C09B4"/>
    <w:rsid w:val="004C0AB4"/>
    <w:rsid w:val="004C23D9"/>
    <w:rsid w:val="004C306A"/>
    <w:rsid w:val="004C388C"/>
    <w:rsid w:val="004C3BF1"/>
    <w:rsid w:val="004C514A"/>
    <w:rsid w:val="004C7EBC"/>
    <w:rsid w:val="004D2103"/>
    <w:rsid w:val="004E16E7"/>
    <w:rsid w:val="004E1881"/>
    <w:rsid w:val="004E491F"/>
    <w:rsid w:val="004E67F6"/>
    <w:rsid w:val="004F359E"/>
    <w:rsid w:val="004F35DC"/>
    <w:rsid w:val="004F4E0B"/>
    <w:rsid w:val="004F6AE3"/>
    <w:rsid w:val="004F7FF6"/>
    <w:rsid w:val="0050173C"/>
    <w:rsid w:val="00501B42"/>
    <w:rsid w:val="00502BED"/>
    <w:rsid w:val="00503265"/>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628B4"/>
    <w:rsid w:val="00562F0E"/>
    <w:rsid w:val="0056306F"/>
    <w:rsid w:val="005658DD"/>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1E01"/>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14BA"/>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A3673"/>
    <w:rsid w:val="006B6BA7"/>
    <w:rsid w:val="006B79F2"/>
    <w:rsid w:val="006C5BC2"/>
    <w:rsid w:val="006D0919"/>
    <w:rsid w:val="006D1500"/>
    <w:rsid w:val="006D2328"/>
    <w:rsid w:val="006D3158"/>
    <w:rsid w:val="006D3863"/>
    <w:rsid w:val="006D5802"/>
    <w:rsid w:val="006D63E4"/>
    <w:rsid w:val="006D6483"/>
    <w:rsid w:val="006D6AA3"/>
    <w:rsid w:val="006E1FB2"/>
    <w:rsid w:val="006E3117"/>
    <w:rsid w:val="006E3683"/>
    <w:rsid w:val="006E4D55"/>
    <w:rsid w:val="006E58E3"/>
    <w:rsid w:val="006F6DFA"/>
    <w:rsid w:val="006F7A95"/>
    <w:rsid w:val="007001A6"/>
    <w:rsid w:val="00704953"/>
    <w:rsid w:val="007053A1"/>
    <w:rsid w:val="007058F0"/>
    <w:rsid w:val="00705A85"/>
    <w:rsid w:val="00707EDE"/>
    <w:rsid w:val="00707FD4"/>
    <w:rsid w:val="007104F1"/>
    <w:rsid w:val="0071089E"/>
    <w:rsid w:val="00710DB5"/>
    <w:rsid w:val="0071180F"/>
    <w:rsid w:val="007121A8"/>
    <w:rsid w:val="007134E2"/>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1A66"/>
    <w:rsid w:val="007C5E78"/>
    <w:rsid w:val="007D15CA"/>
    <w:rsid w:val="007D2531"/>
    <w:rsid w:val="007D2724"/>
    <w:rsid w:val="007D5D65"/>
    <w:rsid w:val="007D65E5"/>
    <w:rsid w:val="007D6AC6"/>
    <w:rsid w:val="007D77A1"/>
    <w:rsid w:val="007E01FF"/>
    <w:rsid w:val="007E0AA2"/>
    <w:rsid w:val="007E2AF9"/>
    <w:rsid w:val="007E5CDC"/>
    <w:rsid w:val="007E661E"/>
    <w:rsid w:val="007F1816"/>
    <w:rsid w:val="007F1915"/>
    <w:rsid w:val="007F1C89"/>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46BC"/>
    <w:rsid w:val="008373E5"/>
    <w:rsid w:val="00840569"/>
    <w:rsid w:val="00840E28"/>
    <w:rsid w:val="008413C8"/>
    <w:rsid w:val="0084193C"/>
    <w:rsid w:val="00843C04"/>
    <w:rsid w:val="008444C0"/>
    <w:rsid w:val="00846B8E"/>
    <w:rsid w:val="008476F1"/>
    <w:rsid w:val="00847AC9"/>
    <w:rsid w:val="0085078D"/>
    <w:rsid w:val="0085353E"/>
    <w:rsid w:val="0085359D"/>
    <w:rsid w:val="008537A3"/>
    <w:rsid w:val="00853F26"/>
    <w:rsid w:val="00853FD0"/>
    <w:rsid w:val="00866BDE"/>
    <w:rsid w:val="008713C5"/>
    <w:rsid w:val="00873586"/>
    <w:rsid w:val="0087403B"/>
    <w:rsid w:val="008745D9"/>
    <w:rsid w:val="0087494D"/>
    <w:rsid w:val="00875134"/>
    <w:rsid w:val="00875152"/>
    <w:rsid w:val="0087761F"/>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44F"/>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65D"/>
    <w:rsid w:val="008F5793"/>
    <w:rsid w:val="008F7462"/>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533E"/>
    <w:rsid w:val="00956145"/>
    <w:rsid w:val="00956D9A"/>
    <w:rsid w:val="00960B8A"/>
    <w:rsid w:val="0096411C"/>
    <w:rsid w:val="009655CD"/>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2FE0"/>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8EE"/>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33D0"/>
    <w:rsid w:val="00A241CC"/>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B43"/>
    <w:rsid w:val="00AA3C33"/>
    <w:rsid w:val="00AA3EC8"/>
    <w:rsid w:val="00AA5221"/>
    <w:rsid w:val="00AA557C"/>
    <w:rsid w:val="00AA6C0C"/>
    <w:rsid w:val="00AB49D8"/>
    <w:rsid w:val="00AB5099"/>
    <w:rsid w:val="00AB6C5E"/>
    <w:rsid w:val="00AB7CFA"/>
    <w:rsid w:val="00AC0470"/>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74C2"/>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6739C"/>
    <w:rsid w:val="00B72B50"/>
    <w:rsid w:val="00B77420"/>
    <w:rsid w:val="00B804A9"/>
    <w:rsid w:val="00B81732"/>
    <w:rsid w:val="00B93881"/>
    <w:rsid w:val="00B94345"/>
    <w:rsid w:val="00B94F5C"/>
    <w:rsid w:val="00B9709D"/>
    <w:rsid w:val="00BA0BE8"/>
    <w:rsid w:val="00BA0FD9"/>
    <w:rsid w:val="00BA43CC"/>
    <w:rsid w:val="00BA6BF8"/>
    <w:rsid w:val="00BA6F6E"/>
    <w:rsid w:val="00BA7A09"/>
    <w:rsid w:val="00BB0E07"/>
    <w:rsid w:val="00BB3905"/>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BF6BF2"/>
    <w:rsid w:val="00C00175"/>
    <w:rsid w:val="00C00821"/>
    <w:rsid w:val="00C00988"/>
    <w:rsid w:val="00C00DFF"/>
    <w:rsid w:val="00C00E1E"/>
    <w:rsid w:val="00C06292"/>
    <w:rsid w:val="00C1056F"/>
    <w:rsid w:val="00C14BCD"/>
    <w:rsid w:val="00C15284"/>
    <w:rsid w:val="00C17B1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00B4"/>
    <w:rsid w:val="00C93D3C"/>
    <w:rsid w:val="00C96D24"/>
    <w:rsid w:val="00C978B6"/>
    <w:rsid w:val="00CA3FE2"/>
    <w:rsid w:val="00CA4492"/>
    <w:rsid w:val="00CA4EB3"/>
    <w:rsid w:val="00CA6CDA"/>
    <w:rsid w:val="00CB1670"/>
    <w:rsid w:val="00CB3457"/>
    <w:rsid w:val="00CB37BF"/>
    <w:rsid w:val="00CB5CFF"/>
    <w:rsid w:val="00CC1CC4"/>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19D3"/>
    <w:rsid w:val="00D24BC0"/>
    <w:rsid w:val="00D2644C"/>
    <w:rsid w:val="00D2759E"/>
    <w:rsid w:val="00D311CA"/>
    <w:rsid w:val="00D3131A"/>
    <w:rsid w:val="00D33D20"/>
    <w:rsid w:val="00D35084"/>
    <w:rsid w:val="00D3523E"/>
    <w:rsid w:val="00D365D2"/>
    <w:rsid w:val="00D36E81"/>
    <w:rsid w:val="00D37510"/>
    <w:rsid w:val="00D37E15"/>
    <w:rsid w:val="00D41E92"/>
    <w:rsid w:val="00D45D6F"/>
    <w:rsid w:val="00D4791F"/>
    <w:rsid w:val="00D529B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2C15"/>
    <w:rsid w:val="00D83556"/>
    <w:rsid w:val="00D86FAE"/>
    <w:rsid w:val="00D925DE"/>
    <w:rsid w:val="00D92E17"/>
    <w:rsid w:val="00D93025"/>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091"/>
    <w:rsid w:val="00E13BBE"/>
    <w:rsid w:val="00E21951"/>
    <w:rsid w:val="00E24C65"/>
    <w:rsid w:val="00E26516"/>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365"/>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D75C3"/>
    <w:rsid w:val="00EE5306"/>
    <w:rsid w:val="00EF0228"/>
    <w:rsid w:val="00EF184C"/>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627C6"/>
    <w:rsid w:val="00F62899"/>
    <w:rsid w:val="00F65810"/>
    <w:rsid w:val="00F732A2"/>
    <w:rsid w:val="00F80EC4"/>
    <w:rsid w:val="00F81EFD"/>
    <w:rsid w:val="00F84983"/>
    <w:rsid w:val="00F86FC6"/>
    <w:rsid w:val="00F87E72"/>
    <w:rsid w:val="00F93455"/>
    <w:rsid w:val="00F9370B"/>
    <w:rsid w:val="00F94F33"/>
    <w:rsid w:val="00F96B4B"/>
    <w:rsid w:val="00F96EB2"/>
    <w:rsid w:val="00FA0D44"/>
    <w:rsid w:val="00FA1F7D"/>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link w:val="Zkladntext3Char"/>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uiPriority w:val="22"/>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Zkladntext3Char">
    <w:name w:val="Základný text 3 Char"/>
    <w:link w:val="BodyText3"/>
    <w:rsid w:val="00C00821"/>
    <w:rPr>
      <w:sz w:val="24"/>
      <w:lang w:val="cs-CZ"/>
    </w:rPr>
  </w:style>
  <w:style w:type="paragraph" w:styleId="NormalWeb">
    <w:name w:val="Normal (Web)"/>
    <w:basedOn w:val="Normal"/>
    <w:uiPriority w:val="99"/>
    <w:unhideWhenUsed/>
    <w:rsid w:val="0037151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2457</TotalTime>
  <Pages>21</Pages>
  <Words>6506</Words>
  <Characters>37086</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43505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823</cp:revision>
  <cp:lastPrinted>2014-10-14T13:48:00Z</cp:lastPrinted>
  <dcterms:created xsi:type="dcterms:W3CDTF">2002-11-04T12:16:00Z</dcterms:created>
  <dcterms:modified xsi:type="dcterms:W3CDTF">2014-10-14T13:49:00Z</dcterms:modified>
</cp:coreProperties>
</file>