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C93552">
        <w:t>7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73F35">
        <w:t>1576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073F35" w:rsidP="00067F0B">
      <w:pPr>
        <w:ind w:left="3540" w:firstLine="708"/>
        <w:rPr>
          <w:b/>
        </w:rPr>
      </w:pPr>
      <w:r w:rsidR="00A438BD">
        <w:rPr>
          <w:b/>
        </w:rPr>
        <w:t xml:space="preserve">        344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C93552">
        <w:rPr>
          <w:b/>
        </w:rPr>
        <w:t>7</w:t>
      </w:r>
      <w:r w:rsidR="00C72FBD">
        <w:rPr>
          <w:b/>
        </w:rPr>
        <w:t xml:space="preserve">. </w:t>
      </w:r>
      <w:r w:rsidR="00C93552">
        <w:rPr>
          <w:b/>
        </w:rPr>
        <w:t>októbra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656EC5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B5E31" w:rsidR="006B5E31">
        <w:rPr>
          <w:bCs w:val="0"/>
        </w:rPr>
        <w:t xml:space="preserve"> </w:t>
      </w:r>
      <w:r w:rsidR="00073F35">
        <w:rPr>
          <w:bCs w:val="0"/>
        </w:rPr>
        <w:t>v</w:t>
      </w:r>
      <w:r w:rsidRPr="00073F35" w:rsidR="00073F35">
        <w:t>ládny návrh zákona o dani z motorových vozidiel a o zmene a doplnení niektorých zákonov (tlač 1122)</w:t>
      </w:r>
      <w:r w:rsidR="00073F35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073F35">
        <w:rPr>
          <w:bCs w:val="0"/>
        </w:rPr>
        <w:t>v</w:t>
      </w:r>
      <w:r w:rsidRPr="00073F35" w:rsidR="00073F35">
        <w:t>ládny</w:t>
      </w:r>
      <w:r w:rsidR="00073F35">
        <w:t>m</w:t>
      </w:r>
      <w:r w:rsidRPr="00073F35" w:rsidR="00073F35">
        <w:t xml:space="preserve"> návrh</w:t>
      </w:r>
      <w:r w:rsidR="00073F35">
        <w:t>om</w:t>
      </w:r>
      <w:r w:rsidRPr="00073F35" w:rsidR="00073F35">
        <w:t xml:space="preserve"> zákona o dani z motorových vozidiel a o zmene a doplnení niektorých zákonov (tlač 1122)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073F35" w:rsidR="00073F35">
        <w:rPr>
          <w:b w:val="0"/>
          <w:bCs w:val="0"/>
        </w:rPr>
        <w:t>v</w:t>
      </w:r>
      <w:r w:rsidRPr="00073F35" w:rsidR="00073F35">
        <w:rPr>
          <w:b w:val="0"/>
        </w:rPr>
        <w:t>ládny návrh zákona o dani z motorových vozidiel a o zmene a doplnení niektorých zákonov (tlač 1122)</w:t>
      </w:r>
      <w:r w:rsidR="00073F35">
        <w:t xml:space="preserve"> </w:t>
      </w:r>
      <w:r w:rsidR="00090B67">
        <w:t>schváliť s pozmeňujúcim</w:t>
      </w:r>
      <w:r w:rsidR="00073F35">
        <w:t>i</w:t>
      </w:r>
      <w:r w:rsidR="00090B67">
        <w:t xml:space="preserve"> a doplňuj</w:t>
      </w:r>
      <w:r w:rsidR="00090B67">
        <w:t>úcim</w:t>
      </w:r>
      <w:r w:rsidR="00073F35">
        <w:t>i</w:t>
      </w:r>
      <w:r w:rsidR="00090B67">
        <w:t xml:space="preserve"> návrhm</w:t>
      </w:r>
      <w:r w:rsidR="00073F35">
        <w:t>i tak, ako sú</w:t>
      </w:r>
      <w:r w:rsidR="00090B67">
        <w:t xml:space="preserve"> uveden</w:t>
      </w:r>
      <w:r w:rsidR="00073F35">
        <w:t>é</w:t>
      </w:r>
      <w:r w:rsidR="00090B67">
        <w:t xml:space="preserve">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  <w:r w:rsidRPr="006229BF">
        <w:rPr>
          <w:lang w:val="sk-SK"/>
        </w:rPr>
        <w:t>informovať predsedu Národnej rady Slovenskej republiky o výsledku prerokovania uvedeného vládneho návrhu zákona vo výbore.</w:t>
      </w: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</w:t>
      </w:r>
      <w:r w:rsidR="00E20A99">
        <w:t xml:space="preserve">                          </w:t>
      </w:r>
    </w:p>
    <w:p w:rsidR="00AC2960" w:rsidP="00C739C2"/>
    <w:p w:rsidR="00073F35" w:rsidP="00C739C2"/>
    <w:p w:rsidR="00073F35" w:rsidP="00C739C2"/>
    <w:p w:rsidR="006B5E31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6B5E31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</w:rPr>
        <w:t xml:space="preserve">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A438BD">
        <w:rPr>
          <w:b/>
        </w:rPr>
        <w:t>344</w:t>
      </w:r>
    </w:p>
    <w:p w:rsidR="000D14F9" w:rsidRPr="003371B9" w:rsidP="000D14F9">
      <w:pPr>
        <w:jc w:val="right"/>
      </w:pPr>
      <w:r w:rsidR="008C471D">
        <w:rPr>
          <w:bCs w:val="0"/>
        </w:rPr>
        <w:t>5</w:t>
      </w:r>
      <w:r w:rsidR="00C93552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073F35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073F35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073F35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073F35">
        <w:rPr>
          <w:bCs w:val="0"/>
        </w:rPr>
        <w:t>v</w:t>
      </w:r>
      <w:r w:rsidRPr="00073F35" w:rsidR="00073F35">
        <w:t>ládn</w:t>
      </w:r>
      <w:r w:rsidR="00073F35">
        <w:t>emu</w:t>
      </w:r>
      <w:r w:rsidRPr="00073F35" w:rsidR="00073F35">
        <w:t xml:space="preserve"> návrh</w:t>
      </w:r>
      <w:r w:rsidR="00073F35">
        <w:t>u</w:t>
      </w:r>
      <w:r w:rsidRPr="00073F35" w:rsidR="00073F35">
        <w:t xml:space="preserve"> zákona o dani z motorových vozidiel a o zmene a doplnení niektorých zákonov (tlač 1122)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0D14F9">
        <w:rPr>
          <w:b/>
          <w:bCs w:val="0"/>
        </w:rPr>
        <w:t xml:space="preserve">–––––––  </w:t>
      </w:r>
    </w:p>
    <w:p w:rsidR="00DB7094" w:rsidP="00B84A9D">
      <w:pPr>
        <w:rPr>
          <w:b/>
          <w:bCs w:val="0"/>
        </w:rPr>
      </w:pPr>
    </w:p>
    <w:p w:rsidR="00A438BD" w:rsidRPr="00A438BD" w:rsidP="00DB7094">
      <w:pPr>
        <w:pStyle w:val="ListParagraph"/>
        <w:spacing w:after="0" w:line="240" w:lineRule="auto"/>
        <w:ind w:left="0"/>
        <w:contextualSpacing w:val="0"/>
        <w:jc w:val="both"/>
        <w:rPr>
          <w:rStyle w:val="Emphasis"/>
          <w:rFonts w:ascii="Times New Roman" w:eastAsia="Calibri" w:hAnsi="Times New Roman"/>
          <w:i w:val="0"/>
          <w:sz w:val="24"/>
          <w:szCs w:val="24"/>
        </w:rPr>
      </w:pPr>
      <w:r w:rsidRPr="00DB7094" w:rsidR="00DB7094">
        <w:rPr>
          <w:rFonts w:ascii="Times New Roman" w:hAnsi="Times New Roman"/>
          <w:b/>
          <w:sz w:val="24"/>
          <w:szCs w:val="24"/>
        </w:rPr>
        <w:t xml:space="preserve">1. </w:t>
      </w:r>
      <w:r w:rsidRPr="00DB7094">
        <w:rPr>
          <w:rFonts w:ascii="Times New Roman" w:hAnsi="Times New Roman"/>
          <w:b/>
          <w:sz w:val="24"/>
          <w:szCs w:val="24"/>
        </w:rPr>
        <w:t>V čl. I, § 7 ods. 4 písm. b)</w:t>
      </w:r>
      <w:r w:rsidRPr="00A438BD">
        <w:rPr>
          <w:rStyle w:val="Emphasis"/>
          <w:rFonts w:ascii="Times New Roman" w:eastAsia="Calibri" w:hAnsi="Times New Roman"/>
          <w:sz w:val="24"/>
          <w:szCs w:val="24"/>
        </w:rPr>
        <w:t xml:space="preserve"> </w:t>
      </w:r>
      <w:r w:rsidRPr="00A438BD">
        <w:rPr>
          <w:rStyle w:val="Emphasis"/>
          <w:rFonts w:ascii="Times New Roman" w:eastAsia="Calibri" w:hAnsi="Times New Roman"/>
          <w:i w:val="0"/>
          <w:sz w:val="24"/>
          <w:szCs w:val="24"/>
        </w:rPr>
        <w:t>poznámka pod čiarou k odkazu 9 znie:</w:t>
      </w:r>
      <w:r w:rsidRPr="00A438BD">
        <w:rPr>
          <w:rFonts w:ascii="Times New Roman" w:hAnsi="Times New Roman"/>
          <w:i/>
          <w:sz w:val="24"/>
          <w:szCs w:val="24"/>
        </w:rPr>
        <w:tab/>
      </w:r>
      <w:r w:rsidRPr="00A438BD">
        <w:rPr>
          <w:rStyle w:val="Emphasis"/>
          <w:rFonts w:ascii="Times New Roman" w:eastAsia="Calibri" w:hAnsi="Times New Roman"/>
          <w:i w:val="0"/>
          <w:sz w:val="24"/>
          <w:szCs w:val="24"/>
        </w:rPr>
        <w:t xml:space="preserve"> </w:t>
      </w:r>
    </w:p>
    <w:p w:rsidR="00A438BD" w:rsidRPr="00A438BD" w:rsidP="00DB7094">
      <w:pPr>
        <w:pStyle w:val="FootnoteText"/>
        <w:ind w:left="284"/>
        <w:rPr>
          <w:sz w:val="24"/>
          <w:szCs w:val="24"/>
        </w:rPr>
      </w:pPr>
      <w:r w:rsidRPr="00A438BD">
        <w:rPr>
          <w:rStyle w:val="Emphasis"/>
          <w:rFonts w:eastAsia="Calibri"/>
          <w:i w:val="0"/>
          <w:sz w:val="24"/>
          <w:szCs w:val="24"/>
        </w:rPr>
        <w:t>„</w:t>
      </w:r>
      <w:r w:rsidRPr="00A438BD">
        <w:rPr>
          <w:rStyle w:val="Emphasis"/>
          <w:rFonts w:eastAsia="Calibri"/>
          <w:i w:val="0"/>
          <w:sz w:val="24"/>
          <w:szCs w:val="24"/>
          <w:vertAlign w:val="superscript"/>
        </w:rPr>
        <w:t>9</w:t>
      </w:r>
      <w:r w:rsidRPr="00A438BD">
        <w:rPr>
          <w:rStyle w:val="Emphasis"/>
          <w:rFonts w:eastAsia="Calibri"/>
          <w:i w:val="0"/>
          <w:sz w:val="24"/>
          <w:szCs w:val="24"/>
        </w:rPr>
        <w:t>)</w:t>
      </w:r>
      <w:r w:rsidRPr="00A438BD">
        <w:rPr>
          <w:rStyle w:val="Emphasis"/>
          <w:rFonts w:eastAsia="Calibri"/>
          <w:sz w:val="24"/>
          <w:szCs w:val="24"/>
        </w:rPr>
        <w:t xml:space="preserve"> </w:t>
      </w:r>
      <w:r w:rsidRPr="00A438BD">
        <w:rPr>
          <w:sz w:val="24"/>
          <w:szCs w:val="24"/>
        </w:rPr>
        <w:t xml:space="preserve">Dohoda o prijatí jednotných podmienok pre homologáciu (overovanie zhodnosti) a vzájomnom uznávaní homologácie výstroja a súčastí motorových vozidiel (vyhláška ministra zahraničných vecí č. 176/1960 Zb.). </w:t>
      </w:r>
    </w:p>
    <w:p w:rsidR="00A438BD" w:rsidRPr="00A438BD" w:rsidP="00DB7094">
      <w:pPr>
        <w:pStyle w:val="FootnoteText"/>
        <w:ind w:left="284"/>
        <w:rPr>
          <w:sz w:val="24"/>
          <w:szCs w:val="24"/>
        </w:rPr>
      </w:pPr>
      <w:r w:rsidRPr="00A438BD">
        <w:rPr>
          <w:sz w:val="24"/>
          <w:szCs w:val="24"/>
        </w:rPr>
        <w:t>Oznámenie Ministerstva zahraničných vecí Slovenskej republiky č. 245/1996 Z. z. o uskutočnení notifikácie sukcesie Slovenskej republiky do Dohody o prijatí jednotných podmienok pre homologáciu (overovanie zhodnosti) a vzájomnom uznávaní homologácie výstroja a súčastí motorových vozidiel.</w:t>
      </w:r>
    </w:p>
    <w:p w:rsidR="00A438BD" w:rsidRPr="00A438BD" w:rsidP="00DB7094">
      <w:pPr>
        <w:pStyle w:val="FootnoteText"/>
        <w:ind w:left="284"/>
        <w:rPr>
          <w:iCs/>
          <w:sz w:val="24"/>
          <w:szCs w:val="24"/>
        </w:rPr>
      </w:pPr>
      <w:r w:rsidRPr="00A438BD">
        <w:rPr>
          <w:rStyle w:val="Strong"/>
          <w:rFonts w:eastAsia="Calibri"/>
          <w:b w:val="0"/>
          <w:sz w:val="24"/>
          <w:szCs w:val="24"/>
        </w:rPr>
        <w:t xml:space="preserve">Predpis Európskej hospodárskej komisie Organizácie Spojených národov (EHK OSN) č. 110 – Jednotné ustanovenia o typovom schvaľovaní I. špecifických súčastí motorových vozidiel používajúcich stlačený zemný plyn (CNG) v svojich pohonných systémoch; – II. vozidiel vzhľadom na inštaláciu špecifických súčastí schváleného typu na použitie stlačeného zemného plynu vo svojich pohonných systémoch </w:t>
      </w:r>
      <w:r w:rsidRPr="00A438BD">
        <w:rPr>
          <w:rStyle w:val="Strong"/>
          <w:b w:val="0"/>
          <w:sz w:val="24"/>
          <w:szCs w:val="24"/>
        </w:rPr>
        <w:t>(</w:t>
      </w:r>
      <w:r w:rsidRPr="00A438BD">
        <w:rPr>
          <w:iCs/>
          <w:sz w:val="24"/>
          <w:szCs w:val="24"/>
        </w:rPr>
        <w:t>Ú. v. EÚ L 120, 07.05.2011).“.</w:t>
      </w:r>
    </w:p>
    <w:p w:rsidR="00A438BD" w:rsidP="00A438BD">
      <w:pPr>
        <w:pStyle w:val="FootnoteText"/>
        <w:ind w:left="3119"/>
        <w:rPr>
          <w:sz w:val="24"/>
          <w:szCs w:val="24"/>
        </w:rPr>
      </w:pPr>
    </w:p>
    <w:p w:rsidR="00A438BD" w:rsidRPr="00A438BD" w:rsidP="00A438BD">
      <w:pPr>
        <w:pStyle w:val="FootnoteText"/>
        <w:ind w:left="3119"/>
        <w:rPr>
          <w:sz w:val="24"/>
          <w:szCs w:val="24"/>
        </w:rPr>
      </w:pPr>
      <w:r w:rsidRPr="00A438BD">
        <w:rPr>
          <w:sz w:val="24"/>
          <w:szCs w:val="24"/>
        </w:rPr>
        <w:t>Legislatívno-technická pripomienka súvisiaca so zaužívaným spôsobom uvádzania medzinárodných zmlúv a predpisov v poznámke pod čiarou.</w:t>
      </w:r>
    </w:p>
    <w:p w:rsidR="00A438BD" w:rsidP="00A438BD">
      <w:pPr>
        <w:pStyle w:val="FootnoteText"/>
        <w:ind w:left="3119"/>
        <w:rPr>
          <w:sz w:val="24"/>
          <w:szCs w:val="24"/>
        </w:rPr>
      </w:pPr>
    </w:p>
    <w:p w:rsidR="00DB7094" w:rsidRPr="00DB7094" w:rsidP="00DB7094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DB7094">
        <w:rPr>
          <w:rFonts w:eastAsia="Calibri"/>
          <w:b/>
          <w:lang w:eastAsia="en-US"/>
        </w:rPr>
        <w:t>V </w:t>
      </w:r>
      <w:r>
        <w:rPr>
          <w:rFonts w:eastAsia="Calibri"/>
          <w:b/>
          <w:lang w:eastAsia="en-US"/>
        </w:rPr>
        <w:t>č</w:t>
      </w:r>
      <w:r w:rsidRPr="00DB7094">
        <w:rPr>
          <w:rFonts w:eastAsia="Calibri"/>
          <w:b/>
          <w:lang w:eastAsia="en-US"/>
        </w:rPr>
        <w:t xml:space="preserve">l. I v § 7 ods. 5 </w:t>
      </w:r>
      <w:r w:rsidRPr="00DB7094">
        <w:rPr>
          <w:rFonts w:eastAsia="Calibri"/>
          <w:lang w:eastAsia="en-US"/>
        </w:rPr>
        <w:t>sa nad slovo „dopravy“ umiestňuje odkaz 11.</w:t>
      </w:r>
    </w:p>
    <w:p w:rsidR="00DB7094" w:rsidRPr="00DB7094" w:rsidP="00DB7094">
      <w:pPr>
        <w:rPr>
          <w:rFonts w:eastAsia="Calibri"/>
          <w:b/>
          <w:lang w:eastAsia="en-US"/>
        </w:rPr>
      </w:pPr>
    </w:p>
    <w:p w:rsidR="00DB7094" w:rsidRPr="00DB7094" w:rsidP="00DB7094">
      <w:pPr>
        <w:ind w:left="2832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 xml:space="preserve">Ide o legislatívno-technickú úpravu súvisiacu s navrhovaným vypustením § </w:t>
      </w:r>
      <w:r w:rsidRPr="00DB7094">
        <w:rPr>
          <w:rFonts w:eastAsia="Calibri"/>
          <w:bCs w:val="0"/>
          <w:lang w:eastAsia="en-US"/>
        </w:rPr>
        <w:t>8 návrhu zákona.</w:t>
      </w:r>
    </w:p>
    <w:p w:rsidR="00DB7094" w:rsidRPr="00DB7094" w:rsidP="00DB7094">
      <w:pPr>
        <w:rPr>
          <w:rFonts w:eastAsia="Calibri"/>
          <w:b/>
          <w:lang w:eastAsia="en-US"/>
        </w:rPr>
      </w:pPr>
    </w:p>
    <w:p w:rsidR="00DB7094" w:rsidRPr="00DB7094" w:rsidP="00DB7094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3. </w:t>
      </w:r>
      <w:r w:rsidRPr="00DB7094">
        <w:rPr>
          <w:rFonts w:eastAsia="Calibri"/>
          <w:b/>
          <w:lang w:eastAsia="en-US"/>
        </w:rPr>
        <w:t>V </w:t>
      </w:r>
      <w:r>
        <w:rPr>
          <w:rFonts w:eastAsia="Calibri"/>
          <w:b/>
          <w:lang w:eastAsia="en-US"/>
        </w:rPr>
        <w:t>č</w:t>
      </w:r>
      <w:r w:rsidRPr="00DB7094">
        <w:rPr>
          <w:rFonts w:eastAsia="Calibri"/>
          <w:b/>
          <w:lang w:eastAsia="en-US"/>
        </w:rPr>
        <w:t xml:space="preserve">l. I sa § 7 dopĺňa odsekmi 7 a 8, </w:t>
      </w:r>
      <w:r w:rsidRPr="00DB7094">
        <w:rPr>
          <w:rFonts w:eastAsia="Calibri"/>
          <w:lang w:eastAsia="en-US"/>
        </w:rPr>
        <w:t>ktoré znejú:</w:t>
      </w:r>
    </w:p>
    <w:p w:rsidR="00DB7094" w:rsidRPr="00DB7094" w:rsidP="00DB7094">
      <w:pPr>
        <w:ind w:left="284"/>
        <w:jc w:val="both"/>
        <w:rPr>
          <w:rFonts w:eastAsia="Calibri"/>
          <w:lang w:eastAsia="en-US"/>
        </w:rPr>
      </w:pPr>
      <w:r w:rsidRPr="00DB7094">
        <w:rPr>
          <w:rFonts w:eastAsia="Calibri"/>
          <w:lang w:eastAsia="en-US"/>
        </w:rPr>
        <w:t>„(7) Použitie vozidla kategórie N a O v rámci kombinovanej dopravy daňovník preukáže potvrdením intermodálneho terminálu na prepravnom doklade.</w:t>
      </w:r>
    </w:p>
    <w:p w:rsidR="00DB7094" w:rsidRPr="00DB7094" w:rsidP="00DB7094">
      <w:pPr>
        <w:jc w:val="both"/>
        <w:rPr>
          <w:rFonts w:eastAsia="Calibri"/>
          <w:lang w:eastAsia="en-US"/>
        </w:rPr>
      </w:pPr>
    </w:p>
    <w:p w:rsidR="00DB7094" w:rsidRPr="00DB7094" w:rsidP="00DB7094">
      <w:pPr>
        <w:ind w:left="284"/>
        <w:jc w:val="both"/>
        <w:rPr>
          <w:rFonts w:eastAsia="Calibri"/>
          <w:lang w:eastAsia="en-US"/>
        </w:rPr>
      </w:pPr>
      <w:r w:rsidRPr="00DB7094">
        <w:rPr>
          <w:rFonts w:eastAsia="Calibri"/>
          <w:lang w:eastAsia="en-US"/>
        </w:rPr>
        <w:t>(8) Ak je prekonaná vzdialenosť po železnici na území Slovenskej republiky dlhšia ako 250 km, takáto kombinovaná preprava sa na účely zníženia sadzby dane započíta dvakrát.“.</w:t>
      </w:r>
    </w:p>
    <w:p w:rsidR="00DB7094" w:rsidRPr="00DB7094" w:rsidP="00DB7094">
      <w:pPr>
        <w:jc w:val="both"/>
        <w:rPr>
          <w:rFonts w:eastAsia="Calibri"/>
          <w:lang w:eastAsia="en-US"/>
        </w:rPr>
      </w:pPr>
    </w:p>
    <w:p w:rsidR="00DB7094" w:rsidRPr="00DB7094" w:rsidP="00DB7094">
      <w:pPr>
        <w:ind w:left="2832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Ide o legislatívno-technickú úpravu súvisiacu s navrhovaným vypustením § 8 návrhu zákona.</w:t>
      </w:r>
    </w:p>
    <w:p w:rsidR="00DB7094" w:rsidRPr="00DB7094" w:rsidP="00DB7094">
      <w:pPr>
        <w:ind w:left="3969"/>
        <w:jc w:val="both"/>
        <w:rPr>
          <w:rFonts w:eastAsia="Calibri"/>
          <w:lang w:eastAsia="en-US"/>
        </w:rPr>
      </w:pPr>
    </w:p>
    <w:p w:rsidR="00DB7094" w:rsidRPr="00DB7094" w:rsidP="00DB7094">
      <w:pPr>
        <w:rPr>
          <w:rFonts w:eastAsia="Calibri"/>
          <w:lang w:eastAsia="en-US"/>
        </w:rPr>
      </w:pPr>
      <w:r w:rsidR="00936DFE">
        <w:rPr>
          <w:rFonts w:eastAsia="Calibri"/>
          <w:b/>
          <w:lang w:eastAsia="en-US"/>
        </w:rPr>
        <w:t>4</w:t>
      </w:r>
      <w:r w:rsidRPr="00DB7094">
        <w:rPr>
          <w:rFonts w:eastAsia="Calibri"/>
          <w:b/>
          <w:lang w:eastAsia="en-US"/>
        </w:rPr>
        <w:t>. V </w:t>
      </w:r>
      <w:r>
        <w:rPr>
          <w:rFonts w:eastAsia="Calibri"/>
          <w:b/>
          <w:lang w:eastAsia="en-US"/>
        </w:rPr>
        <w:t>č</w:t>
      </w:r>
      <w:r w:rsidRPr="00DB7094">
        <w:rPr>
          <w:rFonts w:eastAsia="Calibri"/>
          <w:b/>
          <w:lang w:eastAsia="en-US"/>
        </w:rPr>
        <w:t xml:space="preserve">l. I sa vypúšťa § 8 </w:t>
      </w:r>
      <w:r w:rsidRPr="00DB7094">
        <w:rPr>
          <w:rFonts w:eastAsia="Calibri"/>
          <w:lang w:eastAsia="en-US"/>
        </w:rPr>
        <w:t>vrátane poznámky pod čiarou k odkazu 12.</w:t>
      </w:r>
    </w:p>
    <w:p w:rsidR="00DB7094" w:rsidRPr="00DB7094" w:rsidP="00DB7094">
      <w:pPr>
        <w:rPr>
          <w:rFonts w:eastAsia="Calibri"/>
          <w:b/>
          <w:lang w:eastAsia="en-US"/>
        </w:rPr>
      </w:pP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lang w:eastAsia="en-US"/>
        </w:rPr>
        <w:t>Doterajšie</w:t>
      </w:r>
      <w:r w:rsidRPr="00DB7094">
        <w:rPr>
          <w:rFonts w:eastAsia="Calibri"/>
          <w:bCs w:val="0"/>
          <w:lang w:eastAsia="en-US"/>
        </w:rPr>
        <w:t xml:space="preserve"> § 9 až 16 sa označujú ako § 8 až 15.</w:t>
      </w: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</w:p>
    <w:p w:rsidR="00DB7094" w:rsidRPr="00DB7094" w:rsidP="00DB7094">
      <w:pPr>
        <w:jc w:val="both"/>
        <w:rPr>
          <w:rFonts w:eastAsia="Calibri"/>
          <w:lang w:eastAsia="en-US"/>
        </w:rPr>
      </w:pPr>
      <w:r w:rsidRPr="00DB7094">
        <w:rPr>
          <w:rFonts w:eastAsia="Calibri"/>
          <w:bCs w:val="0"/>
          <w:lang w:eastAsia="en-US"/>
        </w:rPr>
        <w:t>V súvislosti s vypustením § 8 je potrebné vykonať legislatívno-technickú úpravu vnútorných odkazov (napr. v § 11 ods. 8, v § 11 ods. 11, § 16).</w:t>
      </w:r>
    </w:p>
    <w:p w:rsidR="00DB7094" w:rsidRPr="00DB7094" w:rsidP="00DB7094">
      <w:pPr>
        <w:jc w:val="both"/>
        <w:rPr>
          <w:rFonts w:eastAsia="Calibri"/>
          <w:b/>
          <w:i/>
          <w:lang w:eastAsia="en-US"/>
        </w:rPr>
      </w:pPr>
      <w:r w:rsidRPr="00DB7094">
        <w:rPr>
          <w:rFonts w:eastAsia="Calibri"/>
          <w:lang w:eastAsia="en-US"/>
        </w:rPr>
        <w:t>Nasledujúce poznámky pod čiarou sa prečíslujú.</w:t>
      </w:r>
    </w:p>
    <w:p w:rsidR="00DB7094" w:rsidRPr="00DB7094" w:rsidP="00DB7094">
      <w:pPr>
        <w:rPr>
          <w:rFonts w:eastAsia="Calibri"/>
          <w:b/>
          <w:lang w:eastAsia="en-US"/>
        </w:rPr>
      </w:pPr>
    </w:p>
    <w:p w:rsidR="00DB7094" w:rsidRPr="00DB7094" w:rsidP="00DB7094">
      <w:pPr>
        <w:ind w:left="2832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Navrhovanou zmenou sa odstraňuje nesúlad medzi definíciou pojmu „kombinovaná doprava“ s § 2 ods. 4 zákona č. 514/2009 Z. z. o doprave na dráhach v znení neskorších predpisov, ktorý tiež, avšak iným spôsobom definuje pojem „kombinovaná doprava“ v súlade so smernicou 92/106/EHS. Kombinovaná doprava bude riešená len zachovaním odkazu 11 v § 7 ods. 5.</w:t>
      </w:r>
    </w:p>
    <w:p w:rsidR="00DB7094" w:rsidRPr="00DB7094" w:rsidP="00DB7094">
      <w:pPr>
        <w:ind w:left="3969"/>
        <w:jc w:val="both"/>
        <w:rPr>
          <w:rFonts w:eastAsia="Calibri"/>
          <w:lang w:eastAsia="en-US"/>
        </w:rPr>
      </w:pPr>
    </w:p>
    <w:p w:rsidR="00A438BD" w:rsidRPr="00A438BD" w:rsidP="00DB7094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936DFE">
        <w:rPr>
          <w:rFonts w:ascii="Times New Roman" w:hAnsi="Times New Roman"/>
          <w:b/>
          <w:sz w:val="24"/>
          <w:szCs w:val="24"/>
        </w:rPr>
        <w:t>5</w:t>
      </w:r>
      <w:r w:rsidRPr="00DB7094" w:rsidR="00DB7094">
        <w:rPr>
          <w:rFonts w:ascii="Times New Roman" w:hAnsi="Times New Roman"/>
          <w:b/>
          <w:sz w:val="24"/>
          <w:szCs w:val="24"/>
        </w:rPr>
        <w:t xml:space="preserve">. </w:t>
      </w:r>
      <w:r w:rsidRPr="00DB7094">
        <w:rPr>
          <w:rFonts w:ascii="Times New Roman" w:hAnsi="Times New Roman"/>
          <w:b/>
          <w:sz w:val="24"/>
          <w:szCs w:val="24"/>
        </w:rPr>
        <w:t>V čl. I, § 10 ods. 8</w:t>
      </w:r>
      <w:r w:rsidRPr="00A438BD">
        <w:rPr>
          <w:rFonts w:ascii="Times New Roman" w:hAnsi="Times New Roman"/>
          <w:sz w:val="24"/>
          <w:szCs w:val="24"/>
        </w:rPr>
        <w:t xml:space="preserve"> sa slová „adresa elektronickej služby“ nahrádzajú slovami „elektronickú adresu“.</w:t>
      </w:r>
    </w:p>
    <w:p w:rsidR="00A438BD" w:rsidRPr="00A438BD" w:rsidP="00DB7094">
      <w:pPr>
        <w:ind w:left="2832"/>
        <w:jc w:val="both"/>
      </w:pPr>
      <w:r w:rsidRPr="00A438BD">
        <w:t xml:space="preserve">Legislatívno-technická pripomienka z dôvodu používania zaužívanej terminológie (napr. zákon č. 563/2009 Z. z. o správe daní (daňový poriadok) a o zmene a doplnení niektorých zákonov v znení neskorších predpisov). </w:t>
      </w:r>
    </w:p>
    <w:p w:rsidR="00A438BD" w:rsidP="00A438BD">
      <w:pPr>
        <w:ind w:left="3119"/>
        <w:jc w:val="both"/>
      </w:pPr>
    </w:p>
    <w:p w:rsidR="00DB7094" w:rsidRPr="00DB7094" w:rsidP="00DB7094">
      <w:pPr>
        <w:rPr>
          <w:rFonts w:eastAsia="Calibri"/>
          <w:lang w:eastAsia="en-US"/>
        </w:rPr>
      </w:pPr>
      <w:r w:rsidR="00936DFE">
        <w:rPr>
          <w:rFonts w:eastAsia="Calibri"/>
          <w:b/>
          <w:lang w:eastAsia="en-US"/>
        </w:rPr>
        <w:t>6</w:t>
      </w:r>
      <w:r w:rsidRPr="00DB7094">
        <w:rPr>
          <w:rFonts w:eastAsia="Calibri"/>
          <w:b/>
          <w:lang w:eastAsia="en-US"/>
        </w:rPr>
        <w:t>. V </w:t>
      </w:r>
      <w:r>
        <w:rPr>
          <w:rFonts w:eastAsia="Calibri"/>
          <w:b/>
          <w:lang w:eastAsia="en-US"/>
        </w:rPr>
        <w:t>č</w:t>
      </w:r>
      <w:r w:rsidRPr="00DB7094">
        <w:rPr>
          <w:rFonts w:eastAsia="Calibri"/>
          <w:b/>
          <w:lang w:eastAsia="en-US"/>
        </w:rPr>
        <w:t xml:space="preserve">l. I § 13 </w:t>
      </w:r>
      <w:r w:rsidRPr="00DB7094">
        <w:rPr>
          <w:rFonts w:eastAsia="Calibri"/>
          <w:lang w:eastAsia="en-US"/>
        </w:rPr>
        <w:t>vrátane nadpisu znie:</w:t>
      </w:r>
    </w:p>
    <w:p w:rsidR="00DB7094" w:rsidRPr="00DB7094" w:rsidP="00DB7094">
      <w:pPr>
        <w:jc w:val="center"/>
        <w:rPr>
          <w:rFonts w:eastAsia="Calibri"/>
          <w:lang w:eastAsia="en-US"/>
        </w:rPr>
      </w:pPr>
      <w:r w:rsidRPr="00DB7094">
        <w:rPr>
          <w:rFonts w:eastAsia="Calibri"/>
          <w:lang w:eastAsia="en-US"/>
        </w:rPr>
        <w:t>„§ 13</w:t>
      </w:r>
    </w:p>
    <w:p w:rsidR="00DB7094" w:rsidRPr="00DB7094" w:rsidP="00DB7094">
      <w:pPr>
        <w:jc w:val="center"/>
        <w:rPr>
          <w:rFonts w:eastAsia="Calibri"/>
          <w:lang w:eastAsia="en-US"/>
        </w:rPr>
      </w:pPr>
      <w:r w:rsidRPr="00DB7094">
        <w:rPr>
          <w:rFonts w:eastAsia="Calibri"/>
          <w:lang w:eastAsia="en-US"/>
        </w:rPr>
        <w:t>Zaokrúhľovanie</w:t>
      </w:r>
    </w:p>
    <w:p w:rsidR="00DB7094" w:rsidRPr="00DB7094" w:rsidP="00DB7094">
      <w:pPr>
        <w:jc w:val="center"/>
        <w:rPr>
          <w:rFonts w:eastAsia="Calibri"/>
          <w:lang w:eastAsia="en-US"/>
        </w:rPr>
      </w:pPr>
    </w:p>
    <w:p w:rsidR="00DB7094" w:rsidRPr="00DB7094" w:rsidP="00DB7094">
      <w:pPr>
        <w:jc w:val="both"/>
        <w:rPr>
          <w:rFonts w:eastAsia="Calibri"/>
          <w:b/>
          <w:lang w:eastAsia="en-US"/>
        </w:rPr>
      </w:pPr>
      <w:r w:rsidRPr="00DB7094">
        <w:rPr>
          <w:rFonts w:eastAsia="Calibri"/>
          <w:lang w:eastAsia="en-US"/>
        </w:rPr>
        <w:t>Daň, pomerná časť dane, preddavky na daň a ročná sadzba dane znížená alebo zvýšená podľa § 7 sa zaokrúhľuje na eurocenty nadol.“.</w:t>
      </w:r>
    </w:p>
    <w:p w:rsidR="00DB7094" w:rsidRPr="00DB7094" w:rsidP="00DB7094">
      <w:pPr>
        <w:rPr>
          <w:rFonts w:eastAsia="Calibri"/>
          <w:b/>
          <w:lang w:eastAsia="en-US"/>
        </w:rPr>
      </w:pPr>
    </w:p>
    <w:p w:rsidR="00DB7094" w:rsidRPr="00DB7094" w:rsidP="00DB7094">
      <w:pPr>
        <w:ind w:left="2832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Navrhuje sa z dôvodu zjednodušenia výpočtu dane a právnej istoty daňovníka pri vypĺňaní daňového priznania upraviť zaokrúhľovanie na eurocenty nadol aj pre pomernú časť dane a ročnú sadzbu dane zníženú alebo zvýšenú podľa § 7.</w:t>
      </w:r>
    </w:p>
    <w:p w:rsidR="00DB7094" w:rsidRPr="00DB7094" w:rsidP="00DB7094">
      <w:pPr>
        <w:ind w:left="3969"/>
        <w:jc w:val="both"/>
        <w:rPr>
          <w:rFonts w:eastAsia="Calibri"/>
          <w:bCs w:val="0"/>
          <w:lang w:eastAsia="en-US"/>
        </w:rPr>
      </w:pPr>
    </w:p>
    <w:p w:rsidR="00A438BD" w:rsidRPr="00DB7094" w:rsidP="00DB709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="00936DFE">
        <w:rPr>
          <w:rFonts w:ascii="Times New Roman" w:hAnsi="Times New Roman"/>
          <w:b/>
          <w:sz w:val="24"/>
          <w:szCs w:val="24"/>
        </w:rPr>
        <w:t>7</w:t>
      </w:r>
      <w:r w:rsidRPr="00DB7094" w:rsidR="00DB7094">
        <w:rPr>
          <w:rFonts w:ascii="Times New Roman" w:hAnsi="Times New Roman"/>
          <w:b/>
          <w:sz w:val="24"/>
          <w:szCs w:val="24"/>
        </w:rPr>
        <w:t xml:space="preserve">. </w:t>
      </w:r>
      <w:r w:rsidRPr="00DB7094">
        <w:rPr>
          <w:rFonts w:ascii="Times New Roman" w:hAnsi="Times New Roman"/>
          <w:b/>
          <w:sz w:val="24"/>
          <w:szCs w:val="24"/>
        </w:rPr>
        <w:t>V čl. I príloha č. 2 znie:</w:t>
      </w:r>
    </w:p>
    <w:p w:rsidR="00A438BD" w:rsidRPr="00A438BD" w:rsidP="00A438BD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A438BD">
        <w:rPr>
          <w:rFonts w:ascii="Times New Roman" w:hAnsi="Times New Roman"/>
          <w:sz w:val="24"/>
          <w:szCs w:val="24"/>
        </w:rPr>
        <w:t>„Príloha č. 2 k zákonu č. ....../2014 Z. z.</w:t>
      </w:r>
    </w:p>
    <w:p w:rsidR="00A438BD" w:rsidRPr="00A438BD" w:rsidP="00A438BD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A438BD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A438BD" w:rsidRPr="00A438BD" w:rsidP="00A438B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38BD">
        <w:rPr>
          <w:rFonts w:ascii="Times New Roman" w:hAnsi="Times New Roman"/>
          <w:sz w:val="24"/>
          <w:szCs w:val="24"/>
        </w:rPr>
        <w:t>1. Smernica Rady 1992/106/EHS zo 7. decembra 1992 o stanovení spoločných pravidiel pre určité typy kombinovanej dopravy tovaru medzi členskými štátmi (Ú. v. ES L 368, 17.12.1992) v znení  Aktu o podmienkach pristúpenia Rakúska, Švédska a Fínska (Ú. v. ES C 241, 29.8.1994), Aktu o podmienkach pristúpenia Českej republiky, Estónskej republiky, Cyperskej republiky, Lotyšskej republiky, Litovskej republiky, Maďarskej republiky, Maltskej republiky, Poľskej republiky, Slovinskej republiky a Slovenskej republiky a o úpravách zmlúv, na ktorých je založená Európska únia (Ú. v. EÚ L 236, 23.9.2003), smernice Rady 2006/103/ES z 20. novembra 2006 (</w:t>
      </w:r>
      <w:r w:rsidRPr="00A438BD">
        <w:rPr>
          <w:rFonts w:ascii="Times New Roman" w:hAnsi="Times New Roman"/>
          <w:iCs/>
          <w:sz w:val="24"/>
          <w:szCs w:val="24"/>
        </w:rPr>
        <w:t>Ú. v. EÚ L 363, 20.12.2006) a s</w:t>
      </w:r>
      <w:r w:rsidRPr="00A438BD">
        <w:rPr>
          <w:rFonts w:ascii="Times New Roman" w:hAnsi="Times New Roman"/>
          <w:bCs/>
          <w:iCs/>
          <w:sz w:val="24"/>
          <w:szCs w:val="24"/>
        </w:rPr>
        <w:t>mernice Rady 2013/22/EÚ z  13. mája 2013 (Ú. v. EÚ L 158, 10.06.2013).</w:t>
      </w:r>
    </w:p>
    <w:p w:rsidR="00A438BD" w:rsidRPr="00A438BD" w:rsidP="00A438B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38BD">
        <w:rPr>
          <w:rFonts w:ascii="Times New Roman" w:hAnsi="Times New Roman"/>
          <w:sz w:val="24"/>
          <w:szCs w:val="24"/>
        </w:rPr>
        <w:t xml:space="preserve">2. Smernica Európskeho parlamentu a Rady 1999/62/ES zo 17. júna 1999 o poplatkoch za používanie určitej dopravnej infraštruktúry ťažkými nákladnými vozidlami (Mimoriadne vydanie Ú. v. EÚ kap. 7/zv. 4, Ú. v. ES L187, 20.7.1999) v znení smernice Európskeho parlamentu a Rady 2006/38/ES zo 17. mája 2006 (Ú. v. EÚ L 157, 9.6.2006), smernice Rady 2006/103/ES z 20. novembra 2006 (Ú. v. EÚ L 363, 20.12.2006), smernice Európskeho parlamentu a Rady 2011/76/EÚ z 27. septembra 2011 (Ú. v. EÚ L 269, 14.10.2011) a smernice </w:t>
      </w:r>
      <w:r w:rsidRPr="00A438BD">
        <w:rPr>
          <w:rFonts w:ascii="Times New Roman" w:hAnsi="Times New Roman"/>
          <w:bCs/>
          <w:iCs/>
          <w:sz w:val="24"/>
          <w:szCs w:val="24"/>
        </w:rPr>
        <w:t>Rady 2013/22/EÚ z  13. mája 2013 (Ú. v. EÚ L 158, 10.06.2013).“.</w:t>
      </w:r>
    </w:p>
    <w:p w:rsidR="00DB7094" w:rsidP="00A438BD">
      <w:pPr>
        <w:pStyle w:val="ListParagraph"/>
        <w:spacing w:after="0" w:line="240" w:lineRule="auto"/>
        <w:ind w:left="311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438BD" w:rsidRPr="00A438BD" w:rsidP="00A438BD">
      <w:pPr>
        <w:pStyle w:val="ListParagraph"/>
        <w:spacing w:after="0" w:line="240" w:lineRule="auto"/>
        <w:ind w:left="3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38BD">
        <w:rPr>
          <w:rFonts w:ascii="Times New Roman" w:hAnsi="Times New Roman"/>
          <w:sz w:val="24"/>
          <w:szCs w:val="24"/>
        </w:rPr>
        <w:t>Legislatívno-technická pripomienka súvisiaca so zaužívaným spôsobom uvádzania smerníc v tzv. transpozičnej prílohe.</w:t>
      </w:r>
    </w:p>
    <w:p w:rsidR="00A438BD" w:rsidP="00A438BD">
      <w:pPr>
        <w:pStyle w:val="ListParagraph"/>
        <w:spacing w:after="0" w:line="240" w:lineRule="auto"/>
        <w:ind w:left="311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438BD" w:rsidRPr="00DB7094" w:rsidP="00DB709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="00936DFE">
        <w:rPr>
          <w:rFonts w:ascii="Times New Roman" w:hAnsi="Times New Roman"/>
          <w:b/>
          <w:sz w:val="24"/>
          <w:szCs w:val="24"/>
        </w:rPr>
        <w:t>8</w:t>
      </w:r>
      <w:r w:rsidRPr="00DB7094" w:rsidR="00DB7094">
        <w:rPr>
          <w:rFonts w:ascii="Times New Roman" w:hAnsi="Times New Roman"/>
          <w:b/>
          <w:sz w:val="24"/>
          <w:szCs w:val="24"/>
        </w:rPr>
        <w:t xml:space="preserve">. </w:t>
      </w:r>
      <w:r w:rsidRPr="00DB7094">
        <w:rPr>
          <w:rFonts w:ascii="Times New Roman" w:hAnsi="Times New Roman"/>
          <w:b/>
          <w:sz w:val="24"/>
          <w:szCs w:val="24"/>
        </w:rPr>
        <w:t>V čl. III, 4. bod znie:</w:t>
      </w:r>
    </w:p>
    <w:p w:rsidR="00A438BD" w:rsidRPr="00A438BD" w:rsidP="00A438BD">
      <w:pPr>
        <w:jc w:val="both"/>
      </w:pPr>
      <w:r w:rsidRPr="00A438BD">
        <w:t>„4. V § 98 sa vypúšťajú slová „a ods. 3“.“.</w:t>
      </w:r>
    </w:p>
    <w:p w:rsidR="00DB7094" w:rsidP="00A438BD">
      <w:pPr>
        <w:ind w:left="3119"/>
        <w:jc w:val="both"/>
      </w:pPr>
    </w:p>
    <w:p w:rsidR="00A438BD" w:rsidRPr="00A438BD" w:rsidP="00A438BD">
      <w:pPr>
        <w:ind w:left="3119"/>
        <w:jc w:val="both"/>
      </w:pPr>
      <w:r w:rsidRPr="00A438BD">
        <w:t>Legislatívno-technická pripomienka z dôvodu novelizácie uvedeného ustanovenia v poslednej novele zákona č. 582/2004 Z. z. o miestnych daniach a miestnom poplatku za komunálne odpady a drobné stavebné odpady (tlač 1056).</w:t>
      </w:r>
    </w:p>
    <w:p w:rsidR="00A438BD" w:rsidP="00A438BD">
      <w:pPr>
        <w:ind w:left="3119"/>
        <w:jc w:val="both"/>
      </w:pPr>
    </w:p>
    <w:p w:rsidR="00A438BD" w:rsidRPr="00A438BD" w:rsidP="00DB709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936DFE">
        <w:rPr>
          <w:rFonts w:ascii="Times New Roman" w:hAnsi="Times New Roman"/>
          <w:b/>
          <w:sz w:val="24"/>
          <w:szCs w:val="24"/>
        </w:rPr>
        <w:t>9</w:t>
      </w:r>
      <w:r w:rsidRPr="00DB7094" w:rsidR="00DB7094">
        <w:rPr>
          <w:rFonts w:ascii="Times New Roman" w:hAnsi="Times New Roman"/>
          <w:b/>
          <w:sz w:val="24"/>
          <w:szCs w:val="24"/>
        </w:rPr>
        <w:t xml:space="preserve">. </w:t>
      </w:r>
      <w:r w:rsidRPr="00DB7094">
        <w:rPr>
          <w:rFonts w:ascii="Times New Roman" w:hAnsi="Times New Roman"/>
          <w:b/>
          <w:sz w:val="24"/>
          <w:szCs w:val="24"/>
        </w:rPr>
        <w:t>V čl. III, 9. bode</w:t>
      </w:r>
      <w:r w:rsidRPr="00A438BD">
        <w:rPr>
          <w:rFonts w:ascii="Times New Roman" w:hAnsi="Times New Roman"/>
          <w:sz w:val="24"/>
          <w:szCs w:val="24"/>
        </w:rPr>
        <w:t xml:space="preserve"> sa slová „§ 104g“ nahrádzajú slovami „§ 104h“ a slová „§ 104h“ nahrádzajú slovami „§ 104i“.</w:t>
      </w:r>
    </w:p>
    <w:p w:rsidR="00A438BD" w:rsidP="00A438BD">
      <w:pPr>
        <w:ind w:left="3119"/>
        <w:jc w:val="both"/>
      </w:pPr>
      <w:r w:rsidRPr="00A438BD">
        <w:t>Legislatívno-technická pripomienka z dôvodu doplnenia § 104h v novele zákona č. 582/2004 Z. z. o miestnych daniach a miestnom poplatku za komunálne odpady a drobné stavebné odpady schválenej 16. septembra 2014 (tlač 1056).</w:t>
      </w:r>
    </w:p>
    <w:p w:rsidR="00DB7094" w:rsidRPr="00A438BD" w:rsidP="00A438BD">
      <w:pPr>
        <w:ind w:left="3119"/>
        <w:jc w:val="both"/>
      </w:pPr>
    </w:p>
    <w:p w:rsidR="00DB7094" w:rsidRPr="00DB7094" w:rsidP="00DB7094">
      <w:pPr>
        <w:rPr>
          <w:rFonts w:eastAsia="Calibri"/>
          <w:lang w:eastAsia="en-US"/>
        </w:rPr>
      </w:pPr>
      <w:r w:rsidR="00936DFE">
        <w:rPr>
          <w:rFonts w:eastAsia="Calibri"/>
          <w:b/>
          <w:lang w:eastAsia="en-US"/>
        </w:rPr>
        <w:t>10</w:t>
      </w:r>
      <w:r w:rsidRPr="00DB7094">
        <w:rPr>
          <w:rFonts w:eastAsia="Calibri"/>
          <w:b/>
          <w:lang w:eastAsia="en-US"/>
        </w:rPr>
        <w:t xml:space="preserve">. V Čl. III bode 9 sa § 104h </w:t>
      </w:r>
      <w:r w:rsidRPr="00DB7094">
        <w:rPr>
          <w:rFonts w:eastAsia="Calibri"/>
          <w:lang w:eastAsia="en-US"/>
        </w:rPr>
        <w:t>dopĺňa odsekom 3, ktorý znie:</w:t>
      </w:r>
    </w:p>
    <w:p w:rsidR="00DB7094" w:rsidRPr="00DB7094" w:rsidP="00DB7094">
      <w:pPr>
        <w:ind w:left="284"/>
        <w:jc w:val="both"/>
        <w:rPr>
          <w:rFonts w:eastAsia="Calibri"/>
          <w:lang w:eastAsia="en-US"/>
        </w:rPr>
      </w:pPr>
      <w:r w:rsidRPr="00DB7094">
        <w:rPr>
          <w:rFonts w:eastAsia="Calibri"/>
          <w:lang w:eastAsia="en-US"/>
        </w:rPr>
        <w:t>„(3) Výnos z cestnej dane vyberanej daňovými úradmi vrátane výnosu z pokuty a sankčného úroku vzťahujúcich sa k tejto dani je po 30. novembri 2014 príjmom štátneho rozpočtu, pričom ustanovenie § 103 ods. 4 sa od 1. decembra 2014 neuplatňuje.“.</w:t>
      </w:r>
    </w:p>
    <w:p w:rsidR="00DB7094" w:rsidRPr="00DB7094" w:rsidP="00DB7094">
      <w:pPr>
        <w:jc w:val="both"/>
        <w:rPr>
          <w:b/>
          <w:bCs w:val="0"/>
        </w:rPr>
      </w:pPr>
    </w:p>
    <w:p w:rsidR="00DB7094" w:rsidRPr="00DB7094" w:rsidP="00DB7094">
      <w:pPr>
        <w:ind w:left="3119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Navrhuje sa zmeniť rozpočtové určenie aj k cestnej dani od 1. decembra 2014 v súvislosti s možnosťou prijímania úhrad cestnej dane vrátane zaplatených pokút a sankčného úroku do zániku práva vyrubiť daň.</w:t>
      </w:r>
    </w:p>
    <w:p w:rsidR="00DB7094" w:rsidP="00DB7094">
      <w:pPr>
        <w:ind w:left="4536"/>
        <w:jc w:val="both"/>
        <w:rPr>
          <w:rFonts w:eastAsia="Calibri"/>
          <w:bCs w:val="0"/>
          <w:lang w:eastAsia="en-US"/>
        </w:rPr>
      </w:pPr>
    </w:p>
    <w:p w:rsidR="00DB7094" w:rsidRPr="00DB7094" w:rsidP="00DB7094">
      <w:pPr>
        <w:contextualSpacing/>
        <w:rPr>
          <w:rFonts w:eastAsia="Calibri"/>
          <w:bCs w:val="0"/>
          <w:lang w:eastAsia="en-US"/>
        </w:rPr>
      </w:pPr>
      <w:r w:rsidR="00936DFE">
        <w:rPr>
          <w:rFonts w:eastAsia="Calibri"/>
          <w:b/>
          <w:bCs w:val="0"/>
          <w:lang w:eastAsia="en-US"/>
        </w:rPr>
        <w:t>11</w:t>
      </w:r>
      <w:r w:rsidRPr="00DB7094">
        <w:rPr>
          <w:rFonts w:eastAsia="Calibri"/>
          <w:b/>
          <w:bCs w:val="0"/>
          <w:lang w:eastAsia="en-US"/>
        </w:rPr>
        <w:t xml:space="preserve">. </w:t>
      </w:r>
      <w:r w:rsidRPr="00DB7094">
        <w:rPr>
          <w:rFonts w:eastAsia="Calibri"/>
          <w:b/>
        </w:rPr>
        <w:t>V </w:t>
      </w:r>
      <w:r>
        <w:rPr>
          <w:rFonts w:eastAsia="Calibri"/>
          <w:b/>
        </w:rPr>
        <w:t>č</w:t>
      </w:r>
      <w:r w:rsidRPr="00DB7094">
        <w:rPr>
          <w:rFonts w:eastAsia="Calibri"/>
          <w:b/>
        </w:rPr>
        <w:t>l. V sa z</w:t>
      </w:r>
      <w:r w:rsidRPr="00DB7094">
        <w:rPr>
          <w:rFonts w:eastAsia="Calibri"/>
          <w:b/>
          <w:bCs w:val="0"/>
          <w:lang w:eastAsia="en-US"/>
        </w:rPr>
        <w:t xml:space="preserve">a doterajší bod 1 vkladá nový bod 2, </w:t>
      </w:r>
      <w:r w:rsidRPr="00DB7094">
        <w:rPr>
          <w:rFonts w:eastAsia="Calibri"/>
          <w:bCs w:val="0"/>
          <w:lang w:eastAsia="en-US"/>
        </w:rPr>
        <w:t xml:space="preserve">ktorý znie: </w:t>
      </w: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„2. V § 11 sa odsek 7 dopĺňa písmenom g), ktoré znie:</w:t>
      </w: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„g) oznámenie alebo sprístupnenie výšky splatnej dane právnickej osoby</w:t>
      </w:r>
      <w:r w:rsidRPr="00DB7094">
        <w:rPr>
          <w:rFonts w:ascii="Arial Narrow" w:eastAsia="Calibri" w:hAnsi="Arial Narrow"/>
          <w:bCs w:val="0"/>
          <w:lang w:eastAsia="en-US"/>
        </w:rPr>
        <w:t xml:space="preserve"> </w:t>
      </w:r>
      <w:r w:rsidRPr="00DB7094">
        <w:rPr>
          <w:rFonts w:eastAsia="Calibri"/>
          <w:bCs w:val="0"/>
          <w:lang w:eastAsia="en-US"/>
        </w:rPr>
        <w:t>na základe údajov z verejnej časti registra účtovných závierok.</w:t>
      </w:r>
      <w:r w:rsidRPr="00DB7094">
        <w:rPr>
          <w:rFonts w:eastAsia="Calibri"/>
          <w:bCs w:val="0"/>
          <w:vertAlign w:val="superscript"/>
          <w:lang w:eastAsia="en-US"/>
        </w:rPr>
        <w:t>37aa</w:t>
      </w:r>
      <w:r w:rsidRPr="00DB7094">
        <w:rPr>
          <w:rFonts w:eastAsia="Calibri"/>
          <w:bCs w:val="0"/>
          <w:lang w:eastAsia="en-US"/>
        </w:rPr>
        <w:t>)“.“.</w:t>
      </w: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</w:p>
    <w:p w:rsidR="00DB7094" w:rsidRPr="00DB7094" w:rsidP="00DB7094">
      <w:pPr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 xml:space="preserve">Doterajšie body je potrebné primerane prečíslovať. </w:t>
      </w:r>
    </w:p>
    <w:p w:rsidR="00DB7094" w:rsidRPr="00DB7094" w:rsidP="00DB7094">
      <w:pPr>
        <w:ind w:firstLine="357"/>
        <w:jc w:val="both"/>
        <w:rPr>
          <w:rFonts w:eastAsia="Calibri"/>
          <w:bCs w:val="0"/>
        </w:rPr>
      </w:pPr>
    </w:p>
    <w:p w:rsidR="00DB7094" w:rsidRPr="00DB7094" w:rsidP="00DB7094">
      <w:pPr>
        <w:ind w:left="3119"/>
        <w:jc w:val="both"/>
        <w:rPr>
          <w:rFonts w:eastAsia="Calibri"/>
          <w:bCs w:val="0"/>
          <w:lang w:eastAsia="en-US"/>
        </w:rPr>
      </w:pPr>
      <w:r w:rsidRPr="00DB7094">
        <w:rPr>
          <w:rFonts w:eastAsia="Calibri"/>
          <w:bCs w:val="0"/>
          <w:lang w:eastAsia="en-US"/>
        </w:rPr>
        <w:t>Z dôvodu zabezpečenia lepšej informovanosti verejnosti, ktorá môže prispieť k väčšej daňovej transparentnosti podnikateľského prostredia na Slovensku, sa navrhuje ustanoviť novú výnimku z daňového tajomstva, a to výšku dane daňových subjektov - právnických osôb, ktorú sú povinní zaplatiť.</w:t>
      </w:r>
    </w:p>
    <w:p w:rsidR="00DB7094" w:rsidRPr="00DB7094" w:rsidP="00DB7094">
      <w:pPr>
        <w:ind w:left="3969"/>
        <w:jc w:val="both"/>
        <w:rPr>
          <w:rFonts w:eastAsia="Calibri"/>
          <w:bCs w:val="0"/>
          <w:lang w:eastAsia="en-US"/>
        </w:rPr>
      </w:pPr>
    </w:p>
    <w:p w:rsidR="00A438BD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35C">
      <w:rPr>
        <w:rStyle w:val="PageNumber"/>
        <w:noProof/>
      </w:rPr>
      <w:t>4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D352F9"/>
    <w:multiLevelType w:val="hybridMultilevel"/>
    <w:tmpl w:val="D3BC4B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6"/>
  </w:num>
  <w:num w:numId="6">
    <w:abstractNumId w:val="7"/>
  </w:num>
  <w:num w:numId="7">
    <w:abstractNumId w:val="19"/>
  </w:num>
  <w:num w:numId="8">
    <w:abstractNumId w:val="39"/>
  </w:num>
  <w:num w:numId="9">
    <w:abstractNumId w:val="41"/>
  </w:num>
  <w:num w:numId="10">
    <w:abstractNumId w:val="3"/>
  </w:num>
  <w:num w:numId="11">
    <w:abstractNumId w:val="27"/>
  </w:num>
  <w:num w:numId="12">
    <w:abstractNumId w:val="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1"/>
  </w:num>
  <w:num w:numId="20">
    <w:abstractNumId w:val="34"/>
  </w:num>
  <w:num w:numId="21">
    <w:abstractNumId w:val="8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30"/>
  </w:num>
  <w:num w:numId="25">
    <w:abstractNumId w:val="44"/>
  </w:num>
  <w:num w:numId="26">
    <w:abstractNumId w:val="29"/>
  </w:num>
  <w:num w:numId="27">
    <w:abstractNumId w:val="23"/>
  </w:num>
  <w:num w:numId="28">
    <w:abstractNumId w:val="10"/>
  </w:num>
  <w:num w:numId="29">
    <w:abstractNumId w:val="4"/>
  </w:num>
  <w:num w:numId="30">
    <w:abstractNumId w:val="38"/>
  </w:num>
  <w:num w:numId="31">
    <w:abstractNumId w:val="17"/>
  </w:num>
  <w:num w:numId="32">
    <w:abstractNumId w:val="28"/>
  </w:num>
  <w:num w:numId="33">
    <w:abstractNumId w:val="18"/>
  </w:num>
  <w:num w:numId="34">
    <w:abstractNumId w:val="14"/>
  </w:num>
  <w:num w:numId="35">
    <w:abstractNumId w:val="21"/>
  </w:num>
  <w:num w:numId="36">
    <w:abstractNumId w:val="46"/>
  </w:num>
  <w:num w:numId="37">
    <w:abstractNumId w:val="26"/>
  </w:num>
  <w:num w:numId="38">
    <w:abstractNumId w:val="22"/>
  </w:num>
  <w:num w:numId="39">
    <w:abstractNumId w:val="0"/>
  </w:num>
  <w:num w:numId="40">
    <w:abstractNumId w:val="40"/>
  </w:num>
  <w:num w:numId="41">
    <w:abstractNumId w:val="2"/>
  </w:num>
  <w:num w:numId="42">
    <w:abstractNumId w:val="25"/>
  </w:num>
  <w:num w:numId="43">
    <w:abstractNumId w:val="24"/>
  </w:num>
  <w:num w:numId="44">
    <w:abstractNumId w:val="32"/>
  </w:num>
  <w:num w:numId="45">
    <w:abstractNumId w:val="20"/>
  </w:num>
  <w:num w:numId="46">
    <w:abstractNumId w:val="35"/>
  </w:num>
  <w:num w:numId="47">
    <w:abstractNumId w:val="1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66275"/>
    <w:rsid w:val="0006732F"/>
    <w:rsid w:val="00067F0B"/>
    <w:rsid w:val="00073F35"/>
    <w:rsid w:val="000741D0"/>
    <w:rsid w:val="0007451E"/>
    <w:rsid w:val="000826D8"/>
    <w:rsid w:val="0008289A"/>
    <w:rsid w:val="00084653"/>
    <w:rsid w:val="00085A9B"/>
    <w:rsid w:val="00090B67"/>
    <w:rsid w:val="00092341"/>
    <w:rsid w:val="00092B30"/>
    <w:rsid w:val="00096F6A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6E02"/>
    <w:rsid w:val="002E7F6B"/>
    <w:rsid w:val="002F2DF7"/>
    <w:rsid w:val="002F3ED4"/>
    <w:rsid w:val="00301227"/>
    <w:rsid w:val="00302EB6"/>
    <w:rsid w:val="003039E2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5D3A"/>
    <w:rsid w:val="003C672E"/>
    <w:rsid w:val="003D441A"/>
    <w:rsid w:val="003E4817"/>
    <w:rsid w:val="003E5C21"/>
    <w:rsid w:val="003E60B4"/>
    <w:rsid w:val="003F7B2A"/>
    <w:rsid w:val="00401691"/>
    <w:rsid w:val="00415698"/>
    <w:rsid w:val="0042235C"/>
    <w:rsid w:val="004231C1"/>
    <w:rsid w:val="004265B4"/>
    <w:rsid w:val="0043269C"/>
    <w:rsid w:val="00450C55"/>
    <w:rsid w:val="00452FCC"/>
    <w:rsid w:val="0046108E"/>
    <w:rsid w:val="0047332F"/>
    <w:rsid w:val="00474560"/>
    <w:rsid w:val="004770E8"/>
    <w:rsid w:val="00484E22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3D3C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17D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5582E"/>
    <w:rsid w:val="00656EC5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66B24"/>
    <w:rsid w:val="00766EB1"/>
    <w:rsid w:val="00766ECD"/>
    <w:rsid w:val="00771DBB"/>
    <w:rsid w:val="007748AD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270C2"/>
    <w:rsid w:val="009361C3"/>
    <w:rsid w:val="00936DFE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38BD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552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56F0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B7094"/>
    <w:rsid w:val="00DC342A"/>
    <w:rsid w:val="00DC6DC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E5718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mkypodiarouChar"/>
    <w:uiPriority w:val="99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aliases w:val="Odsek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  <w:style w:type="character" w:customStyle="1" w:styleId="TextpoznmkypodiarouChar">
    <w:name w:val="Text poznámky pod čiarou Char"/>
    <w:link w:val="FootnoteText"/>
    <w:uiPriority w:val="99"/>
    <w:semiHidden/>
    <w:rsid w:val="00A438BD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1826-30EE-4BDB-8C97-D3526DD3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366</cp:revision>
  <cp:lastPrinted>2011-06-10T09:52:00Z</cp:lastPrinted>
  <dcterms:created xsi:type="dcterms:W3CDTF">2003-06-05T10:59:00Z</dcterms:created>
  <dcterms:modified xsi:type="dcterms:W3CDTF">2014-10-08T06:15:00Z</dcterms:modified>
</cp:coreProperties>
</file>