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02CD" w:rsidP="00CE2DD8">
      <w:pPr>
        <w:bidi w:val="0"/>
        <w:ind w:left="0"/>
        <w:rPr>
          <w:b/>
          <w:bCs/>
        </w:rPr>
      </w:pPr>
      <w:r>
        <w:rPr>
          <w:b/>
          <w:bCs/>
        </w:rPr>
        <w:t xml:space="preserve">                  Výbor </w:t>
      </w:r>
    </w:p>
    <w:p w:rsidR="00CB02CD" w:rsidP="00CE2DD8">
      <w:pPr>
        <w:bidi w:val="0"/>
        <w:ind w:left="0"/>
        <w:rPr>
          <w:b/>
          <w:bCs/>
        </w:rPr>
      </w:pPr>
      <w:r>
        <w:rPr>
          <w:b/>
          <w:bCs/>
        </w:rPr>
        <w:t>Národnej rady Slovenskej republiky</w:t>
      </w:r>
    </w:p>
    <w:p w:rsidR="00E37A8F" w:rsidRPr="00FF6A1A" w:rsidP="00FF6A1A">
      <w:pPr>
        <w:bidi w:val="0"/>
        <w:ind w:left="0"/>
        <w:rPr>
          <w:b/>
          <w:bCs/>
        </w:rPr>
      </w:pPr>
      <w:r w:rsidR="00FF6A1A">
        <w:rPr>
          <w:b/>
          <w:bCs/>
        </w:rPr>
        <w:t xml:space="preserve">            pre zdravotníctvo</w:t>
      </w:r>
    </w:p>
    <w:p w:rsidR="00CB02CD" w:rsidP="00CB02CD">
      <w:pPr>
        <w:bidi w:val="0"/>
        <w:jc w:val="right"/>
      </w:pPr>
      <w:r>
        <w:tab/>
      </w:r>
    </w:p>
    <w:p w:rsidR="00CB02CD" w:rsidP="00CB02CD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>
        <w:rPr>
          <w:b/>
        </w:rPr>
        <w:t>34.</w:t>
      </w:r>
      <w:r>
        <w:t xml:space="preserve"> schôdza výboru</w:t>
      </w:r>
    </w:p>
    <w:p w:rsidR="00E37A8F" w:rsidRPr="00FF6A1A" w:rsidP="00FF6A1A">
      <w:pPr>
        <w:bidi w:val="0"/>
        <w:jc w:val="right"/>
      </w:pPr>
      <w:r w:rsidR="00FF6A1A">
        <w:tab/>
        <w:tab/>
        <w:tab/>
        <w:tab/>
        <w:tab/>
        <w:tab/>
        <w:tab/>
        <w:tab/>
        <w:t>Číslo: CRD-1570/2014</w:t>
      </w:r>
    </w:p>
    <w:p w:rsidR="00CB02CD" w:rsidP="00CE2DD8">
      <w:pPr>
        <w:bidi w:val="0"/>
        <w:ind w:left="0"/>
        <w:jc w:val="center"/>
        <w:rPr>
          <w:b/>
          <w:bCs/>
          <w:sz w:val="28"/>
        </w:rPr>
      </w:pPr>
    </w:p>
    <w:p w:rsidR="00CB02CD" w:rsidP="00CE2DD8">
      <w:pPr>
        <w:bidi w:val="0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120</w:t>
      </w:r>
    </w:p>
    <w:p w:rsidR="00CB02CD" w:rsidP="00CE2DD8">
      <w:pPr>
        <w:bidi w:val="0"/>
        <w:ind w:left="0"/>
        <w:jc w:val="center"/>
        <w:rPr>
          <w:b/>
          <w:bCs/>
        </w:rPr>
      </w:pPr>
    </w:p>
    <w:p w:rsidR="00CB02CD" w:rsidP="00CE2DD8">
      <w:pPr>
        <w:bidi w:val="0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B02CD" w:rsidP="00CE2DD8">
      <w:pPr>
        <w:bidi w:val="0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B02CD" w:rsidP="00CE2DD8">
      <w:pPr>
        <w:bidi w:val="0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B02CD" w:rsidP="00CE2DD8">
      <w:pPr>
        <w:bidi w:val="0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5B571B">
        <w:rPr>
          <w:b/>
          <w:bCs/>
        </w:rPr>
        <w:t xml:space="preserve"> 24. </w:t>
      </w:r>
      <w:r>
        <w:rPr>
          <w:b/>
          <w:bCs/>
        </w:rPr>
        <w:t>septembra  2014</w:t>
      </w:r>
    </w:p>
    <w:p w:rsidR="00CB02CD" w:rsidP="00CB02CD">
      <w:pPr>
        <w:bidi w:val="0"/>
      </w:pPr>
    </w:p>
    <w:p w:rsidR="00FF6A1A" w:rsidP="00CB02CD">
      <w:pPr>
        <w:bidi w:val="0"/>
      </w:pPr>
    </w:p>
    <w:p w:rsidR="00CB02CD" w:rsidP="00CE2DD8">
      <w:pPr>
        <w:bidi w:val="0"/>
        <w:ind w:left="0"/>
        <w:jc w:val="both"/>
      </w:pPr>
      <w:r>
        <w:t>k</w:t>
      </w:r>
      <w:r>
        <w:rPr>
          <w:b/>
        </w:rPr>
        <w:t xml:space="preserve"> Návrhu poslankyne Národnej rady Slovenskej republiky Renáty ZMAJKOVIČOVEJ </w:t>
      </w:r>
      <w:r>
        <w:t xml:space="preserve">  </w:t>
      </w:r>
      <w:r w:rsidRPr="00CB02CD">
        <w:rPr>
          <w:b/>
        </w:rPr>
        <w:t>na</w:t>
      </w:r>
      <w:r>
        <w:t xml:space="preserve"> </w:t>
      </w:r>
      <w:r w:rsidRPr="00CB02CD">
        <w:rPr>
          <w:b/>
        </w:rPr>
        <w:t>vydanie zákona, ktorým sa mení a dopĺňa zákon č. 245/2008 Z. z. o výchove a vzdelávaní (školský zákon) a o zmene a doplnení niektorých zákonov v znení neskorších predpisov</w:t>
      </w:r>
      <w:r>
        <w:t xml:space="preserve"> (tlač 1140)  a</w:t>
      </w:r>
    </w:p>
    <w:p w:rsidR="00CB02CD" w:rsidP="00CE2DD8">
      <w:pPr>
        <w:pStyle w:val="BodyText"/>
        <w:bidi w:val="0"/>
        <w:ind w:left="0"/>
        <w:rPr>
          <w:b/>
        </w:rPr>
      </w:pPr>
    </w:p>
    <w:p w:rsidR="00CB02CD" w:rsidP="00CE2DD8">
      <w:pPr>
        <w:pStyle w:val="BodyText"/>
        <w:bidi w:val="0"/>
        <w:ind w:left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CB02CD" w:rsidP="00CE2DD8">
      <w:pPr>
        <w:pStyle w:val="BodyText"/>
        <w:bidi w:val="0"/>
        <w:ind w:left="0"/>
        <w:rPr>
          <w:bCs/>
        </w:rPr>
      </w:pPr>
    </w:p>
    <w:p w:rsidR="00CB02CD" w:rsidRPr="00CB02CD" w:rsidP="00CE2DD8">
      <w:pPr>
        <w:bidi w:val="0"/>
        <w:ind w:left="0"/>
        <w:jc w:val="both"/>
      </w:pPr>
      <w:r>
        <w:tab/>
        <w:t xml:space="preserve">prerokoval  </w:t>
      </w:r>
      <w:r w:rsidR="005B571B">
        <w:t>n</w:t>
      </w:r>
      <w:r w:rsidRPr="00CB02CD">
        <w:t>ávrh poslankyne Národnej rady Slovenskej republiky Renáty ZMAJKOVIČOVEJ   na vydanie zákona, ktorým sa mení a dopĺňa zákon č. 245/2008 Z. z. o výchove a vzdelávaní (školský zákon) a o zmene a doplnení niektorých zákonov v znení neskorších predpisov (tlač 1140);</w:t>
      </w:r>
    </w:p>
    <w:p w:rsidR="00CB02CD" w:rsidRPr="00CB02CD" w:rsidP="00CE2DD8">
      <w:pPr>
        <w:pStyle w:val="BodyText"/>
        <w:bidi w:val="0"/>
        <w:ind w:left="0"/>
      </w:pPr>
    </w:p>
    <w:p w:rsidR="00CB02CD" w:rsidP="00CE2DD8">
      <w:pPr>
        <w:pStyle w:val="BodyText"/>
        <w:bidi w:val="0"/>
        <w:ind w:left="0"/>
        <w:rPr>
          <w:b/>
          <w:bCs/>
        </w:rPr>
      </w:pPr>
      <w:r w:rsidR="005B571B">
        <w:rPr>
          <w:b/>
          <w:bCs/>
        </w:rPr>
        <w:tab/>
      </w:r>
      <w:r>
        <w:rPr>
          <w:b/>
          <w:bCs/>
        </w:rPr>
        <w:t>A.  s ú h l a s í</w:t>
      </w:r>
    </w:p>
    <w:p w:rsidR="00CB02CD" w:rsidP="00CE2DD8">
      <w:pPr>
        <w:pStyle w:val="BodyText"/>
        <w:bidi w:val="0"/>
        <w:ind w:left="0"/>
        <w:rPr>
          <w:b/>
          <w:bCs/>
        </w:rPr>
      </w:pPr>
    </w:p>
    <w:p w:rsidR="00CB02CD" w:rsidP="00CE2DD8">
      <w:pPr>
        <w:bidi w:val="0"/>
        <w:ind w:left="0"/>
        <w:jc w:val="both"/>
      </w:pPr>
      <w:r>
        <w:tab/>
        <w:t>s</w:t>
      </w:r>
      <w:r w:rsidRPr="00CB02CD">
        <w:t xml:space="preserve"> </w:t>
      </w:r>
      <w:r w:rsidR="005B571B">
        <w:t>n</w:t>
      </w:r>
      <w:r w:rsidRPr="00CB02CD">
        <w:t>ávrh</w:t>
      </w:r>
      <w:r>
        <w:t>om</w:t>
      </w:r>
      <w:r w:rsidRPr="00CB02CD">
        <w:t xml:space="preserve"> poslankyne Národnej rady Slovenskej republiky Renáty ZMAJKOVIČOVEJ   na vydanie zákona, ktorým sa mení a dopĺňa zákon č. 245/2008 Z. z. o výchove a vzdelávaní (školský zákon) a o zmene a doplnení niektorých zákonov v znení neskorších predpisov (tlač 1140)</w:t>
      </w:r>
      <w:r>
        <w:t xml:space="preserve">; </w:t>
      </w:r>
    </w:p>
    <w:p w:rsidR="00CB02CD" w:rsidP="00CE2DD8">
      <w:pPr>
        <w:pStyle w:val="BodyText"/>
        <w:bidi w:val="0"/>
        <w:ind w:left="0"/>
      </w:pPr>
    </w:p>
    <w:p w:rsidR="00CB02CD" w:rsidP="00CE2DD8">
      <w:pPr>
        <w:pStyle w:val="BodyText"/>
        <w:bidi w:val="0"/>
        <w:ind w:left="0" w:firstLine="708"/>
        <w:rPr>
          <w:b/>
          <w:bCs/>
        </w:rPr>
      </w:pPr>
      <w:r>
        <w:rPr>
          <w:b/>
          <w:bCs/>
        </w:rPr>
        <w:t>B.</w:t>
      </w:r>
      <w:r w:rsidR="005B571B">
        <w:rPr>
          <w:b/>
          <w:bCs/>
        </w:rPr>
        <w:t xml:space="preserve"> </w:t>
      </w:r>
      <w:r>
        <w:rPr>
          <w:b/>
          <w:bCs/>
        </w:rPr>
        <w:t xml:space="preserve"> o d p o r ú č a</w:t>
      </w:r>
      <w:r w:rsidR="005B571B">
        <w:rPr>
          <w:b/>
          <w:bCs/>
        </w:rPr>
        <w:t xml:space="preserve"> </w:t>
      </w:r>
    </w:p>
    <w:p w:rsidR="00CB02CD" w:rsidP="00CE2DD8">
      <w:pPr>
        <w:pStyle w:val="BodyText"/>
        <w:bidi w:val="0"/>
        <w:ind w:left="0"/>
        <w:rPr>
          <w:b/>
          <w:bCs/>
        </w:rPr>
      </w:pPr>
      <w:r w:rsidR="005B571B">
        <w:rPr>
          <w:b/>
          <w:bCs/>
        </w:rPr>
        <w:t xml:space="preserve">          </w:t>
      </w:r>
      <w:r w:rsidR="00CE2DD8">
        <w:rPr>
          <w:b/>
          <w:bCs/>
        </w:rPr>
        <w:t xml:space="preserve">      </w:t>
      </w:r>
      <w:r>
        <w:rPr>
          <w:b/>
          <w:bCs/>
        </w:rPr>
        <w:t>Národnej rade Slovenskej republiky</w:t>
      </w:r>
    </w:p>
    <w:p w:rsidR="00CB02CD" w:rsidP="00CE2DD8">
      <w:pPr>
        <w:pStyle w:val="BodyText"/>
        <w:bidi w:val="0"/>
        <w:ind w:left="0"/>
      </w:pPr>
    </w:p>
    <w:p w:rsidR="00FF6A1A" w:rsidP="00CE2DD8">
      <w:pPr>
        <w:bidi w:val="0"/>
        <w:ind w:left="0"/>
        <w:jc w:val="both"/>
      </w:pPr>
      <w:r w:rsidR="00CB02CD">
        <w:tab/>
        <w:t xml:space="preserve">      </w:t>
      </w:r>
      <w:r w:rsidR="005B571B">
        <w:t>n</w:t>
      </w:r>
      <w:r w:rsidRPr="00CB02CD" w:rsidR="00CB02CD">
        <w:t>ávrh poslankyne Národnej rady Slovenskej republiky Renáty ZMAJKOVIČOVEJ   na vydanie zákona, ktorým sa mení a dopĺňa zákon č. 245/2008 Z. z. o výchove a vzdelávaní (školský zákon) a o zmene a doplnení niektorých zákonov v znení neskorších predpisov (tlač 1140)</w:t>
      </w:r>
      <w:r w:rsidR="00CB02CD">
        <w:t xml:space="preserve">  </w:t>
      </w:r>
      <w:r w:rsidR="009F47DD">
        <w:t>s</w:t>
      </w:r>
      <w:r w:rsidR="00CB02CD">
        <w:t>chváliť s pozmeňujúcimi a doplňujúcimi návrhmi</w:t>
      </w:r>
      <w:r>
        <w:t>:</w:t>
      </w:r>
    </w:p>
    <w:p w:rsidR="00FF6A1A" w:rsidP="00CE2DD8">
      <w:pPr>
        <w:bidi w:val="0"/>
        <w:ind w:left="0"/>
        <w:jc w:val="both"/>
      </w:pPr>
    </w:p>
    <w:p w:rsidR="00CB02CD" w:rsidP="00C96E1F">
      <w:pPr>
        <w:pStyle w:val="ListParagraph"/>
        <w:numPr>
          <w:numId w:val="2"/>
        </w:numPr>
        <w:bidi w:val="0"/>
        <w:jc w:val="both"/>
      </w:pPr>
      <w:r w:rsidR="00C96E1F">
        <w:t xml:space="preserve">V § 152 </w:t>
      </w:r>
      <w:r>
        <w:t xml:space="preserve"> </w:t>
      </w:r>
      <w:r w:rsidR="00324B6A">
        <w:t>sa vkladá úvodná veta a odsek (2), ktorý znie:</w:t>
      </w:r>
    </w:p>
    <w:p w:rsidR="00324B6A" w:rsidP="00324B6A">
      <w:pPr>
        <w:pStyle w:val="ListParagraph"/>
        <w:bidi w:val="0"/>
        <w:jc w:val="both"/>
      </w:pPr>
    </w:p>
    <w:p w:rsidR="00324B6A" w:rsidP="00324B6A">
      <w:pPr>
        <w:pStyle w:val="ListParagraph"/>
        <w:bidi w:val="0"/>
        <w:ind w:left="0" w:firstLine="709"/>
        <w:jc w:val="both"/>
      </w:pPr>
      <w:r>
        <w:t>„(2) V školách a v školských zariadeniach sa v rámci ambulantného predaja zakazuje predaj: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doplnkových jedál typu rýchleho občerstvenia,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potravín s obsahom soli nad 1,5g/100 g hmotnosti,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sladkých pekárenských a cukrárenských výrobkov s nižším ako 1/3 podielom ovocnej alebo mliečnej zložky,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cukroviniek alebo cukrárskych výrobkov balených alebo voľných,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zmrzliny, nanukov alebo mrazených ovocných drení,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alkoholických nápojov a piva,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nápojov kolového charakteru alebo nápojov s obsahom  chinínu,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sýtených energetických nápojov a energetických nápojov, vrátane minerálnych vôd ochutených s pridaním cukru,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nápojov s obsahom kávy alebo náhrady kávy a dekofeínových nápojov a</w:t>
      </w:r>
    </w:p>
    <w:p w:rsidR="00324B6A" w:rsidP="00324B6A">
      <w:pPr>
        <w:pStyle w:val="ListParagraph"/>
        <w:numPr>
          <w:numId w:val="3"/>
        </w:numPr>
        <w:bidi w:val="0"/>
        <w:jc w:val="both"/>
      </w:pPr>
      <w:r>
        <w:t>tabaku a výrobkov z nich.“.</w:t>
      </w:r>
    </w:p>
    <w:p w:rsidR="00324B6A" w:rsidP="00324B6A">
      <w:pPr>
        <w:pStyle w:val="ListParagraph"/>
        <w:bidi w:val="0"/>
        <w:ind w:left="1080"/>
        <w:jc w:val="both"/>
      </w:pPr>
    </w:p>
    <w:p w:rsidR="00324B6A" w:rsidP="00324B6A">
      <w:pPr>
        <w:pStyle w:val="ListParagraph"/>
        <w:bidi w:val="0"/>
        <w:ind w:left="1080"/>
        <w:jc w:val="both"/>
      </w:pPr>
      <w:r>
        <w:tab/>
        <w:tab/>
        <w:tab/>
        <w:t xml:space="preserve">Legislatívno-technická úprava vzhľadom na spresnenie </w:t>
        <w:tab/>
        <w:tab/>
        <w:tab/>
        <w:t>textu.</w:t>
      </w:r>
    </w:p>
    <w:p w:rsidR="00324B6A" w:rsidP="00324B6A">
      <w:pPr>
        <w:pStyle w:val="ListParagraph"/>
        <w:bidi w:val="0"/>
        <w:ind w:left="1080"/>
        <w:jc w:val="both"/>
      </w:pPr>
    </w:p>
    <w:p w:rsidR="00E37A8F" w:rsidP="00324B6A">
      <w:pPr>
        <w:pStyle w:val="ListParagraph"/>
        <w:bidi w:val="0"/>
        <w:ind w:left="1080"/>
        <w:jc w:val="both"/>
      </w:pPr>
    </w:p>
    <w:p w:rsidR="00324B6A" w:rsidP="00324B6A">
      <w:pPr>
        <w:pStyle w:val="ListParagraph"/>
        <w:numPr>
          <w:numId w:val="2"/>
        </w:numPr>
        <w:bidi w:val="0"/>
        <w:jc w:val="both"/>
      </w:pPr>
      <w:r>
        <w:t>V § 152 sa za odsek (2) vkladá nový odsek (3), ktorý znie:</w:t>
      </w:r>
    </w:p>
    <w:p w:rsidR="00324B6A" w:rsidP="00324B6A">
      <w:pPr>
        <w:pStyle w:val="ListParagraph"/>
        <w:bidi w:val="0"/>
        <w:jc w:val="both"/>
      </w:pPr>
    </w:p>
    <w:p w:rsidR="00324B6A" w:rsidP="00324B6A">
      <w:pPr>
        <w:pStyle w:val="ListParagraph"/>
        <w:bidi w:val="0"/>
        <w:ind w:left="0" w:firstLine="720"/>
        <w:jc w:val="both"/>
      </w:pPr>
      <w:r>
        <w:t>„(3) Orgánom kontroly na účely dodržiavania ustanovení v odseku (2) tohto zákona je orgán miestnej štátnej správy v školstve vo svojej  územnej pôsobnosti.“.</w:t>
      </w:r>
    </w:p>
    <w:p w:rsidR="00CB02CD" w:rsidP="00324B6A">
      <w:pPr>
        <w:bidi w:val="0"/>
        <w:spacing w:line="360" w:lineRule="auto"/>
        <w:ind w:left="0" w:firstLine="720"/>
        <w:rPr>
          <w:rFonts w:ascii="Times New Roman" w:hAnsi="Times New Roman" w:cs="Times New Roman"/>
        </w:rPr>
      </w:pPr>
    </w:p>
    <w:p w:rsidR="00CB02CD" w:rsidRPr="00324B6A" w:rsidP="005B571B">
      <w:pPr>
        <w:bidi w:val="0"/>
        <w:ind w:left="2835"/>
        <w:jc w:val="both"/>
      </w:pPr>
      <w:r w:rsidRPr="00324B6A" w:rsidR="00324B6A">
        <w:t>Navrhuje</w:t>
      </w:r>
      <w:r w:rsidR="00CE2DD8">
        <w:t xml:space="preserve"> sa</w:t>
      </w:r>
      <w:r w:rsidRPr="00324B6A" w:rsidR="00324B6A">
        <w:t xml:space="preserve"> posilnenie kompetencií orgánu miestnej š</w:t>
      </w:r>
      <w:r w:rsidR="00324B6A">
        <w:t xml:space="preserve">tátnej správy v rámci jeho územnej pôsobnosti, ktoré sa dopĺňajú </w:t>
      </w:r>
      <w:r w:rsidR="005B571B">
        <w:t xml:space="preserve"> o dohľad nad dodržiavaním sortimentu predávaných potravín v rámci ambulantného predaja v školách a v školských zariadeniach.</w:t>
      </w:r>
    </w:p>
    <w:p w:rsidR="00E37A8F" w:rsidP="00CB02CD">
      <w:pPr>
        <w:bidi w:val="0"/>
        <w:spacing w:line="360" w:lineRule="auto"/>
        <w:rPr>
          <w:rFonts w:ascii="Times New Roman" w:hAnsi="Times New Roman" w:cs="Times New Roman"/>
        </w:rPr>
      </w:pPr>
    </w:p>
    <w:p w:rsidR="005B571B" w:rsidRPr="005B571B" w:rsidP="005B571B">
      <w:pPr>
        <w:pStyle w:val="ListParagraph"/>
        <w:numPr>
          <w:numId w:val="2"/>
        </w:numPr>
        <w:bidi w:val="0"/>
        <w:rPr>
          <w:rFonts w:ascii="Times New Roman" w:hAnsi="Times New Roman" w:cs="Times New Roman"/>
        </w:rPr>
      </w:pPr>
      <w:r>
        <w:t>V § 152 sa za novooznačený odsek (3) vkladá nový odsek (4), ktorý znie:</w:t>
      </w:r>
    </w:p>
    <w:p w:rsidR="005B571B" w:rsidRPr="005B571B" w:rsidP="005B571B">
      <w:pPr>
        <w:pStyle w:val="ListParagraph"/>
        <w:bidi w:val="0"/>
        <w:rPr>
          <w:rFonts w:ascii="Times New Roman" w:hAnsi="Times New Roman" w:cs="Times New Roman"/>
        </w:rPr>
      </w:pPr>
    </w:p>
    <w:p w:rsidR="005B571B" w:rsidP="005B571B">
      <w:pPr>
        <w:pStyle w:val="ListParagraph"/>
        <w:bidi w:val="0"/>
        <w:ind w:left="0" w:firstLine="720"/>
        <w:jc w:val="both"/>
      </w:pPr>
      <w:r>
        <w:t>„(4) Za porušenie ustanovení v odseku (2) uloží orgán kontroly pokutu od 50 do 500 eur, pričom prihliada na závažnosť a rozsah porušenia. Orgán kontroly uloží pokutu opakovane až do odstránenia nezákonného stavu a je splatná do 30 dní.“.</w:t>
      </w:r>
    </w:p>
    <w:p w:rsidR="005B571B" w:rsidP="005B571B">
      <w:pPr>
        <w:pStyle w:val="ListParagraph"/>
        <w:bidi w:val="0"/>
        <w:ind w:left="0" w:firstLine="720"/>
        <w:jc w:val="both"/>
      </w:pPr>
    </w:p>
    <w:p w:rsidR="005B571B" w:rsidRPr="005B571B" w:rsidP="005B571B">
      <w:pPr>
        <w:pStyle w:val="ListParagraph"/>
        <w:bidi w:val="0"/>
        <w:ind w:left="2835"/>
        <w:jc w:val="both"/>
        <w:rPr>
          <w:rFonts w:ascii="Times New Roman" w:hAnsi="Times New Roman" w:cs="Times New Roman"/>
        </w:rPr>
      </w:pPr>
      <w:r>
        <w:t>Navrhuje sa sankcia za porušenie ustanovení uvedených v § 152 odseku (2), ktorú udelí orgán kontroly. Sankciu môže orgán kontroly udeliť až do odstránenia nezákonného stavu.</w:t>
      </w:r>
    </w:p>
    <w:p w:rsidR="005B571B" w:rsidP="00CB02CD">
      <w:pPr>
        <w:bidi w:val="0"/>
        <w:spacing w:line="360" w:lineRule="auto"/>
        <w:rPr>
          <w:rFonts w:ascii="Times New Roman" w:hAnsi="Times New Roman" w:cs="Times New Roman"/>
        </w:rPr>
      </w:pPr>
    </w:p>
    <w:p w:rsidR="00CB02CD" w:rsidP="00CB02CD">
      <w:pPr>
        <w:pStyle w:val="BodyText"/>
        <w:numPr>
          <w:numId w:val="1"/>
        </w:numPr>
        <w:bidi w:val="0"/>
        <w:rPr>
          <w:b/>
          <w:bCs/>
        </w:rPr>
      </w:pPr>
      <w:r>
        <w:rPr>
          <w:b/>
          <w:bCs/>
        </w:rPr>
        <w:t>u k l ad á</w:t>
      </w:r>
    </w:p>
    <w:p w:rsidR="00CB02CD" w:rsidP="00CB02CD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 xml:space="preserve">      predsedovi výboru</w:t>
      </w:r>
    </w:p>
    <w:p w:rsidR="005B571B" w:rsidP="00CB02CD">
      <w:pPr>
        <w:pStyle w:val="BodyText"/>
        <w:bidi w:val="0"/>
        <w:rPr>
          <w:b/>
          <w:bCs/>
        </w:rPr>
      </w:pPr>
    </w:p>
    <w:p w:rsidR="00CB02CD" w:rsidP="005B571B">
      <w:pPr>
        <w:pStyle w:val="BodyText"/>
        <w:bidi w:val="0"/>
        <w:ind w:left="0" w:firstLine="720"/>
        <w:rPr>
          <w:b/>
          <w:bCs/>
        </w:rPr>
      </w:pPr>
      <w:r w:rsidR="005B571B">
        <w:rPr>
          <w:bCs/>
        </w:rPr>
        <w:t xml:space="preserve">      </w:t>
      </w:r>
      <w:r>
        <w:rPr>
          <w:bCs/>
        </w:rPr>
        <w:t xml:space="preserve">predložiť stanovisko výboru k uvedenému návrhu zákona predsedovi gestorského výboru - Výboru Národnej rady Slovenskej republiky pre vzdelanie, vedu, mládež a šport.  </w:t>
      </w:r>
    </w:p>
    <w:p w:rsidR="00CB02CD" w:rsidP="00CB02CD">
      <w:pPr>
        <w:pStyle w:val="BodyText"/>
        <w:bidi w:val="0"/>
        <w:ind w:left="705"/>
        <w:rPr>
          <w:b/>
          <w:bCs/>
        </w:rPr>
      </w:pPr>
    </w:p>
    <w:p w:rsidR="00CB02CD" w:rsidP="00CB02CD">
      <w:pPr>
        <w:pStyle w:val="BodyText"/>
        <w:bidi w:val="0"/>
      </w:pPr>
    </w:p>
    <w:p w:rsidR="00CB02CD" w:rsidP="00CB02CD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CB02CD" w:rsidP="00CB02CD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CB02CD" w:rsidP="00CE2DD8">
      <w:pPr>
        <w:tabs>
          <w:tab w:val="left" w:pos="709"/>
          <w:tab w:val="left" w:pos="1077"/>
        </w:tabs>
        <w:bidi w:val="0"/>
        <w:ind w:left="0"/>
        <w:jc w:val="both"/>
        <w:rPr>
          <w:b/>
        </w:rPr>
      </w:pPr>
      <w:r>
        <w:rPr>
          <w:b/>
        </w:rPr>
        <w:t>Janka  Š i p o š o v á</w:t>
      </w:r>
    </w:p>
    <w:p w:rsidR="00CB02CD" w:rsidP="00CE2DD8">
      <w:pPr>
        <w:tabs>
          <w:tab w:val="left" w:pos="709"/>
          <w:tab w:val="left" w:pos="1077"/>
        </w:tabs>
        <w:bidi w:val="0"/>
        <w:ind w:left="0"/>
        <w:jc w:val="both"/>
      </w:pPr>
      <w:r>
        <w:t>overovateľka výboru</w:t>
      </w:r>
    </w:p>
    <w:p w:rsidR="00CB02CD" w:rsidP="00CE2DD8">
      <w:pPr>
        <w:pStyle w:val="Heading4"/>
        <w:tabs>
          <w:tab w:val="left" w:pos="-1985"/>
          <w:tab w:val="left" w:pos="709"/>
          <w:tab w:val="left" w:pos="1077"/>
        </w:tabs>
        <w:bidi w:val="0"/>
        <w:ind w:left="0"/>
        <w:rPr>
          <w:rFonts w:ascii="Arial" w:hAnsi="Arial" w:cs="Arial"/>
          <w:b w:val="0"/>
          <w:bCs w:val="0"/>
        </w:rPr>
      </w:pPr>
    </w:p>
    <w:p w:rsidR="00CB02CD" w:rsidP="00CB02CD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1A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F47DD">
      <w:rPr>
        <w:noProof/>
      </w:rPr>
      <w:t>1</w:t>
    </w:r>
    <w:r>
      <w:fldChar w:fldCharType="end"/>
    </w:r>
  </w:p>
  <w:p w:rsidR="00FF6A1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092"/>
    <w:multiLevelType w:val="hybridMultilevel"/>
    <w:tmpl w:val="43A691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5D904CE"/>
    <w:multiLevelType w:val="hybridMultilevel"/>
    <w:tmpl w:val="2250D5B6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02CD"/>
    <w:rsid w:val="00306928"/>
    <w:rsid w:val="00324B6A"/>
    <w:rsid w:val="005B571B"/>
    <w:rsid w:val="009F47DD"/>
    <w:rsid w:val="00A24CA9"/>
    <w:rsid w:val="00C96E1F"/>
    <w:rsid w:val="00CA75CB"/>
    <w:rsid w:val="00CB02CD"/>
    <w:rsid w:val="00CE2DD8"/>
    <w:rsid w:val="00E37A8F"/>
    <w:rsid w:val="00F547A6"/>
    <w:rsid w:val="00FF6A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CD"/>
    <w:pPr>
      <w:framePr w:wrap="auto"/>
      <w:widowControl/>
      <w:autoSpaceDE/>
      <w:autoSpaceDN/>
      <w:adjustRightInd/>
      <w:ind w:left="72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B02CD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B02CD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B02CD"/>
    <w:rPr>
      <w:rFonts w:cs="Times New Roman"/>
      <w:b/>
      <w:bCs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CB02CD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B02C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B02CD"/>
    <w:rPr>
      <w:rFonts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96E1F"/>
    <w:pPr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FF6A1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F6A1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F6A1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F6A1A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6A1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6A1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3</Pages>
  <Words>543</Words>
  <Characters>3099</Characters>
  <Application>Microsoft Office Word</Application>
  <DocSecurity>0</DocSecurity>
  <Lines>0</Lines>
  <Paragraphs>0</Paragraphs>
  <ScaleCrop>false</ScaleCrop>
  <Company>Kancelaria NR SR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2014-10-01T13:14:00Z</cp:lastPrinted>
  <dcterms:created xsi:type="dcterms:W3CDTF">2014-09-23T13:51:00Z</dcterms:created>
  <dcterms:modified xsi:type="dcterms:W3CDTF">2014-10-01T13:14:00Z</dcterms:modified>
</cp:coreProperties>
</file>