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B2CBE">
        <w:rPr>
          <w:sz w:val="22"/>
          <w:szCs w:val="22"/>
        </w:rPr>
        <w:t>1828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B2CB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B2CBE">
        <w:t>1222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B2CBE">
        <w:rPr>
          <w:rFonts w:ascii="Arial" w:hAnsi="Arial" w:cs="Arial"/>
          <w:sz w:val="22"/>
          <w:szCs w:val="22"/>
        </w:rPr>
        <w:t> 29.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8B2CBE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8B2CB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B2CB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B2CBE">
        <w:rPr>
          <w:rFonts w:cs="Arial"/>
          <w:szCs w:val="22"/>
        </w:rPr>
        <w:t>zákon Národnej rady Slo</w:t>
      </w:r>
      <w:r w:rsidR="00E47AFA">
        <w:rPr>
          <w:rFonts w:cs="Arial"/>
          <w:szCs w:val="22"/>
        </w:rPr>
        <w:t>v</w:t>
      </w:r>
      <w:r w:rsidR="008B2CBE">
        <w:rPr>
          <w:rFonts w:cs="Arial"/>
          <w:szCs w:val="22"/>
        </w:rPr>
        <w:t>enskej republiky</w:t>
        <w:br/>
        <w:t>č. 350/1996 Z. z. o rokovacom poriadku Národnej rady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B2CBE">
        <w:rPr>
          <w:rFonts w:cs="Arial"/>
          <w:szCs w:val="22"/>
        </w:rPr>
        <w:t>1224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B2CBE">
        <w:rPr>
          <w:rFonts w:cs="Arial"/>
          <w:szCs w:val="22"/>
        </w:rPr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2CBE" w:rsidP="008B2CB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8B2CBE" w:rsidP="008B2CB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8B2CBE" w:rsidP="008B2CB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2CBE" w:rsidP="008B2CB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B2CBE" w:rsidP="008B2CBE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8B2CBE" w:rsidP="008B2CBE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8B2CBE" w:rsidP="008B2CBE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8B2CBE" w:rsidP="008B2CBE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2CBE" w:rsidP="008B2CBE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8B2CBE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2CBE"/>
    <w:rsid w:val="00992885"/>
    <w:rsid w:val="00AA3DED"/>
    <w:rsid w:val="00AB4082"/>
    <w:rsid w:val="00AD734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7AFA"/>
    <w:rsid w:val="00E66789"/>
    <w:rsid w:val="00E93847"/>
    <w:rsid w:val="00EF4E86"/>
    <w:rsid w:val="00F46EEF"/>
    <w:rsid w:val="00F87FA7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2014-09-29T08:53:00Z</cp:lastPrinted>
  <dcterms:created xsi:type="dcterms:W3CDTF">2014-10-01T09:41:00Z</dcterms:created>
  <dcterms:modified xsi:type="dcterms:W3CDTF">2014-10-01T09:41:00Z</dcterms:modified>
</cp:coreProperties>
</file>