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527D1E" w:rsidRPr="00310EAA" w:rsidP="00310EAA">
      <w:pPr>
        <w:tabs>
          <w:tab w:val="left" w:pos="2085"/>
        </w:tabs>
        <w:bidi w:val="0"/>
        <w:jc w:val="both"/>
        <w:rPr>
          <w:rFonts w:cs="Times New Roman"/>
          <w:bCs/>
          <w:u w:val="single"/>
        </w:rPr>
      </w:pPr>
    </w:p>
    <w:p w:rsidR="00914B1E" w:rsidRPr="00914B1E" w:rsidP="00914B1E">
      <w:pPr>
        <w:bidi w:val="0"/>
        <w:ind w:firstLine="708"/>
        <w:jc w:val="both"/>
        <w:rPr>
          <w:rFonts w:cs="Times New Roman"/>
        </w:rPr>
      </w:pPr>
      <w:r w:rsidRPr="00914B1E" w:rsidR="00152B37">
        <w:rPr>
          <w:rFonts w:hint="default"/>
          <w:color w:val="000000"/>
        </w:rPr>
        <w:t>Ná</w:t>
      </w:r>
      <w:r w:rsidRPr="00914B1E" w:rsidR="00152B37">
        <w:rPr>
          <w:rFonts w:hint="default"/>
          <w:color w:val="000000"/>
        </w:rPr>
        <w:t>vrh zá</w:t>
      </w:r>
      <w:r w:rsidRPr="00914B1E" w:rsidR="00152B37">
        <w:rPr>
          <w:rFonts w:hint="default"/>
          <w:color w:val="000000"/>
        </w:rPr>
        <w:t xml:space="preserve">kona, </w:t>
      </w:r>
      <w:r w:rsidRPr="00914B1E" w:rsidR="00310EAA">
        <w:rPr>
          <w:rFonts w:hint="default"/>
        </w:rPr>
        <w:t>ktorý</w:t>
      </w:r>
      <w:r w:rsidRPr="00914B1E" w:rsidR="00310EAA">
        <w:rPr>
          <w:rFonts w:hint="default"/>
        </w:rPr>
        <w:t xml:space="preserve">m sa </w:t>
      </w:r>
      <w:r>
        <w:rPr>
          <w:rFonts w:hint="default"/>
        </w:rPr>
        <w:t>dopĺň</w:t>
      </w:r>
      <w:r>
        <w:rPr>
          <w:rFonts w:hint="default"/>
        </w:rPr>
        <w:t>a zá</w:t>
      </w:r>
      <w:r>
        <w:rPr>
          <w:rFonts w:hint="default"/>
        </w:rPr>
        <w:t xml:space="preserve">kon </w:t>
      </w:r>
      <w:r w:rsidRPr="00914B1E">
        <w:rPr>
          <w:rFonts w:hint="default"/>
          <w:color w:val="000000"/>
        </w:rPr>
        <w:t>Slovenskej ná</w:t>
      </w:r>
      <w:r w:rsidRPr="00914B1E">
        <w:rPr>
          <w:rFonts w:hint="default"/>
          <w:color w:val="000000"/>
        </w:rPr>
        <w:t>rodnej rady č</w:t>
      </w:r>
      <w:r w:rsidRPr="00914B1E">
        <w:rPr>
          <w:rFonts w:hint="default"/>
          <w:color w:val="000000"/>
        </w:rPr>
        <w:t xml:space="preserve">. 372/1990 Zb. o priestupkoch </w:t>
      </w:r>
      <w:r w:rsidRPr="00914B1E">
        <w:t>v </w:t>
      </w:r>
      <w:r w:rsidRPr="00914B1E">
        <w:rPr>
          <w:rFonts w:hint="default"/>
        </w:rPr>
        <w:t>znení</w:t>
      </w:r>
      <w:r w:rsidRPr="00914B1E">
        <w:rPr>
          <w:rFonts w:hint="default"/>
        </w:rPr>
        <w:t xml:space="preserve"> neskorší</w:t>
      </w:r>
      <w:r w:rsidRPr="00914B1E">
        <w:rPr>
          <w:rFonts w:hint="default"/>
        </w:rPr>
        <w:t>ch predpisov</w:t>
      </w:r>
      <w:r>
        <w:rPr>
          <w:rFonts w:cs="Times New Roman" w:hint="default"/>
        </w:rPr>
        <w:t xml:space="preserve"> predovš</w:t>
      </w:r>
      <w:r>
        <w:rPr>
          <w:rFonts w:cs="Times New Roman" w:hint="default"/>
        </w:rPr>
        <w:t>etký</w:t>
      </w:r>
      <w:r>
        <w:rPr>
          <w:rFonts w:cs="Times New Roman" w:hint="default"/>
        </w:rPr>
        <w:t xml:space="preserve">m </w:t>
      </w:r>
      <w:r w:rsidRPr="00914B1E" w:rsidR="00152B37">
        <w:rPr>
          <w:rFonts w:hint="default"/>
          <w:color w:val="000000"/>
        </w:rPr>
        <w:t>zohľ</w:t>
      </w:r>
      <w:r w:rsidRPr="00914B1E" w:rsidR="00152B37">
        <w:rPr>
          <w:rFonts w:hint="default"/>
          <w:color w:val="000000"/>
        </w:rPr>
        <w:t>adň</w:t>
      </w:r>
      <w:r w:rsidRPr="00914B1E" w:rsidR="00152B37">
        <w:rPr>
          <w:rFonts w:hint="default"/>
          <w:color w:val="000000"/>
        </w:rPr>
        <w:t>uje doterajš</w:t>
      </w:r>
      <w:r w:rsidRPr="00914B1E" w:rsidR="00152B37">
        <w:rPr>
          <w:rFonts w:hint="default"/>
          <w:color w:val="000000"/>
        </w:rPr>
        <w:t>ie poznatky z</w:t>
      </w:r>
      <w:r>
        <w:rPr>
          <w:color w:val="000000"/>
        </w:rPr>
        <w:t> </w:t>
      </w:r>
      <w:r>
        <w:rPr>
          <w:rFonts w:hint="default"/>
          <w:color w:val="000000"/>
        </w:rPr>
        <w:t>aplikač</w:t>
      </w:r>
      <w:r>
        <w:rPr>
          <w:rFonts w:hint="default"/>
          <w:color w:val="000000"/>
        </w:rPr>
        <w:t xml:space="preserve">nej </w:t>
      </w:r>
      <w:r w:rsidRPr="00914B1E" w:rsidR="00152B37">
        <w:rPr>
          <w:rFonts w:hint="default"/>
          <w:color w:val="000000"/>
        </w:rPr>
        <w:t>praxe sú</w:t>
      </w:r>
      <w:r w:rsidRPr="00914B1E" w:rsidR="00152B37">
        <w:rPr>
          <w:rFonts w:hint="default"/>
          <w:color w:val="000000"/>
        </w:rPr>
        <w:t>visiace s</w:t>
      </w:r>
      <w:r>
        <w:rPr>
          <w:rFonts w:hint="default"/>
          <w:color w:val="000000"/>
        </w:rPr>
        <w:t>o situá</w:t>
      </w:r>
      <w:r>
        <w:rPr>
          <w:rFonts w:hint="default"/>
          <w:color w:val="000000"/>
        </w:rPr>
        <w:t>ciou, ak v blokovo</w:t>
      </w:r>
      <w:r>
        <w:rPr>
          <w:rFonts w:hint="default"/>
          <w:color w:val="000000"/>
        </w:rPr>
        <w:t>m konaní</w:t>
      </w:r>
      <w:r w:rsidRPr="00914B1E" w:rsidR="00152B37">
        <w:rPr>
          <w:color w:val="000000"/>
        </w:rPr>
        <w:t xml:space="preserve"> </w:t>
      </w:r>
      <w:r w:rsidRPr="00914B1E">
        <w:rPr>
          <w:rFonts w:eastAsia="Times New Roman" w:cs="Times New Roman"/>
          <w:color w:val="000000"/>
          <w:lang w:eastAsia="cs-CZ"/>
        </w:rPr>
        <w:t>nemôže páchateľ priestupku zaplatiť pokutu na mieste</w:t>
      </w:r>
      <w:r>
        <w:rPr>
          <w:rFonts w:eastAsia="Times New Roman" w:cs="Times New Roman"/>
          <w:color w:val="000000"/>
          <w:lang w:eastAsia="cs-CZ"/>
        </w:rPr>
        <w:t xml:space="preserve">. Podľa súčasnej právnej úpravy v zmysle § 85 ods. 3 </w:t>
      </w:r>
      <w:r>
        <w:rPr>
          <w:rFonts w:hint="default"/>
        </w:rPr>
        <w:t>zá</w:t>
      </w:r>
      <w:r>
        <w:rPr>
          <w:rFonts w:hint="default"/>
        </w:rPr>
        <w:t xml:space="preserve">kona </w:t>
      </w:r>
      <w:r w:rsidRPr="00914B1E">
        <w:rPr>
          <w:rFonts w:hint="default"/>
          <w:color w:val="000000"/>
        </w:rPr>
        <w:t>Slovenskej ná</w:t>
      </w:r>
      <w:r w:rsidRPr="00914B1E">
        <w:rPr>
          <w:rFonts w:hint="default"/>
          <w:color w:val="000000"/>
        </w:rPr>
        <w:t>rodnej rady č</w:t>
      </w:r>
      <w:r w:rsidRPr="00914B1E">
        <w:rPr>
          <w:rFonts w:hint="default"/>
          <w:color w:val="000000"/>
        </w:rPr>
        <w:t xml:space="preserve">. 372/1990 Zb. o priestupkoch </w:t>
      </w:r>
      <w:r w:rsidRPr="00914B1E">
        <w:t>v </w:t>
      </w:r>
      <w:r w:rsidRPr="00914B1E">
        <w:rPr>
          <w:rFonts w:hint="default"/>
        </w:rPr>
        <w:t>znení</w:t>
      </w:r>
      <w:r w:rsidRPr="00914B1E">
        <w:rPr>
          <w:rFonts w:hint="default"/>
        </w:rPr>
        <w:t xml:space="preserve"> neskorší</w:t>
      </w:r>
      <w:r w:rsidRPr="00914B1E">
        <w:rPr>
          <w:rFonts w:hint="default"/>
        </w:rPr>
        <w:t>ch predpisov</w:t>
      </w:r>
      <w:r>
        <w:t xml:space="preserve"> </w:t>
      </w:r>
      <w:r>
        <w:rPr>
          <w:rFonts w:eastAsia="Times New Roman" w:cs="Times New Roman"/>
          <w:color w:val="000000"/>
          <w:lang w:eastAsia="cs-CZ"/>
        </w:rPr>
        <w:t>a</w:t>
      </w:r>
      <w:r w:rsidRPr="00914B1E">
        <w:rPr>
          <w:rFonts w:eastAsia="Times New Roman" w:cs="Times New Roman"/>
          <w:color w:val="000000"/>
          <w:lang w:eastAsia="cs-CZ"/>
        </w:rPr>
        <w:t>k nemôže páchateľ priestupku zaplatiť pokutu na mieste, vydá sa mu blok na pokutu na mieste nezaplatenú s poučením o spôsobe zaplatenia pokuty, o lehote jej zaplatenia a následkoch nezaplatenia pokuty. Prevzatie tohto bloku páchateľ priestupku potvrdí.</w:t>
      </w:r>
    </w:p>
    <w:p w:rsidR="00745A61" w:rsidP="00152B37">
      <w:pPr>
        <w:bidi w:val="0"/>
        <w:ind w:firstLine="708"/>
        <w:jc w:val="both"/>
        <w:rPr>
          <w:rFonts w:cs="Times New Roman"/>
        </w:rPr>
      </w:pPr>
    </w:p>
    <w:p w:rsidR="00152B37" w:rsidRPr="00B7527F" w:rsidP="00152B37">
      <w:pPr>
        <w:bidi w:val="0"/>
        <w:ind w:firstLine="708"/>
        <w:jc w:val="both"/>
        <w:rPr>
          <w:rFonts w:cs="Times New Roman"/>
          <w:color w:val="000000"/>
        </w:rPr>
      </w:pPr>
      <w:r w:rsidRPr="00B7527F" w:rsidR="00745A61">
        <w:rPr>
          <w:rFonts w:cs="Times New Roman" w:hint="default"/>
        </w:rPr>
        <w:t>Cieľ</w:t>
      </w:r>
      <w:r w:rsidRPr="00B7527F" w:rsidR="00745A61">
        <w:rPr>
          <w:rFonts w:cs="Times New Roman" w:hint="default"/>
        </w:rPr>
        <w:t xml:space="preserve">om navrhovanej </w:t>
      </w:r>
      <w:r w:rsidR="00812531">
        <w:rPr>
          <w:rFonts w:cs="Times New Roman" w:hint="default"/>
        </w:rPr>
        <w:t>prá</w:t>
      </w:r>
      <w:r w:rsidR="00812531">
        <w:rPr>
          <w:rFonts w:cs="Times New Roman" w:hint="default"/>
        </w:rPr>
        <w:t xml:space="preserve">vnej </w:t>
      </w:r>
      <w:r w:rsidRPr="00B7527F" w:rsidR="00745A61">
        <w:rPr>
          <w:rFonts w:cs="Times New Roman" w:hint="default"/>
        </w:rPr>
        <w:t>ú</w:t>
      </w:r>
      <w:r w:rsidRPr="00B7527F" w:rsidR="00745A61">
        <w:rPr>
          <w:rFonts w:cs="Times New Roman" w:hint="default"/>
        </w:rPr>
        <w:t xml:space="preserve">pravy je </w:t>
      </w:r>
      <w:r w:rsidR="005C4FE7">
        <w:rPr>
          <w:rFonts w:cs="Times New Roman" w:hint="default"/>
        </w:rPr>
        <w:t>najmä</w:t>
      </w:r>
      <w:r w:rsidR="005C4FE7">
        <w:rPr>
          <w:rFonts w:cs="Times New Roman" w:hint="default"/>
        </w:rPr>
        <w:t xml:space="preserve"> </w:t>
      </w:r>
      <w:r w:rsidRPr="00B7527F" w:rsidR="00745A61">
        <w:rPr>
          <w:rFonts w:cs="Times New Roman"/>
        </w:rPr>
        <w:t>snaha za</w:t>
      </w:r>
      <w:r w:rsidRPr="00B7527F" w:rsidR="00745A61">
        <w:rPr>
          <w:rFonts w:cs="Times New Roman" w:hint="default"/>
        </w:rPr>
        <w:t>medziť</w:t>
      </w:r>
      <w:r w:rsidRPr="00B7527F" w:rsidR="00745A61">
        <w:rPr>
          <w:rFonts w:cs="Times New Roman" w:hint="default"/>
        </w:rPr>
        <w:t xml:space="preserve"> zneuží</w:t>
      </w:r>
      <w:r w:rsidRPr="00B7527F" w:rsidR="00745A61">
        <w:rPr>
          <w:rFonts w:cs="Times New Roman" w:hint="default"/>
        </w:rPr>
        <w:t>vaniu</w:t>
      </w:r>
      <w:r w:rsidR="00745A61">
        <w:rPr>
          <w:rFonts w:cs="Times New Roman"/>
        </w:rPr>
        <w:t xml:space="preserve"> </w:t>
      </w:r>
      <w:r w:rsidR="00914B1E">
        <w:rPr>
          <w:rFonts w:cs="Times New Roman" w:hint="default"/>
        </w:rPr>
        <w:t>vyšš</w:t>
      </w:r>
      <w:r w:rsidR="00914B1E">
        <w:rPr>
          <w:rFonts w:cs="Times New Roman" w:hint="default"/>
        </w:rPr>
        <w:t>ie uvedené</w:t>
      </w:r>
      <w:r w:rsidR="00914B1E">
        <w:rPr>
          <w:rFonts w:cs="Times New Roman" w:hint="default"/>
        </w:rPr>
        <w:t xml:space="preserve">ho </w:t>
      </w:r>
      <w:r w:rsidR="00745A61">
        <w:rPr>
          <w:rFonts w:cs="Times New Roman" w:hint="default"/>
        </w:rPr>
        <w:t>inš</w:t>
      </w:r>
      <w:r w:rsidR="00745A61">
        <w:rPr>
          <w:rFonts w:cs="Times New Roman" w:hint="default"/>
        </w:rPr>
        <w:t>titú</w:t>
      </w:r>
      <w:r w:rsidR="00745A61">
        <w:rPr>
          <w:rFonts w:cs="Times New Roman" w:hint="default"/>
        </w:rPr>
        <w:t xml:space="preserve">tu </w:t>
      </w:r>
      <w:r w:rsidR="00914B1E">
        <w:rPr>
          <w:rFonts w:cs="Times New Roman" w:hint="default"/>
        </w:rPr>
        <w:t>zo strany osô</w:t>
      </w:r>
      <w:r w:rsidR="00914B1E">
        <w:rPr>
          <w:rFonts w:cs="Times New Roman" w:hint="default"/>
        </w:rPr>
        <w:t>b,</w:t>
      </w:r>
      <w:r w:rsidR="00812531">
        <w:rPr>
          <w:rFonts w:cs="Times New Roman" w:hint="default"/>
        </w:rPr>
        <w:t xml:space="preserve"> ktoré</w:t>
      </w:r>
      <w:r w:rsidR="00812531">
        <w:rPr>
          <w:rFonts w:cs="Times New Roman" w:hint="default"/>
        </w:rPr>
        <w:t xml:space="preserve"> už</w:t>
      </w:r>
      <w:r w:rsidR="00812531">
        <w:rPr>
          <w:rFonts w:cs="Times New Roman" w:hint="default"/>
        </w:rPr>
        <w:t xml:space="preserve"> v momente prevzatia bloku po</w:t>
      </w:r>
      <w:r w:rsidR="005C4FE7">
        <w:rPr>
          <w:rFonts w:cs="Times New Roman" w:hint="default"/>
        </w:rPr>
        <w:t>dľ</w:t>
      </w:r>
      <w:r w:rsidR="005C4FE7">
        <w:rPr>
          <w:rFonts w:cs="Times New Roman" w:hint="default"/>
        </w:rPr>
        <w:t>a vyšš</w:t>
      </w:r>
      <w:r w:rsidR="005C4FE7">
        <w:rPr>
          <w:rFonts w:cs="Times New Roman" w:hint="default"/>
        </w:rPr>
        <w:t>ie uvedený</w:t>
      </w:r>
      <w:r w:rsidR="005C4FE7">
        <w:rPr>
          <w:rFonts w:cs="Times New Roman" w:hint="default"/>
        </w:rPr>
        <w:t>ch ustanovení</w:t>
      </w:r>
      <w:r w:rsidR="00812531">
        <w:rPr>
          <w:rFonts w:cs="Times New Roman" w:hint="default"/>
        </w:rPr>
        <w:t xml:space="preserve"> sú</w:t>
      </w:r>
      <w:r w:rsidR="00812531">
        <w:rPr>
          <w:rFonts w:cs="Times New Roman" w:hint="default"/>
        </w:rPr>
        <w:t xml:space="preserve"> si vedomé</w:t>
      </w:r>
      <w:r w:rsidR="00812531">
        <w:rPr>
          <w:rFonts w:cs="Times New Roman" w:hint="default"/>
        </w:rPr>
        <w:t>, ž</w:t>
      </w:r>
      <w:r w:rsidR="00812531">
        <w:rPr>
          <w:rFonts w:cs="Times New Roman" w:hint="default"/>
        </w:rPr>
        <w:t>e nezaplatia udelenú</w:t>
      </w:r>
      <w:r w:rsidR="00812531">
        <w:rPr>
          <w:rFonts w:cs="Times New Roman" w:hint="default"/>
        </w:rPr>
        <w:t xml:space="preserve"> pokutu.</w:t>
      </w:r>
      <w:r w:rsidR="00914B1E">
        <w:rPr>
          <w:rFonts w:cs="Times New Roman"/>
        </w:rPr>
        <w:t xml:space="preserve">   </w:t>
      </w:r>
    </w:p>
    <w:p w:rsidR="00152B37" w:rsidP="00152B37">
      <w:pPr>
        <w:bidi w:val="0"/>
        <w:jc w:val="both"/>
        <w:rPr>
          <w:rFonts w:cs="Times New Roman"/>
          <w:color w:val="000000"/>
        </w:rPr>
      </w:pPr>
    </w:p>
    <w:p w:rsidR="00812531" w:rsidRPr="002842F3" w:rsidP="00812531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Pr="00914B1E">
        <w:rPr>
          <w:rFonts w:hint="default"/>
          <w:color w:val="000000"/>
        </w:rPr>
        <w:t>Ná</w:t>
      </w:r>
      <w:r w:rsidRPr="00914B1E">
        <w:rPr>
          <w:rFonts w:hint="default"/>
          <w:color w:val="000000"/>
        </w:rPr>
        <w:t>vrh zá</w:t>
      </w:r>
      <w:r w:rsidRPr="00914B1E">
        <w:rPr>
          <w:rFonts w:hint="default"/>
          <w:color w:val="000000"/>
        </w:rPr>
        <w:t xml:space="preserve">kona, </w:t>
      </w:r>
      <w:r w:rsidRPr="00914B1E">
        <w:rPr>
          <w:rFonts w:hint="default"/>
        </w:rPr>
        <w:t>ktorý</w:t>
      </w:r>
      <w:r w:rsidRPr="00914B1E">
        <w:rPr>
          <w:rFonts w:hint="default"/>
        </w:rPr>
        <w:t xml:space="preserve">m sa </w:t>
      </w:r>
      <w:r>
        <w:rPr>
          <w:rFonts w:hint="default"/>
        </w:rPr>
        <w:t>dopĺň</w:t>
      </w:r>
      <w:r>
        <w:rPr>
          <w:rFonts w:hint="default"/>
        </w:rPr>
        <w:t>a zá</w:t>
      </w:r>
      <w:r>
        <w:rPr>
          <w:rFonts w:hint="default"/>
        </w:rPr>
        <w:t>kon</w:t>
      </w:r>
      <w:r>
        <w:rPr>
          <w:color w:val="000000"/>
        </w:rPr>
        <w:t xml:space="preserve"> </w:t>
      </w:r>
      <w:r w:rsidRPr="00914B1E">
        <w:rPr>
          <w:rFonts w:hint="default"/>
          <w:color w:val="000000"/>
        </w:rPr>
        <w:t>Slovenskej ná</w:t>
      </w:r>
      <w:r w:rsidRPr="00914B1E">
        <w:rPr>
          <w:rFonts w:hint="default"/>
          <w:color w:val="000000"/>
        </w:rPr>
        <w:t>rodnej rady č</w:t>
      </w:r>
      <w:r w:rsidRPr="00914B1E">
        <w:rPr>
          <w:rFonts w:hint="default"/>
          <w:color w:val="000000"/>
        </w:rPr>
        <w:t>. 372/1990 Zb.</w:t>
      </w:r>
      <w:r w:rsidRPr="00914B1E">
        <w:rPr>
          <w:rFonts w:hint="default"/>
          <w:color w:val="000000"/>
        </w:rPr>
        <w:t xml:space="preserve"> o priestupkoch </w:t>
      </w:r>
      <w:r w:rsidRPr="00914B1E">
        <w:t>v </w:t>
      </w:r>
      <w:r w:rsidRPr="00914B1E">
        <w:rPr>
          <w:rFonts w:hint="default"/>
        </w:rPr>
        <w:t>znení</w:t>
      </w:r>
      <w:r w:rsidRPr="00914B1E">
        <w:rPr>
          <w:rFonts w:hint="default"/>
        </w:rPr>
        <w:t xml:space="preserve"> neskorší</w:t>
      </w:r>
      <w:r w:rsidRPr="00914B1E">
        <w:rPr>
          <w:rFonts w:hint="default"/>
        </w:rPr>
        <w:t>ch predpisov</w:t>
      </w:r>
      <w:r>
        <w:rPr>
          <w:rFonts w:hint="default"/>
        </w:rPr>
        <w:t xml:space="preserve"> dopĺň</w:t>
      </w:r>
      <w:r>
        <w:rPr>
          <w:rFonts w:hint="default"/>
        </w:rPr>
        <w:t>a do predmetné</w:t>
      </w:r>
      <w:r>
        <w:rPr>
          <w:rFonts w:hint="default"/>
        </w:rPr>
        <w:t>ho zá</w:t>
      </w:r>
      <w:r>
        <w:rPr>
          <w:rFonts w:hint="default"/>
        </w:rPr>
        <w:t>kona prá</w:t>
      </w:r>
      <w:r>
        <w:rPr>
          <w:rFonts w:hint="default"/>
        </w:rPr>
        <w:t>vnu ú</w:t>
      </w:r>
      <w:r>
        <w:rPr>
          <w:rFonts w:hint="default"/>
        </w:rPr>
        <w:t>pravu, v zmysle ktorej a</w:t>
      </w:r>
      <w:r>
        <w:rPr>
          <w:rFonts w:eastAsia="Times New Roman" w:cs="Times New Roman"/>
          <w:color w:val="000000"/>
          <w:lang w:eastAsia="cs-CZ"/>
        </w:rPr>
        <w:t>k páchateľ priestupku nezaplatí pokutu na mieste, mal by konajúci orgán právo páchateľovi priestupku odobrať akúkoľvek hnuteľnú vec vo vlastníctve páchateľa priestupku podľa vlastnej úvahy a to až do okamihu zaplatenia pokuty, po ktorom je konajúci orgán povinný bez zbytočného odkladu vrátiť odobratú hnuteľnú vec páchateľovi priestupku. Odobratie veci by nebolo možné vykonať</w:t>
      </w:r>
      <w:r w:rsidRPr="002842F3">
        <w:rPr>
          <w:rFonts w:eastAsia="Times New Roman" w:cs="Times New Roman"/>
          <w:color w:val="000000"/>
          <w:lang w:eastAsia="cs-CZ"/>
        </w:rPr>
        <w:t xml:space="preserve">, ak </w:t>
      </w:r>
      <w:r>
        <w:rPr>
          <w:rFonts w:eastAsia="Times New Roman" w:cs="Times New Roman"/>
          <w:color w:val="000000"/>
          <w:lang w:eastAsia="cs-CZ"/>
        </w:rPr>
        <w:t xml:space="preserve">vec slúži alebo má slúžiť na zabezpečenie základných životných potrieb alebo ak </w:t>
      </w:r>
      <w:r w:rsidRPr="002842F3">
        <w:rPr>
          <w:rFonts w:eastAsia="Times New Roman" w:cs="Times New Roman"/>
          <w:color w:val="000000"/>
          <w:lang w:eastAsia="cs-CZ"/>
        </w:rPr>
        <w:t>je jej hodnota v nápadnom nepomere k povahe priestupku.</w:t>
      </w:r>
    </w:p>
    <w:p w:rsidR="00812531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vplyvy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 w:hint="default"/>
        </w:rPr>
        <w:t>, nebude mať</w:t>
      </w:r>
      <w:r w:rsidRPr="00AC73A6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iadne sociá</w:t>
      </w:r>
      <w:r>
        <w:rPr>
          <w:rFonts w:cs="Times New Roman" w:hint="default"/>
        </w:rPr>
        <w:t>lne vplyvy a ani</w:t>
      </w:r>
      <w:r w:rsidRPr="00AC73A6">
        <w:rPr>
          <w:rFonts w:cs="Times New Roman"/>
        </w:rPr>
        <w:t xml:space="preserve"> </w:t>
      </w:r>
      <w:r>
        <w:rPr>
          <w:rFonts w:cs="Times New Roman"/>
        </w:rPr>
        <w:t xml:space="preserve">vplyvy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</w:t>
      </w:r>
      <w:r w:rsidRPr="00AC73A6">
        <w:rPr>
          <w:rFonts w:cs="Times New Roman" w:hint="default"/>
        </w:rPr>
        <w:t>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>odnej</w:t>
      </w:r>
      <w:r>
        <w:rPr>
          <w:rFonts w:cs="Times New Roman"/>
        </w:rPr>
        <w:t xml:space="preserve"> 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310EAA" w:rsidP="00745A61">
      <w:pPr>
        <w:widowControl w:val="0"/>
        <w:bidi w:val="0"/>
        <w:jc w:val="both"/>
        <w:rPr>
          <w:rFonts w:cs="Times New Roman"/>
        </w:rPr>
      </w:pPr>
    </w:p>
    <w:p w:rsidR="00745A61" w:rsidRPr="00310EAA" w:rsidP="00745A61">
      <w:pPr>
        <w:bidi w:val="0"/>
        <w:jc w:val="both"/>
      </w:pPr>
      <w:r w:rsidRPr="00310EAA">
        <w:rPr>
          <w:rFonts w:cs="Times New Roman"/>
        </w:rPr>
        <w:t xml:space="preserve">2. </w:t>
      </w:r>
      <w:r w:rsidRPr="00310EAA">
        <w:rPr>
          <w:rFonts w:cs="Times New Roman" w:hint="default"/>
          <w:b/>
          <w:bCs/>
        </w:rPr>
        <w:t>Ná</w:t>
      </w:r>
      <w:r w:rsidRPr="00310EAA">
        <w:rPr>
          <w:rFonts w:cs="Times New Roman" w:hint="default"/>
          <w:b/>
          <w:bCs/>
        </w:rPr>
        <w:t>zov ná</w:t>
      </w:r>
      <w:r w:rsidRPr="00310EAA">
        <w:rPr>
          <w:rFonts w:cs="Times New Roman" w:hint="default"/>
          <w:b/>
          <w:bCs/>
        </w:rPr>
        <w:t>vrhu zá</w:t>
      </w:r>
      <w:r w:rsidRPr="00310EAA">
        <w:rPr>
          <w:rFonts w:cs="Times New Roman" w:hint="default"/>
          <w:b/>
          <w:bCs/>
        </w:rPr>
        <w:t xml:space="preserve">kona:  </w:t>
      </w:r>
      <w:r w:rsidRPr="00310EAA">
        <w:rPr>
          <w:rFonts w:cs="Times New Roman" w:hint="default"/>
        </w:rPr>
        <w:t>Ná</w:t>
      </w:r>
      <w:r w:rsidRPr="00310EAA">
        <w:rPr>
          <w:rFonts w:cs="Times New Roman" w:hint="default"/>
        </w:rPr>
        <w:t>vrh zá</w:t>
      </w:r>
      <w:r w:rsidRPr="00310EAA">
        <w:rPr>
          <w:rFonts w:cs="Times New Roman" w:hint="default"/>
        </w:rPr>
        <w:t xml:space="preserve">kona, </w:t>
      </w:r>
      <w:r w:rsidRPr="00310EAA" w:rsidR="00310EAA">
        <w:rPr>
          <w:rFonts w:hint="default"/>
        </w:rPr>
        <w:t>ktorý</w:t>
      </w:r>
      <w:r w:rsidRPr="00310EAA" w:rsidR="00310EAA">
        <w:rPr>
          <w:rFonts w:hint="default"/>
        </w:rPr>
        <w:t xml:space="preserve">m </w:t>
      </w:r>
      <w:r w:rsidRPr="00914B1E" w:rsidR="005C4FE7">
        <w:t xml:space="preserve">sa </w:t>
      </w:r>
      <w:r w:rsidR="005C4FE7">
        <w:rPr>
          <w:rFonts w:hint="default"/>
        </w:rPr>
        <w:t>dopĺň</w:t>
      </w:r>
      <w:r w:rsidR="005C4FE7">
        <w:rPr>
          <w:rFonts w:hint="default"/>
        </w:rPr>
        <w:t>a zá</w:t>
      </w:r>
      <w:r w:rsidR="005C4FE7">
        <w:rPr>
          <w:rFonts w:hint="default"/>
        </w:rPr>
        <w:t xml:space="preserve">kon </w:t>
      </w:r>
      <w:r w:rsidRPr="00914B1E" w:rsidR="005C4FE7">
        <w:rPr>
          <w:rFonts w:hint="default"/>
          <w:color w:val="000000"/>
        </w:rPr>
        <w:t>Slovenskej ná</w:t>
      </w:r>
      <w:r w:rsidRPr="00914B1E" w:rsidR="005C4FE7">
        <w:rPr>
          <w:rFonts w:hint="default"/>
          <w:color w:val="000000"/>
        </w:rPr>
        <w:t>rodnej rady č</w:t>
      </w:r>
      <w:r w:rsidRPr="00914B1E" w:rsidR="005C4FE7">
        <w:rPr>
          <w:rFonts w:hint="default"/>
          <w:color w:val="000000"/>
        </w:rPr>
        <w:t xml:space="preserve">. 372/1990 Zb. o priestupkoch </w:t>
      </w:r>
      <w:r w:rsidRPr="00914B1E" w:rsidR="005C4FE7">
        <w:t>v </w:t>
      </w:r>
      <w:r w:rsidRPr="00914B1E" w:rsidR="005C4FE7">
        <w:rPr>
          <w:rFonts w:hint="default"/>
        </w:rPr>
        <w:t>znení</w:t>
      </w:r>
      <w:r w:rsidRPr="00914B1E" w:rsidR="005C4FE7">
        <w:rPr>
          <w:rFonts w:hint="default"/>
        </w:rPr>
        <w:t xml:space="preserve"> neskorší</w:t>
      </w:r>
      <w:r w:rsidRPr="00914B1E" w:rsidR="005C4FE7">
        <w:rPr>
          <w:rFonts w:hint="default"/>
        </w:rPr>
        <w:t>ch predpisov</w:t>
      </w:r>
      <w:r w:rsidR="00310EAA">
        <w:t>.</w:t>
      </w: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745A61" w:rsidP="00745A61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310EAA" w:rsidRPr="00A77233" w:rsidP="00310EAA">
      <w:pPr>
        <w:bidi w:val="0"/>
        <w:jc w:val="both"/>
        <w:rPr>
          <w:b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310EAA" w:rsidR="00D93D34">
        <w:rPr>
          <w:rFonts w:cs="Times New Roman" w:hint="default"/>
          <w:bCs/>
        </w:rPr>
        <w:t>zá</w:t>
      </w:r>
      <w:r w:rsidRPr="00310EAA" w:rsidR="00D93D34">
        <w:rPr>
          <w:rFonts w:cs="Times New Roman" w:hint="default"/>
          <w:bCs/>
        </w:rPr>
        <w:t xml:space="preserve">kona, </w:t>
      </w:r>
      <w:r w:rsidRPr="00310EAA">
        <w:rPr>
          <w:rFonts w:hint="default"/>
        </w:rPr>
        <w:t>ktorý</w:t>
      </w:r>
      <w:r w:rsidRPr="00310EAA">
        <w:rPr>
          <w:rFonts w:hint="default"/>
        </w:rPr>
        <w:t xml:space="preserve">m sa </w:t>
      </w:r>
      <w:r w:rsidR="005C4FE7">
        <w:rPr>
          <w:rFonts w:hint="default"/>
        </w:rPr>
        <w:t>dopĺň</w:t>
      </w:r>
      <w:r w:rsidR="005C4FE7">
        <w:rPr>
          <w:rFonts w:hint="default"/>
        </w:rPr>
        <w:t>a zá</w:t>
      </w:r>
      <w:r w:rsidR="005C4FE7">
        <w:rPr>
          <w:rFonts w:hint="default"/>
        </w:rPr>
        <w:t xml:space="preserve">kon </w:t>
      </w:r>
      <w:r w:rsidRPr="00914B1E" w:rsidR="005C4FE7">
        <w:rPr>
          <w:rFonts w:hint="default"/>
          <w:color w:val="000000"/>
        </w:rPr>
        <w:t>Slovenskej ná</w:t>
      </w:r>
      <w:r w:rsidRPr="00914B1E" w:rsidR="005C4FE7">
        <w:rPr>
          <w:rFonts w:hint="default"/>
          <w:color w:val="000000"/>
        </w:rPr>
        <w:t>rodnej rady č</w:t>
      </w:r>
      <w:r w:rsidRPr="00914B1E" w:rsidR="005C4FE7">
        <w:rPr>
          <w:rFonts w:hint="default"/>
          <w:color w:val="000000"/>
        </w:rPr>
        <w:t xml:space="preserve">. 372/1990 Zb. o priestupkoch </w:t>
      </w:r>
      <w:r w:rsidRPr="00914B1E" w:rsidR="005C4FE7">
        <w:t>v </w:t>
      </w:r>
      <w:r w:rsidRPr="00914B1E" w:rsidR="005C4FE7">
        <w:rPr>
          <w:rFonts w:hint="default"/>
        </w:rPr>
        <w:t>znení</w:t>
      </w:r>
      <w:r w:rsidRPr="00914B1E" w:rsidR="005C4FE7">
        <w:rPr>
          <w:rFonts w:hint="default"/>
        </w:rPr>
        <w:t xml:space="preserve"> neskorší</w:t>
      </w:r>
      <w:r w:rsidRPr="00914B1E" w:rsidR="005C4FE7">
        <w:rPr>
          <w:rFonts w:hint="default"/>
        </w:rPr>
        <w:t>ch predpisov</w:t>
      </w:r>
    </w:p>
    <w:p w:rsidR="00044FAD" w:rsidRPr="00044FAD" w:rsidP="00044FAD">
      <w:pPr>
        <w:bidi w:val="0"/>
        <w:jc w:val="both"/>
        <w:rPr>
          <w:rFonts w:cs="Times New Roman"/>
        </w:rPr>
      </w:pP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</w:t>
            </w:r>
            <w:r>
              <w:rPr>
                <w:rFonts w:hint="default"/>
                <w:color w:val="000000"/>
              </w:rPr>
              <w:t xml:space="preserve">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5C4FE7" w:rsidRPr="002842F3" w:rsidP="005C4FE7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cs="Times New Roman"/>
        </w:rPr>
        <w:t xml:space="preserve">Do </w:t>
      </w:r>
      <w:r>
        <w:rPr>
          <w:rFonts w:eastAsia="Times New Roman" w:cs="Times New Roman"/>
          <w:color w:val="000000"/>
          <w:lang w:eastAsia="cs-CZ"/>
        </w:rPr>
        <w:t>§ 85</w:t>
      </w:r>
      <w:r>
        <w:rPr>
          <w:rFonts w:hint="default"/>
          <w:color w:val="000000"/>
        </w:rPr>
        <w:t xml:space="preserve"> sa dopĺň</w:t>
      </w:r>
      <w:r>
        <w:rPr>
          <w:rFonts w:hint="default"/>
          <w:color w:val="000000"/>
        </w:rPr>
        <w:t>a nový</w:t>
      </w:r>
      <w:r>
        <w:rPr>
          <w:rFonts w:hint="default"/>
          <w:color w:val="000000"/>
        </w:rPr>
        <w:t xml:space="preserve"> odsek 5, v </w:t>
      </w:r>
      <w:r>
        <w:rPr>
          <w:rFonts w:hint="default"/>
          <w:color w:val="000000"/>
        </w:rPr>
        <w:t>zmysle ktoré</w:t>
      </w:r>
      <w:r>
        <w:rPr>
          <w:rFonts w:hint="default"/>
          <w:color w:val="000000"/>
        </w:rPr>
        <w:t xml:space="preserve">ho </w:t>
      </w:r>
      <w:r>
        <w:rPr>
          <w:rFonts w:eastAsia="Times New Roman" w:cs="Times New Roman"/>
          <w:color w:val="000000"/>
          <w:lang w:eastAsia="cs-CZ"/>
        </w:rPr>
        <w:t>ak páchateľ priestupku nezaplatí pokutu na mieste podľa § 85 ods. 3 predmetného zákona, má konajúci orgán právo páchateľovi priestupku odobrať akúkoľvek hnuteľnú vec vo vlastníctve páchateľa priestupku podľa vlastnej úvahy a to až do okamihu zaplatenia pokuty, po ktorom je konajúci orgán povinný bez zbytočného odkladu vrátiť odobratú hnuteľnú vec páchateľovi priestupku. Súčasne sa ustanovuje, že odobratie veci nemožno vykonať</w:t>
      </w:r>
      <w:r w:rsidRPr="002842F3">
        <w:rPr>
          <w:rFonts w:eastAsia="Times New Roman" w:cs="Times New Roman"/>
          <w:color w:val="000000"/>
          <w:lang w:eastAsia="cs-CZ"/>
        </w:rPr>
        <w:t xml:space="preserve">, ak </w:t>
      </w:r>
      <w:r>
        <w:rPr>
          <w:rFonts w:eastAsia="Times New Roman" w:cs="Times New Roman"/>
          <w:color w:val="000000"/>
          <w:lang w:eastAsia="cs-CZ"/>
        </w:rPr>
        <w:t xml:space="preserve">vec slúži alebo má slúžiť na zabezpečenie základných životných potrieb alebo ak </w:t>
      </w:r>
      <w:r w:rsidRPr="002842F3">
        <w:rPr>
          <w:rFonts w:eastAsia="Times New Roman" w:cs="Times New Roman"/>
          <w:color w:val="000000"/>
          <w:lang w:eastAsia="cs-CZ"/>
        </w:rPr>
        <w:t>je jej hodnota v nápadnom nepomere k povahe priestupku.</w:t>
      </w:r>
    </w:p>
    <w:p w:rsidR="000044D0" w:rsidRPr="000044D0" w:rsidP="000044D0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</w:p>
    <w:p w:rsidR="00B438E3" w:rsidP="00B438E3">
      <w:pPr>
        <w:bidi w:val="0"/>
        <w:jc w:val="both"/>
      </w:pPr>
    </w:p>
    <w:p w:rsidR="000044D0" w:rsidP="0048564D">
      <w:pPr>
        <w:bidi w:val="0"/>
      </w:pPr>
    </w:p>
    <w:p w:rsidR="00B438E3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0044D0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FE1E4C">
        <w:rPr>
          <w:rFonts w:hint="default"/>
        </w:rPr>
        <w:t>januá</w:t>
      </w:r>
      <w:r w:rsidR="00FE1E4C">
        <w:rPr>
          <w:rFonts w:hint="default"/>
        </w:rPr>
        <w:t>r 2015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74D8C"/>
    <w:rsid w:val="00102B61"/>
    <w:rsid w:val="001407AA"/>
    <w:rsid w:val="00152B37"/>
    <w:rsid w:val="002842F3"/>
    <w:rsid w:val="002979FE"/>
    <w:rsid w:val="00310EAA"/>
    <w:rsid w:val="00312391"/>
    <w:rsid w:val="00317354"/>
    <w:rsid w:val="003F5B2A"/>
    <w:rsid w:val="0040331C"/>
    <w:rsid w:val="004101DC"/>
    <w:rsid w:val="004127C1"/>
    <w:rsid w:val="0048564D"/>
    <w:rsid w:val="004A4D6F"/>
    <w:rsid w:val="004A5CD5"/>
    <w:rsid w:val="00517579"/>
    <w:rsid w:val="00527D1E"/>
    <w:rsid w:val="00583ED1"/>
    <w:rsid w:val="005C1E35"/>
    <w:rsid w:val="005C4FE7"/>
    <w:rsid w:val="005F1B56"/>
    <w:rsid w:val="006458E5"/>
    <w:rsid w:val="00656B67"/>
    <w:rsid w:val="0070617D"/>
    <w:rsid w:val="00745A61"/>
    <w:rsid w:val="00775957"/>
    <w:rsid w:val="00786766"/>
    <w:rsid w:val="007A5845"/>
    <w:rsid w:val="00812531"/>
    <w:rsid w:val="008273AB"/>
    <w:rsid w:val="008558D4"/>
    <w:rsid w:val="00883FFA"/>
    <w:rsid w:val="00914B1E"/>
    <w:rsid w:val="00933BF6"/>
    <w:rsid w:val="00962A46"/>
    <w:rsid w:val="009E2C97"/>
    <w:rsid w:val="009E3E82"/>
    <w:rsid w:val="009E491D"/>
    <w:rsid w:val="00A07569"/>
    <w:rsid w:val="00A36A3E"/>
    <w:rsid w:val="00A77233"/>
    <w:rsid w:val="00AC73A6"/>
    <w:rsid w:val="00B02183"/>
    <w:rsid w:val="00B31020"/>
    <w:rsid w:val="00B438E3"/>
    <w:rsid w:val="00B560BF"/>
    <w:rsid w:val="00B7527F"/>
    <w:rsid w:val="00B90701"/>
    <w:rsid w:val="00BF13AF"/>
    <w:rsid w:val="00C04E93"/>
    <w:rsid w:val="00C52881"/>
    <w:rsid w:val="00C62805"/>
    <w:rsid w:val="00CD5A7F"/>
    <w:rsid w:val="00D42E64"/>
    <w:rsid w:val="00D93D34"/>
    <w:rsid w:val="00DA2EF1"/>
    <w:rsid w:val="00E12D9D"/>
    <w:rsid w:val="00E33086"/>
    <w:rsid w:val="00E80F6B"/>
    <w:rsid w:val="00EE5524"/>
    <w:rsid w:val="00F02786"/>
    <w:rsid w:val="00F66EF9"/>
    <w:rsid w:val="00FE1E4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num1">
    <w:name w:val="num1"/>
    <w:basedOn w:val="DefaultParagraphFont"/>
    <w:rsid w:val="00914B1E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797</Words>
  <Characters>4549</Characters>
  <Application>Microsoft Office Word</Application>
  <DocSecurity>0</DocSecurity>
  <Lines>0</Lines>
  <Paragraphs>0</Paragraphs>
  <ScaleCrop>false</ScaleCrop>
  <Company>Kancelaria NR SR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2014-09-26T17:34:00Z</dcterms:created>
  <dcterms:modified xsi:type="dcterms:W3CDTF">2014-09-26T17:34:00Z</dcterms:modified>
</cp:coreProperties>
</file>