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06BA" w:rsidRPr="00540765" w:rsidP="006C06BA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540765">
        <w:rPr>
          <w:rFonts w:ascii="Times New Roman" w:hAnsi="Times New Roman"/>
          <w:b/>
          <w:bCs/>
          <w:color w:val="000000" w:themeColor="tx1" w:themeShade="FF"/>
        </w:rPr>
        <w:t>NÁRODNÁ RADA SLOVENSKEJ REPUBLIKY</w:t>
      </w:r>
    </w:p>
    <w:p w:rsidR="006C06BA" w:rsidRPr="00540765" w:rsidP="006C06B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540765">
        <w:rPr>
          <w:rFonts w:ascii="Times New Roman" w:hAnsi="Times New Roman"/>
          <w:b/>
          <w:color w:val="000000" w:themeColor="tx1" w:themeShade="FF"/>
        </w:rPr>
        <w:t>VI. volebné obdobie</w:t>
      </w:r>
    </w:p>
    <w:p w:rsidR="006C06BA" w:rsidRPr="00540765" w:rsidP="006C06BA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</w:p>
    <w:p w:rsidR="006C06BA" w:rsidRPr="00540765" w:rsidP="006C06BA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color w:val="000000" w:themeColor="tx1" w:themeShade="FF"/>
        </w:rPr>
      </w:pPr>
    </w:p>
    <w:p w:rsidR="006C06BA" w:rsidRPr="00540765" w:rsidP="006C06BA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color w:val="000000" w:themeColor="tx1" w:themeShade="FF"/>
        </w:rPr>
      </w:pPr>
      <w:r w:rsidRPr="00540765">
        <w:rPr>
          <w:rFonts w:ascii="Times New Roman" w:hAnsi="Times New Roman"/>
          <w:b/>
          <w:bCs/>
          <w:iCs/>
          <w:color w:val="000000" w:themeColor="tx1" w:themeShade="FF"/>
        </w:rPr>
        <w:t xml:space="preserve"> Návrh</w:t>
      </w:r>
    </w:p>
    <w:p w:rsidR="006C06BA" w:rsidRPr="00540765" w:rsidP="006C06BA">
      <w:pPr>
        <w:pStyle w:val="BodyText"/>
        <w:bidi w:val="0"/>
        <w:jc w:val="center"/>
        <w:rPr>
          <w:rFonts w:ascii="Times New Roman" w:hAnsi="Times New Roman"/>
          <w:bCs/>
          <w:iCs/>
          <w:color w:val="000000" w:themeColor="tx1" w:themeShade="FF"/>
        </w:rPr>
      </w:pPr>
    </w:p>
    <w:p w:rsidR="006C06BA" w:rsidRPr="00540765" w:rsidP="006C06BA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000000" w:themeColor="tx1" w:themeShade="FF"/>
        </w:rPr>
      </w:pPr>
      <w:r w:rsidRPr="00540765">
        <w:rPr>
          <w:rFonts w:ascii="Times New Roman" w:hAnsi="Times New Roman"/>
          <w:bCs/>
          <w:iCs/>
          <w:color w:val="000000" w:themeColor="tx1" w:themeShade="FF"/>
        </w:rPr>
        <w:t xml:space="preserve"> </w:t>
      </w:r>
    </w:p>
    <w:p w:rsidR="006C06BA" w:rsidRPr="00540765" w:rsidP="006C06BA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color w:val="000000" w:themeColor="tx1" w:themeShade="FF"/>
        </w:rPr>
      </w:pPr>
      <w:r w:rsidRPr="00540765">
        <w:rPr>
          <w:rFonts w:ascii="Times New Roman" w:hAnsi="Times New Roman"/>
          <w:b/>
          <w:bCs/>
          <w:iCs/>
          <w:color w:val="000000" w:themeColor="tx1" w:themeShade="FF"/>
        </w:rPr>
        <w:t>ZÁKON</w:t>
      </w:r>
    </w:p>
    <w:p w:rsidR="006C06BA" w:rsidRPr="00540765" w:rsidP="006C06BA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000000" w:themeColor="tx1" w:themeShade="FF"/>
        </w:rPr>
      </w:pPr>
    </w:p>
    <w:p w:rsidR="006C06BA" w:rsidRPr="00540765" w:rsidP="006C06BA">
      <w:pPr>
        <w:pStyle w:val="BodyText"/>
        <w:bidi w:val="0"/>
        <w:jc w:val="center"/>
        <w:rPr>
          <w:rFonts w:ascii="Times New Roman" w:hAnsi="Times New Roman"/>
          <w:b/>
          <w:bCs/>
          <w:iCs/>
          <w:color w:val="000000" w:themeColor="tx1" w:themeShade="FF"/>
        </w:rPr>
      </w:pPr>
      <w:r w:rsidRPr="00540765">
        <w:rPr>
          <w:rFonts w:ascii="Times New Roman" w:hAnsi="Times New Roman"/>
          <w:b/>
          <w:bCs/>
          <w:iCs/>
          <w:color w:val="000000" w:themeColor="tx1" w:themeShade="FF"/>
        </w:rPr>
        <w:t>z ........... 2014,</w:t>
      </w:r>
    </w:p>
    <w:p w:rsidR="00BC4213" w:rsidRPr="00540765" w:rsidP="006C06BA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000000" w:themeColor="tx1" w:themeShade="FF"/>
        </w:rPr>
      </w:pPr>
    </w:p>
    <w:p w:rsidR="00BC4213" w:rsidRPr="00540765" w:rsidP="006C06B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BC4213" w:rsidRPr="00540765" w:rsidP="006C06B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540765">
        <w:rPr>
          <w:rFonts w:ascii="Times New Roman" w:hAnsi="Times New Roman"/>
          <w:b/>
          <w:color w:val="000000" w:themeColor="tx1" w:themeShade="FF"/>
          <w:lang w:eastAsia="en-US"/>
        </w:rPr>
        <w:t xml:space="preserve">ktorým sa mení a dopĺňa zákon </w:t>
      </w:r>
      <w:r w:rsidRPr="00540765">
        <w:rPr>
          <w:rFonts w:ascii="Times New Roman" w:hAnsi="Times New Roman"/>
          <w:b/>
          <w:bCs/>
          <w:color w:val="000000" w:themeColor="tx1" w:themeShade="FF"/>
        </w:rPr>
        <w:t xml:space="preserve">č. 448/2008 Z. z. o sociálnych službách </w:t>
      </w:r>
      <w:r w:rsidRPr="00540765">
        <w:rPr>
          <w:rFonts w:ascii="Times New Roman" w:hAnsi="Times New Roman"/>
          <w:b/>
          <w:color w:val="000000" w:themeColor="tx1" w:themeShade="FF"/>
        </w:rPr>
        <w:t>a o zmene a doplnení zákona č.</w:t>
      </w:r>
      <w:r w:rsidRPr="00540765" w:rsidR="00046AB9">
        <w:rPr>
          <w:rFonts w:ascii="Times New Roman" w:hAnsi="Times New Roman"/>
          <w:b/>
          <w:color w:val="000000" w:themeColor="tx1" w:themeShade="FF"/>
        </w:rPr>
        <w:t xml:space="preserve"> </w:t>
      </w:r>
      <w:r w:rsidRPr="00540765">
        <w:rPr>
          <w:rFonts w:ascii="Times New Roman" w:hAnsi="Times New Roman"/>
          <w:b/>
          <w:color w:val="000000" w:themeColor="tx1" w:themeShade="FF"/>
        </w:rPr>
        <w:t>455/1991 Zb. o živnostenskom podnikaní</w:t>
      </w:r>
      <w:r w:rsidRPr="00540765" w:rsidR="00046AB9">
        <w:rPr>
          <w:rFonts w:ascii="Times New Roman" w:hAnsi="Times New Roman"/>
          <w:b/>
          <w:color w:val="000000" w:themeColor="tx1" w:themeShade="FF"/>
        </w:rPr>
        <w:t xml:space="preserve"> </w:t>
      </w:r>
      <w:r w:rsidRPr="00540765">
        <w:rPr>
          <w:rFonts w:ascii="Times New Roman" w:hAnsi="Times New Roman"/>
          <w:b/>
          <w:color w:val="000000" w:themeColor="tx1" w:themeShade="FF"/>
        </w:rPr>
        <w:t xml:space="preserve">(živnostenský zákon) </w:t>
      </w:r>
      <w:r w:rsidRPr="00540765">
        <w:rPr>
          <w:rFonts w:ascii="Times New Roman" w:hAnsi="Times New Roman"/>
          <w:b/>
          <w:bCs/>
          <w:color w:val="000000" w:themeColor="tx1" w:themeShade="FF"/>
        </w:rPr>
        <w:t>v</w:t>
      </w:r>
      <w:r w:rsidRPr="00540765" w:rsidR="006C06BA">
        <w:rPr>
          <w:rFonts w:ascii="Times New Roman" w:hAnsi="Times New Roman"/>
          <w:b/>
          <w:bCs/>
          <w:color w:val="000000" w:themeColor="tx1" w:themeShade="FF"/>
        </w:rPr>
        <w:t> </w:t>
      </w:r>
      <w:r w:rsidRPr="00540765">
        <w:rPr>
          <w:rFonts w:ascii="Times New Roman" w:hAnsi="Times New Roman"/>
          <w:b/>
          <w:color w:val="000000" w:themeColor="tx1" w:themeShade="FF"/>
          <w:lang w:eastAsia="en-US"/>
        </w:rPr>
        <w:t>znení neskorších predpisov</w:t>
      </w:r>
      <w:r w:rsidRPr="00540765" w:rsidR="00046AB9">
        <w:rPr>
          <w:rFonts w:ascii="Times New Roman" w:hAnsi="Times New Roman"/>
          <w:b/>
          <w:color w:val="000000" w:themeColor="tx1" w:themeShade="FF"/>
          <w:lang w:eastAsia="en-US"/>
        </w:rPr>
        <w:t xml:space="preserve"> v znení neskorších predpisov</w:t>
      </w:r>
    </w:p>
    <w:p w:rsidR="00BC4213" w:rsidRPr="00540765" w:rsidP="006C06B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BC4213" w:rsidRPr="00540765" w:rsidP="006C06B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BC4213" w:rsidRPr="00540765" w:rsidP="006C06BA">
      <w:pPr>
        <w:bidi w:val="0"/>
        <w:ind w:firstLine="708"/>
        <w:rPr>
          <w:rFonts w:ascii="Times New Roman" w:hAnsi="Times New Roman"/>
          <w:color w:val="000000" w:themeColor="tx1" w:themeShade="FF"/>
        </w:rPr>
      </w:pPr>
      <w:r w:rsidRPr="00540765">
        <w:rPr>
          <w:rFonts w:ascii="Times New Roman" w:hAnsi="Times New Roman"/>
          <w:color w:val="000000" w:themeColor="tx1" w:themeShade="FF"/>
        </w:rPr>
        <w:t>Národná rada Slovenskej republiky sa uzniesla na tomto zákone:</w:t>
      </w:r>
    </w:p>
    <w:p w:rsidR="00BC4213" w:rsidRPr="00540765" w:rsidP="006C06BA">
      <w:pPr>
        <w:bidi w:val="0"/>
        <w:ind w:firstLine="708"/>
        <w:rPr>
          <w:rFonts w:ascii="Times New Roman" w:hAnsi="Times New Roman"/>
          <w:color w:val="000000" w:themeColor="tx1" w:themeShade="FF"/>
        </w:rPr>
      </w:pPr>
    </w:p>
    <w:p w:rsidR="00BC4213" w:rsidRPr="00540765" w:rsidP="006C06BA">
      <w:pPr>
        <w:bidi w:val="0"/>
        <w:ind w:firstLine="720"/>
        <w:jc w:val="center"/>
        <w:rPr>
          <w:rFonts w:ascii="Times New Roman" w:hAnsi="Times New Roman"/>
          <w:color w:val="000000" w:themeColor="tx1" w:themeShade="FF"/>
        </w:rPr>
      </w:pPr>
    </w:p>
    <w:p w:rsidR="00BC4213" w:rsidRPr="00540765" w:rsidP="006C06BA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540765">
        <w:rPr>
          <w:rFonts w:ascii="Times New Roman" w:hAnsi="Times New Roman"/>
          <w:b/>
          <w:bCs/>
          <w:color w:val="000000" w:themeColor="tx1" w:themeShade="FF"/>
        </w:rPr>
        <w:t>Čl. I</w:t>
      </w:r>
    </w:p>
    <w:p w:rsidR="00BC4213" w:rsidRPr="00540765" w:rsidP="006C06BA">
      <w:pPr>
        <w:bidi w:val="0"/>
        <w:rPr>
          <w:rFonts w:ascii="Times New Roman" w:hAnsi="Times New Roman"/>
          <w:color w:val="000000" w:themeColor="tx1" w:themeShade="FF"/>
        </w:rPr>
      </w:pPr>
    </w:p>
    <w:p w:rsidR="00BC4213" w:rsidRPr="00540765" w:rsidP="006C06BA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 w:themeColor="tx1" w:themeShade="FF"/>
          <w:lang w:eastAsia="en-US"/>
        </w:rPr>
      </w:pP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 xml:space="preserve">Zákon </w:t>
      </w:r>
      <w:r w:rsidRPr="00540765" w:rsidR="00046AB9">
        <w:rPr>
          <w:rFonts w:ascii="Times New Roman" w:hAnsi="Times New Roman"/>
          <w:bCs/>
          <w:color w:val="000000" w:themeColor="tx1" w:themeShade="FF"/>
        </w:rPr>
        <w:t xml:space="preserve">č. 448/2008 Z. z. o sociálnych službách  </w:t>
      </w:r>
      <w:r w:rsidRPr="00540765" w:rsidR="00046AB9">
        <w:rPr>
          <w:rFonts w:ascii="Times New Roman" w:hAnsi="Times New Roman"/>
          <w:color w:val="000000" w:themeColor="tx1" w:themeShade="FF"/>
        </w:rPr>
        <w:t xml:space="preserve">a o zmene a doplnení zákona č. 455/1991 Zb. o živnostenskom podnikaní (živnostenský zákon) </w:t>
      </w:r>
      <w:r w:rsidRPr="00540765" w:rsidR="00046AB9">
        <w:rPr>
          <w:rFonts w:ascii="Times New Roman" w:hAnsi="Times New Roman"/>
          <w:bCs/>
          <w:color w:val="000000" w:themeColor="tx1" w:themeShade="FF"/>
        </w:rPr>
        <w:t>v </w:t>
      </w: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>znení neskorších predpisov v znení zákona č. 317/2009 Z. z., nálezu Ústavného súdu Slovenskej republiky č. 332/210 Z. z., zákona č. 551/2010 Z. z., zákona č.</w:t>
      </w:r>
      <w:r w:rsidRPr="00540765" w:rsidR="006C06BA">
        <w:rPr>
          <w:rFonts w:ascii="Times New Roman" w:hAnsi="Times New Roman"/>
          <w:color w:val="000000" w:themeColor="tx1" w:themeShade="FF"/>
          <w:lang w:eastAsia="en-US"/>
        </w:rPr>
        <w:t xml:space="preserve"> </w:t>
      </w: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>50/2012 Z. z., zákona č.</w:t>
      </w:r>
      <w:r w:rsidRPr="00540765" w:rsidR="006C06BA">
        <w:rPr>
          <w:rFonts w:ascii="Times New Roman" w:hAnsi="Times New Roman"/>
          <w:color w:val="000000" w:themeColor="tx1" w:themeShade="FF"/>
          <w:lang w:eastAsia="en-US"/>
        </w:rPr>
        <w:t xml:space="preserve"> </w:t>
      </w: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>185/2012 Z. z., zákona č.</w:t>
      </w:r>
      <w:r w:rsidRPr="00540765" w:rsidR="006C06BA">
        <w:rPr>
          <w:rFonts w:ascii="Times New Roman" w:hAnsi="Times New Roman"/>
          <w:color w:val="000000" w:themeColor="tx1" w:themeShade="FF"/>
          <w:lang w:eastAsia="en-US"/>
        </w:rPr>
        <w:t> </w:t>
      </w: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>413/2012 Z. z., zákona č.</w:t>
      </w:r>
      <w:r w:rsidRPr="00540765" w:rsidR="006C06BA">
        <w:rPr>
          <w:rFonts w:ascii="Times New Roman" w:hAnsi="Times New Roman"/>
          <w:color w:val="000000" w:themeColor="tx1" w:themeShade="FF"/>
          <w:lang w:eastAsia="en-US"/>
        </w:rPr>
        <w:t xml:space="preserve"> </w:t>
      </w: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>485/2013 Z. z., zákona č. 185/2014 Z. z. a zákona č. 219/2014 Z.</w:t>
      </w:r>
      <w:r w:rsidRPr="00540765" w:rsidR="00D13C95">
        <w:rPr>
          <w:rFonts w:ascii="Times New Roman" w:hAnsi="Times New Roman"/>
          <w:color w:val="000000" w:themeColor="tx1" w:themeShade="FF"/>
          <w:lang w:eastAsia="en-US"/>
        </w:rPr>
        <w:t> </w:t>
      </w:r>
      <w:r w:rsidRPr="00540765" w:rsidR="00046AB9">
        <w:rPr>
          <w:rFonts w:ascii="Times New Roman" w:hAnsi="Times New Roman"/>
          <w:color w:val="000000" w:themeColor="tx1" w:themeShade="FF"/>
          <w:lang w:eastAsia="en-US"/>
        </w:rPr>
        <w:t>z</w:t>
      </w:r>
      <w:r w:rsidRPr="00540765" w:rsidR="00046AB9">
        <w:rPr>
          <w:rFonts w:ascii="Times New Roman" w:hAnsi="Times New Roman"/>
          <w:b/>
          <w:color w:val="000000" w:themeColor="tx1" w:themeShade="FF"/>
          <w:lang w:eastAsia="en-US"/>
        </w:rPr>
        <w:t xml:space="preserve">. </w:t>
      </w:r>
      <w:r w:rsidRPr="00540765" w:rsidR="00046AB9">
        <w:rPr>
          <w:rFonts w:ascii="Times New Roman" w:hAnsi="Times New Roman"/>
          <w:color w:val="000000" w:themeColor="tx1" w:themeShade="FF"/>
        </w:rPr>
        <w:t xml:space="preserve"> </w:t>
      </w:r>
      <w:r w:rsidRPr="00540765">
        <w:rPr>
          <w:rFonts w:ascii="Times New Roman" w:hAnsi="Times New Roman"/>
          <w:color w:val="000000" w:themeColor="tx1" w:themeShade="FF"/>
        </w:rPr>
        <w:t>sa  mení a dopĺňa takto:</w:t>
      </w:r>
    </w:p>
    <w:p w:rsidR="00BC4213" w:rsidRPr="00540765" w:rsidP="006C06BA">
      <w:pPr>
        <w:bidi w:val="0"/>
        <w:ind w:left="1424" w:hanging="633"/>
        <w:jc w:val="both"/>
        <w:rPr>
          <w:rFonts w:ascii="Times New Roman" w:hAnsi="Times New Roman"/>
          <w:color w:val="000000" w:themeColor="tx1" w:themeShade="FF"/>
        </w:rPr>
      </w:pPr>
    </w:p>
    <w:p w:rsidR="00BC4213" w:rsidRPr="00540765" w:rsidP="002D7557">
      <w:pPr>
        <w:numPr>
          <w:numId w:val="1"/>
        </w:numPr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  <w:r w:rsidRPr="00540765">
        <w:rPr>
          <w:rFonts w:ascii="Times New Roman" w:hAnsi="Times New Roman"/>
          <w:color w:val="000000" w:themeColor="tx1" w:themeShade="FF"/>
        </w:rPr>
        <w:t xml:space="preserve">V § </w:t>
      </w:r>
      <w:r w:rsidRPr="00540765" w:rsidR="00046AB9">
        <w:rPr>
          <w:rFonts w:ascii="Times New Roman" w:hAnsi="Times New Roman"/>
          <w:color w:val="000000" w:themeColor="tx1" w:themeShade="FF"/>
        </w:rPr>
        <w:t xml:space="preserve">110g  </w:t>
      </w:r>
      <w:r w:rsidRPr="00540765" w:rsidR="006C06BA">
        <w:rPr>
          <w:rFonts w:ascii="Times New Roman" w:hAnsi="Times New Roman"/>
          <w:color w:val="000000" w:themeColor="tx1" w:themeShade="FF"/>
        </w:rPr>
        <w:t xml:space="preserve">úvodnej </w:t>
      </w:r>
      <w:r w:rsidRPr="00540765" w:rsidR="00046AB9">
        <w:rPr>
          <w:rFonts w:ascii="Times New Roman" w:hAnsi="Times New Roman"/>
          <w:color w:val="000000" w:themeColor="tx1" w:themeShade="FF"/>
        </w:rPr>
        <w:t>vete sa slová „§ 35 ods.</w:t>
      </w:r>
      <w:r w:rsidRPr="00540765" w:rsidR="006C06BA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046AB9">
        <w:rPr>
          <w:rFonts w:ascii="Times New Roman" w:hAnsi="Times New Roman"/>
          <w:color w:val="000000" w:themeColor="tx1" w:themeShade="FF"/>
        </w:rPr>
        <w:t>4 a“ nahrádzajú slovami „</w:t>
      </w:r>
      <w:r w:rsidRPr="00540765" w:rsidR="00143C62">
        <w:rPr>
          <w:rFonts w:ascii="Times New Roman" w:hAnsi="Times New Roman"/>
          <w:color w:val="000000" w:themeColor="tx1" w:themeShade="FF"/>
        </w:rPr>
        <w:t>§</w:t>
      </w:r>
      <w:r w:rsidRPr="00540765" w:rsidR="00046AB9">
        <w:rPr>
          <w:rFonts w:ascii="Times New Roman" w:hAnsi="Times New Roman"/>
          <w:color w:val="000000" w:themeColor="tx1" w:themeShade="FF"/>
        </w:rPr>
        <w:t xml:space="preserve"> 35 ods.</w:t>
      </w:r>
      <w:r w:rsidRPr="00540765" w:rsidR="006C06BA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046AB9">
        <w:rPr>
          <w:rFonts w:ascii="Times New Roman" w:hAnsi="Times New Roman"/>
          <w:color w:val="000000" w:themeColor="tx1" w:themeShade="FF"/>
        </w:rPr>
        <w:t>4, § 38 ods.</w:t>
      </w:r>
      <w:r w:rsidRPr="00540765" w:rsidR="006C06BA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046AB9">
        <w:rPr>
          <w:rFonts w:ascii="Times New Roman" w:hAnsi="Times New Roman"/>
          <w:color w:val="000000" w:themeColor="tx1" w:themeShade="FF"/>
        </w:rPr>
        <w:t>7 a“</w:t>
      </w:r>
      <w:r w:rsidRPr="00540765" w:rsidR="00143C62">
        <w:rPr>
          <w:rFonts w:ascii="Times New Roman" w:hAnsi="Times New Roman"/>
          <w:color w:val="000000" w:themeColor="tx1" w:themeShade="FF"/>
        </w:rPr>
        <w:t>.</w:t>
      </w:r>
    </w:p>
    <w:p w:rsidR="006C06BA" w:rsidRPr="00540765" w:rsidP="002D7557">
      <w:pPr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6C06BA" w:rsidRPr="00540765" w:rsidP="00540765">
      <w:pPr>
        <w:numPr>
          <w:numId w:val="1"/>
        </w:numPr>
        <w:bidi w:val="0"/>
        <w:ind w:left="348"/>
        <w:jc w:val="both"/>
        <w:rPr>
          <w:rFonts w:ascii="Times New Roman" w:hAnsi="Times New Roman"/>
          <w:color w:val="000000" w:themeColor="tx1" w:themeShade="FF"/>
        </w:rPr>
      </w:pPr>
      <w:r w:rsidRPr="00540765" w:rsidR="00143C62">
        <w:rPr>
          <w:rFonts w:ascii="Times New Roman" w:hAnsi="Times New Roman"/>
          <w:color w:val="000000" w:themeColor="tx1" w:themeShade="FF"/>
        </w:rPr>
        <w:t>V § 110g písm. a) sa</w:t>
      </w:r>
      <w:r w:rsidRPr="00540765" w:rsidR="004A7422">
        <w:rPr>
          <w:rFonts w:ascii="Times New Roman" w:hAnsi="Times New Roman"/>
          <w:color w:val="000000" w:themeColor="tx1" w:themeShade="FF"/>
        </w:rPr>
        <w:t xml:space="preserve"> slová „2013</w:t>
      </w:r>
      <w:r w:rsidR="00A90CD1">
        <w:rPr>
          <w:rFonts w:ascii="Times New Roman" w:hAnsi="Times New Roman"/>
          <w:color w:val="000000" w:themeColor="tx1" w:themeShade="FF"/>
        </w:rPr>
        <w:t>,</w:t>
      </w:r>
      <w:r w:rsidRPr="00540765" w:rsidR="004A7422">
        <w:rPr>
          <w:rFonts w:ascii="Times New Roman" w:hAnsi="Times New Roman"/>
          <w:color w:val="000000" w:themeColor="tx1" w:themeShade="FF"/>
        </w:rPr>
        <w:t xml:space="preserve"> alebo“ nahrádzajú slovami „2013; § 65 ods.</w:t>
      </w:r>
      <w:r w:rsidR="00540765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4A7422">
        <w:rPr>
          <w:rFonts w:ascii="Times New Roman" w:hAnsi="Times New Roman"/>
          <w:color w:val="000000" w:themeColor="tx1" w:themeShade="FF"/>
        </w:rPr>
        <w:t>6 písm.</w:t>
      </w:r>
      <w:r w:rsidR="00540765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4A7422">
        <w:rPr>
          <w:rFonts w:ascii="Times New Roman" w:hAnsi="Times New Roman"/>
          <w:color w:val="000000" w:themeColor="tx1" w:themeShade="FF"/>
        </w:rPr>
        <w:t>f) a g) sa v tomto prípade neuplatňuje,“.</w:t>
      </w:r>
    </w:p>
    <w:p w:rsidR="005131E8" w:rsidRPr="00540765" w:rsidP="002D7557">
      <w:pPr>
        <w:bidi w:val="0"/>
        <w:ind w:left="633" w:hanging="709"/>
        <w:jc w:val="both"/>
        <w:rPr>
          <w:rFonts w:ascii="Times New Roman" w:hAnsi="Times New Roman"/>
          <w:color w:val="000000" w:themeColor="tx1" w:themeShade="FF"/>
        </w:rPr>
      </w:pPr>
    </w:p>
    <w:p w:rsidR="005131E8" w:rsidRPr="00540765" w:rsidP="005131E8">
      <w:pPr>
        <w:numPr>
          <w:numId w:val="1"/>
        </w:numPr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  <w:r w:rsidRPr="00540765">
        <w:rPr>
          <w:rFonts w:ascii="Times New Roman" w:hAnsi="Times New Roman"/>
          <w:color w:val="000000" w:themeColor="tx1" w:themeShade="FF"/>
        </w:rPr>
        <w:t>Za § 110v sa vkladá § 110w, ktorý vrátane nadpisu znie:</w:t>
      </w:r>
    </w:p>
    <w:p w:rsidR="00D13C95" w:rsidRPr="00540765" w:rsidP="005131E8">
      <w:pPr>
        <w:pStyle w:val="ListParagraph"/>
        <w:bidi w:val="0"/>
        <w:ind w:left="360"/>
        <w:jc w:val="center"/>
        <w:rPr>
          <w:rFonts w:ascii="Times New Roman" w:hAnsi="Times New Roman"/>
          <w:b/>
          <w:color w:val="000000" w:themeColor="tx1" w:themeShade="FF"/>
        </w:rPr>
      </w:pPr>
      <w:r w:rsidRPr="00540765" w:rsidR="004A7422">
        <w:rPr>
          <w:rFonts w:ascii="Times New Roman" w:hAnsi="Times New Roman"/>
          <w:color w:val="000000" w:themeColor="tx1" w:themeShade="FF"/>
        </w:rPr>
        <w:t xml:space="preserve"> </w:t>
      </w:r>
      <w:r w:rsidRPr="00540765">
        <w:rPr>
          <w:rFonts w:ascii="Times New Roman" w:hAnsi="Times New Roman"/>
          <w:b/>
          <w:color w:val="000000" w:themeColor="tx1" w:themeShade="FF"/>
        </w:rPr>
        <w:t>„§ 110</w:t>
      </w:r>
      <w:r w:rsidRPr="00540765" w:rsidR="00AE591B">
        <w:rPr>
          <w:rFonts w:ascii="Times New Roman" w:hAnsi="Times New Roman"/>
          <w:b/>
          <w:color w:val="000000" w:themeColor="tx1" w:themeShade="FF"/>
        </w:rPr>
        <w:t>w</w:t>
      </w:r>
    </w:p>
    <w:p w:rsidR="00D13C95" w:rsidRPr="00540765" w:rsidP="005131E8">
      <w:pPr>
        <w:pStyle w:val="ListParagraph"/>
        <w:bidi w:val="0"/>
        <w:ind w:left="360"/>
        <w:jc w:val="center"/>
        <w:rPr>
          <w:rFonts w:ascii="Times New Roman" w:hAnsi="Times New Roman"/>
          <w:b/>
          <w:color w:val="000000" w:themeColor="tx1" w:themeShade="FF"/>
        </w:rPr>
      </w:pPr>
      <w:r w:rsidRPr="00540765">
        <w:rPr>
          <w:rFonts w:ascii="Times New Roman" w:hAnsi="Times New Roman"/>
          <w:b/>
          <w:color w:val="000000" w:themeColor="tx1" w:themeShade="FF"/>
        </w:rPr>
        <w:t>Prechodné ustanoveni</w:t>
      </w:r>
      <w:r w:rsidRPr="00540765" w:rsidR="00277E25">
        <w:rPr>
          <w:rFonts w:ascii="Times New Roman" w:hAnsi="Times New Roman"/>
          <w:b/>
          <w:color w:val="000000" w:themeColor="tx1" w:themeShade="FF"/>
        </w:rPr>
        <w:t xml:space="preserve">a </w:t>
      </w:r>
      <w:r w:rsidRPr="00540765">
        <w:rPr>
          <w:rFonts w:ascii="Times New Roman" w:hAnsi="Times New Roman"/>
          <w:b/>
          <w:color w:val="000000" w:themeColor="tx1" w:themeShade="FF"/>
        </w:rPr>
        <w:t xml:space="preserve">účinné od 1. </w:t>
      </w:r>
      <w:r w:rsidRPr="00540765" w:rsidR="00AF1606">
        <w:rPr>
          <w:rFonts w:ascii="Times New Roman" w:hAnsi="Times New Roman"/>
          <w:b/>
          <w:color w:val="000000" w:themeColor="tx1" w:themeShade="FF"/>
        </w:rPr>
        <w:t>februára 2015</w:t>
      </w:r>
    </w:p>
    <w:p w:rsidR="005131E8" w:rsidRPr="00540765" w:rsidP="005131E8">
      <w:pPr>
        <w:pStyle w:val="ListParagraph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277E25" w:rsidRPr="00540765" w:rsidP="005131E8">
      <w:pPr>
        <w:pStyle w:val="ListParagraph"/>
        <w:bidi w:val="0"/>
        <w:ind w:left="360" w:firstLine="348"/>
        <w:jc w:val="both"/>
        <w:rPr>
          <w:rFonts w:ascii="Times New Roman" w:hAnsi="Times New Roman"/>
          <w:color w:val="000000" w:themeColor="tx1" w:themeShade="FF"/>
        </w:rPr>
      </w:pPr>
      <w:r w:rsidRPr="00540765">
        <w:rPr>
          <w:rFonts w:ascii="Times New Roman" w:hAnsi="Times New Roman"/>
          <w:color w:val="000000" w:themeColor="tx1" w:themeShade="FF"/>
        </w:rPr>
        <w:t xml:space="preserve">(1) </w:t>
      </w:r>
      <w:r w:rsidRPr="00540765" w:rsidR="00AF1606">
        <w:rPr>
          <w:rFonts w:ascii="Times New Roman" w:hAnsi="Times New Roman"/>
          <w:color w:val="000000" w:themeColor="tx1" w:themeShade="FF"/>
        </w:rPr>
        <w:t>Ustanoveni</w:t>
      </w:r>
      <w:r w:rsidRPr="00540765" w:rsidR="004A7422">
        <w:rPr>
          <w:rFonts w:ascii="Times New Roman" w:hAnsi="Times New Roman"/>
          <w:color w:val="000000" w:themeColor="tx1" w:themeShade="FF"/>
        </w:rPr>
        <w:t>a</w:t>
      </w:r>
      <w:r w:rsidRPr="00540765" w:rsidR="00AF1606">
        <w:rPr>
          <w:rFonts w:ascii="Times New Roman" w:hAnsi="Times New Roman"/>
          <w:color w:val="000000" w:themeColor="tx1" w:themeShade="FF"/>
        </w:rPr>
        <w:t xml:space="preserve"> § 38 ods. 7</w:t>
      </w:r>
      <w:r w:rsidRPr="00540765" w:rsidR="004A7422">
        <w:rPr>
          <w:rFonts w:ascii="Times New Roman" w:hAnsi="Times New Roman"/>
          <w:color w:val="000000" w:themeColor="tx1" w:themeShade="FF"/>
        </w:rPr>
        <w:t xml:space="preserve"> a § 65 ods.</w:t>
      </w:r>
      <w:r w:rsidR="00A90CD1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4A7422">
        <w:rPr>
          <w:rFonts w:ascii="Times New Roman" w:hAnsi="Times New Roman"/>
          <w:color w:val="000000" w:themeColor="tx1" w:themeShade="FF"/>
        </w:rPr>
        <w:t xml:space="preserve">6 písm. f) a g) </w:t>
      </w:r>
      <w:r w:rsidRPr="00540765" w:rsidR="00AF1606">
        <w:rPr>
          <w:rFonts w:ascii="Times New Roman" w:hAnsi="Times New Roman"/>
          <w:color w:val="000000" w:themeColor="tx1" w:themeShade="FF"/>
        </w:rPr>
        <w:t>sa od 1. februára 2015 neuplatňuj</w:t>
      </w:r>
      <w:r w:rsidRPr="00540765" w:rsidR="004A7422">
        <w:rPr>
          <w:rFonts w:ascii="Times New Roman" w:hAnsi="Times New Roman"/>
          <w:color w:val="000000" w:themeColor="tx1" w:themeShade="FF"/>
        </w:rPr>
        <w:t>ú</w:t>
      </w:r>
      <w:r w:rsidRPr="00540765" w:rsidR="00AF1606">
        <w:rPr>
          <w:rFonts w:ascii="Times New Roman" w:hAnsi="Times New Roman"/>
          <w:color w:val="000000" w:themeColor="tx1" w:themeShade="FF"/>
        </w:rPr>
        <w:t>, ak poskytovateľ sociálnej služby v domove sociálnych služieb s celoročnou pobytovou sociálnou službou, ktorý poskytoval túto sociálnu službu k 31. decembru 2013 a ktorý po 1. januári 2014 postupoval podľa § 110g písm. a) zmení v domove sociálnych služieb počet miest tak, že v tomto objekte zariadenia zmení počet miest v zariadení pre seniorov alebo v špecializovanom zariadení alebo zmení počet miest v týchto druhoch sociálnych služieb súčasne a nepresiahne počet miest, ktoré mal poskytovateľ sociálnej služby v domove sociálnych služieb podľa stavu registra k 31. decembru 2013</w:t>
      </w:r>
      <w:r w:rsidRPr="00540765">
        <w:rPr>
          <w:rFonts w:ascii="Times New Roman" w:hAnsi="Times New Roman"/>
          <w:color w:val="000000" w:themeColor="tx1" w:themeShade="FF"/>
        </w:rPr>
        <w:t xml:space="preserve">; </w:t>
      </w:r>
      <w:r w:rsidRPr="00540765" w:rsidR="004A7422">
        <w:rPr>
          <w:rFonts w:ascii="Times New Roman" w:hAnsi="Times New Roman"/>
          <w:color w:val="000000" w:themeColor="tx1" w:themeShade="FF"/>
        </w:rPr>
        <w:t>§ 35 ods.</w:t>
      </w:r>
      <w:r w:rsidR="00A90CD1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4A7422">
        <w:rPr>
          <w:rFonts w:ascii="Times New Roman" w:hAnsi="Times New Roman"/>
          <w:color w:val="000000" w:themeColor="tx1" w:themeShade="FF"/>
        </w:rPr>
        <w:t>4 a § 39 ods.</w:t>
      </w:r>
      <w:r w:rsidR="00A90CD1">
        <w:rPr>
          <w:rFonts w:ascii="Times New Roman" w:hAnsi="Times New Roman"/>
          <w:color w:val="000000" w:themeColor="tx1" w:themeShade="FF"/>
        </w:rPr>
        <w:t xml:space="preserve"> </w:t>
      </w:r>
      <w:r w:rsidRPr="00540765" w:rsidR="004A7422">
        <w:rPr>
          <w:rFonts w:ascii="Times New Roman" w:hAnsi="Times New Roman"/>
          <w:color w:val="000000" w:themeColor="tx1" w:themeShade="FF"/>
        </w:rPr>
        <w:t>5 sa v tomto prípade neuplatňujú</w:t>
      </w:r>
      <w:r w:rsidRPr="00540765" w:rsidR="00FA04D5">
        <w:rPr>
          <w:rFonts w:ascii="Times New Roman" w:hAnsi="Times New Roman"/>
          <w:color w:val="000000" w:themeColor="tx1" w:themeShade="FF"/>
        </w:rPr>
        <w:t>.</w:t>
      </w:r>
    </w:p>
    <w:p w:rsidR="00AE591B" w:rsidRPr="00540765" w:rsidP="005131E8">
      <w:pPr>
        <w:pStyle w:val="ListParagraph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AE591B" w:rsidRPr="00540765" w:rsidP="005131E8">
      <w:pPr>
        <w:pStyle w:val="ListParagraph"/>
        <w:bidi w:val="0"/>
        <w:ind w:left="360" w:firstLine="348"/>
        <w:jc w:val="both"/>
        <w:rPr>
          <w:rFonts w:ascii="Times New Roman" w:hAnsi="Times New Roman"/>
          <w:color w:val="000000" w:themeColor="tx1" w:themeShade="FF"/>
        </w:rPr>
      </w:pPr>
      <w:r w:rsidRPr="00540765" w:rsidR="00D6144D">
        <w:rPr>
          <w:rFonts w:ascii="Times New Roman" w:hAnsi="Times New Roman"/>
          <w:color w:val="000000" w:themeColor="tx1" w:themeShade="FF"/>
        </w:rPr>
        <w:t>(</w:t>
      </w:r>
      <w:r w:rsidRPr="00540765" w:rsidR="004A7422">
        <w:rPr>
          <w:rFonts w:ascii="Times New Roman" w:hAnsi="Times New Roman"/>
          <w:color w:val="000000" w:themeColor="tx1" w:themeShade="FF"/>
        </w:rPr>
        <w:t>2</w:t>
      </w:r>
      <w:r w:rsidRPr="00540765" w:rsidR="00D6144D">
        <w:rPr>
          <w:rFonts w:ascii="Times New Roman" w:hAnsi="Times New Roman"/>
          <w:color w:val="000000" w:themeColor="tx1" w:themeShade="FF"/>
        </w:rPr>
        <w:t xml:space="preserve">) </w:t>
      </w:r>
      <w:r w:rsidRPr="00540765">
        <w:rPr>
          <w:rFonts w:ascii="Times New Roman" w:hAnsi="Times New Roman"/>
          <w:color w:val="000000" w:themeColor="tx1" w:themeShade="FF"/>
        </w:rPr>
        <w:t xml:space="preserve">Konanie </w:t>
      </w:r>
      <w:r w:rsidRPr="00540765" w:rsidR="004A7422">
        <w:rPr>
          <w:rFonts w:ascii="Times New Roman" w:hAnsi="Times New Roman"/>
          <w:color w:val="000000" w:themeColor="tx1" w:themeShade="FF"/>
        </w:rPr>
        <w:t>vo veci zápisu</w:t>
      </w:r>
      <w:r w:rsidRPr="00540765" w:rsidR="00540765">
        <w:rPr>
          <w:rFonts w:ascii="Times New Roman" w:hAnsi="Times New Roman"/>
          <w:color w:val="000000" w:themeColor="tx1" w:themeShade="FF"/>
        </w:rPr>
        <w:t xml:space="preserve"> </w:t>
      </w:r>
      <w:r w:rsidRPr="00540765">
        <w:rPr>
          <w:rFonts w:ascii="Times New Roman" w:hAnsi="Times New Roman"/>
          <w:color w:val="000000" w:themeColor="tx1" w:themeShade="FF"/>
        </w:rPr>
        <w:t>do registra začaté pred 1. februárom 2015 podľa zákona účinného do 31. januára 2015, ktoré nebolo skončené do 31. januára 2015, sa dokončí podľa zákona účinného od 1. februára 2015.“.</w:t>
      </w:r>
    </w:p>
    <w:p w:rsidR="00AE591B" w:rsidRPr="00540765" w:rsidP="005131E8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BC4213" w:rsidRPr="00540765" w:rsidP="006C06BA">
      <w:pPr>
        <w:bidi w:val="0"/>
        <w:rPr>
          <w:rFonts w:ascii="Times New Roman" w:hAnsi="Times New Roman"/>
          <w:color w:val="000000" w:themeColor="tx1" w:themeShade="FF"/>
        </w:rPr>
      </w:pPr>
    </w:p>
    <w:p w:rsidR="00BC4213" w:rsidRPr="00540765" w:rsidP="006C06BA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540765">
        <w:rPr>
          <w:rFonts w:ascii="Times New Roman" w:hAnsi="Times New Roman"/>
          <w:b/>
          <w:color w:val="000000" w:themeColor="tx1" w:themeShade="FF"/>
        </w:rPr>
        <w:t>Čl. II</w:t>
      </w:r>
    </w:p>
    <w:p w:rsidR="00BC4213" w:rsidRPr="00540765" w:rsidP="006C06BA">
      <w:pPr>
        <w:bidi w:val="0"/>
        <w:rPr>
          <w:rFonts w:ascii="Times New Roman" w:hAnsi="Times New Roman"/>
          <w:color w:val="000000" w:themeColor="tx1" w:themeShade="FF"/>
        </w:rPr>
      </w:pPr>
    </w:p>
    <w:p w:rsidR="00BC4213" w:rsidRPr="00540765" w:rsidP="006C06BA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 w:themeColor="tx1" w:themeShade="FF"/>
          <w:lang w:eastAsia="en-US"/>
        </w:rPr>
      </w:pPr>
      <w:r w:rsidRPr="00540765">
        <w:rPr>
          <w:rFonts w:ascii="Times New Roman" w:hAnsi="Times New Roman"/>
          <w:color w:val="000000" w:themeColor="tx1" w:themeShade="FF"/>
          <w:lang w:eastAsia="en-US"/>
        </w:rPr>
        <w:t>Tento zákon nadobúda účinnosť 1.  februára  2015.</w:t>
      </w:r>
    </w:p>
    <w:p w:rsidR="00EE138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p w:rsidR="00EE138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p w:rsidR="00EE138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p w:rsidR="00EE138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p w:rsidR="00EE138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p w:rsidR="00EE138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p w:rsidR="00DB65E0" w:rsidRPr="00540765" w:rsidP="006C06BA">
      <w:pPr>
        <w:bidi w:val="0"/>
        <w:ind w:left="708" w:firstLine="708"/>
        <w:rPr>
          <w:rFonts w:ascii="Times New Roman" w:hAnsi="Times New Roman"/>
          <w:b/>
          <w:color w:val="000000" w:themeColor="tx1" w:themeShade="FF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0F" w:rsidRPr="00FF310F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FF310F">
      <w:rPr>
        <w:rFonts w:ascii="Times New Roman" w:hAnsi="Times New Roman"/>
        <w:sz w:val="20"/>
        <w:szCs w:val="20"/>
      </w:rPr>
      <w:fldChar w:fldCharType="begin"/>
    </w:r>
    <w:r w:rsidRPr="00FF310F">
      <w:rPr>
        <w:rFonts w:ascii="Times New Roman" w:hAnsi="Times New Roman"/>
        <w:sz w:val="20"/>
        <w:szCs w:val="20"/>
      </w:rPr>
      <w:instrText>PAGE   \* MERGEFORMAT</w:instrText>
    </w:r>
    <w:r w:rsidRPr="00FF310F">
      <w:rPr>
        <w:rFonts w:ascii="Times New Roman" w:hAnsi="Times New Roman"/>
        <w:sz w:val="20"/>
        <w:szCs w:val="20"/>
      </w:rPr>
      <w:fldChar w:fldCharType="separate"/>
    </w:r>
    <w:r w:rsidR="00713C8D">
      <w:rPr>
        <w:rFonts w:ascii="Times New Roman" w:hAnsi="Times New Roman"/>
        <w:noProof/>
        <w:sz w:val="20"/>
        <w:szCs w:val="20"/>
      </w:rPr>
      <w:t>1</w:t>
    </w:r>
    <w:r w:rsidRPr="00FF310F">
      <w:rPr>
        <w:rFonts w:ascii="Times New Roman" w:hAnsi="Times New Roman"/>
        <w:sz w:val="20"/>
        <w:szCs w:val="20"/>
      </w:rPr>
      <w:fldChar w:fldCharType="end"/>
    </w:r>
  </w:p>
  <w:p w:rsidR="00FF310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1A66"/>
    <w:multiLevelType w:val="hybridMultilevel"/>
    <w:tmpl w:val="EEDAA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7AC05F7B"/>
    <w:multiLevelType w:val="hybridMultilevel"/>
    <w:tmpl w:val="6DACFF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BC4213"/>
    <w:rsid w:val="00046AB9"/>
    <w:rsid w:val="000D7FBD"/>
    <w:rsid w:val="00143C62"/>
    <w:rsid w:val="0025446B"/>
    <w:rsid w:val="00277E25"/>
    <w:rsid w:val="002D7557"/>
    <w:rsid w:val="00395C3D"/>
    <w:rsid w:val="004765F6"/>
    <w:rsid w:val="00494807"/>
    <w:rsid w:val="004A7422"/>
    <w:rsid w:val="005131E8"/>
    <w:rsid w:val="00540765"/>
    <w:rsid w:val="005D249B"/>
    <w:rsid w:val="006C06BA"/>
    <w:rsid w:val="00713C8D"/>
    <w:rsid w:val="00781676"/>
    <w:rsid w:val="009922A6"/>
    <w:rsid w:val="00A271AC"/>
    <w:rsid w:val="00A378B0"/>
    <w:rsid w:val="00A90CD1"/>
    <w:rsid w:val="00AE591B"/>
    <w:rsid w:val="00AF1606"/>
    <w:rsid w:val="00BC4213"/>
    <w:rsid w:val="00C368E7"/>
    <w:rsid w:val="00CD2249"/>
    <w:rsid w:val="00D13C95"/>
    <w:rsid w:val="00D6144D"/>
    <w:rsid w:val="00D76A0C"/>
    <w:rsid w:val="00D83DED"/>
    <w:rsid w:val="00DB65E0"/>
    <w:rsid w:val="00EE1380"/>
    <w:rsid w:val="00F832D2"/>
    <w:rsid w:val="00FA04D5"/>
    <w:rsid w:val="00FE1367"/>
    <w:rsid w:val="00FF31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BC42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BC42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C4213"/>
    <w:pPr>
      <w:ind w:left="708"/>
      <w:jc w:val="left"/>
    </w:pPr>
  </w:style>
  <w:style w:type="character" w:customStyle="1" w:styleId="new">
    <w:name w:val="new"/>
    <w:basedOn w:val="DefaultParagraphFont"/>
    <w:rsid w:val="00AF1606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2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E25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6144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44D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14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44D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144D"/>
    <w:rPr>
      <w:b/>
      <w:bCs/>
    </w:rPr>
  </w:style>
  <w:style w:type="paragraph" w:styleId="Revision">
    <w:name w:val="Revision"/>
    <w:hidden/>
    <w:uiPriority w:val="99"/>
    <w:semiHidden/>
    <w:rsid w:val="00D614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unhideWhenUsed/>
    <w:rsid w:val="00FF31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310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FF310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310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330</Words>
  <Characters>1882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Brichtova Lydia</dc:creator>
  <cp:lastModifiedBy>Gašparíková, Jarmila</cp:lastModifiedBy>
  <cp:revision>2</cp:revision>
  <dcterms:created xsi:type="dcterms:W3CDTF">2014-09-26T14:52:00Z</dcterms:created>
  <dcterms:modified xsi:type="dcterms:W3CDTF">2014-09-26T14:52:00Z</dcterms:modified>
</cp:coreProperties>
</file>