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0836" w:rsidRPr="00EA40F6" w:rsidP="00EA40F6">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Tabuľka zhody</w:t>
      </w:r>
    </w:p>
    <w:p w:rsidR="001D0836" w:rsidRPr="00EA40F6" w:rsidP="00EA40F6">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právneho predpisu</w:t>
      </w:r>
    </w:p>
    <w:p w:rsidR="001D0836" w:rsidRPr="00EA40F6" w:rsidP="00B17C67">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s  právom Európskej únie</w:t>
      </w:r>
    </w:p>
    <w:p w:rsidR="001D0836">
      <w:pPr>
        <w:bidi w:val="0"/>
      </w:pPr>
    </w:p>
    <w:tbl>
      <w:tblPr>
        <w:tblStyle w:val="TableNormal"/>
        <w:tblpPr w:leftFromText="141" w:rightFromText="141" w:vertAnchor="text" w:tblpY="1"/>
        <w:tblOverlap w:val="neve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
        <w:gridCol w:w="4621"/>
        <w:gridCol w:w="1070"/>
        <w:gridCol w:w="682"/>
        <w:gridCol w:w="957"/>
        <w:gridCol w:w="4602"/>
        <w:gridCol w:w="713"/>
        <w:gridCol w:w="1666"/>
      </w:tblGrid>
      <w:tr>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336" w:type="dxa"/>
            <w:gridSpan w:val="3"/>
            <w:tcBorders>
              <w:top w:val="single" w:sz="4" w:space="0" w:color="auto"/>
              <w:left w:val="single" w:sz="4" w:space="0" w:color="auto"/>
              <w:bottom w:val="single" w:sz="4" w:space="0" w:color="auto"/>
              <w:right w:val="single" w:sz="4" w:space="0" w:color="auto"/>
            </w:tcBorders>
            <w:textDirection w:val="lrTb"/>
            <w:vAlign w:val="top"/>
          </w:tcPr>
          <w:p w:rsidR="001D0836" w:rsidRPr="00C667F3" w:rsidP="00AB5C58">
            <w:pPr>
              <w:autoSpaceDE w:val="0"/>
              <w:autoSpaceDN w:val="0"/>
              <w:bidi w:val="0"/>
              <w:adjustRightInd w:val="0"/>
              <w:spacing w:after="0" w:line="240" w:lineRule="auto"/>
              <w:suppressOverlap/>
              <w:jc w:val="both"/>
              <w:rPr>
                <w:rFonts w:ascii="Times New Roman" w:hAnsi="Times New Roman"/>
                <w:sz w:val="20"/>
                <w:szCs w:val="20"/>
                <w:lang w:eastAsia="sk-SK"/>
              </w:rPr>
            </w:pPr>
            <w:r w:rsidRPr="0082368B" w:rsidR="0082368B">
              <w:rPr>
                <w:rFonts w:ascii="Times New Roman" w:hAnsi="Times New Roman"/>
                <w:sz w:val="20"/>
                <w:szCs w:val="20"/>
                <w:lang w:eastAsia="sk-SK"/>
              </w:rPr>
              <w:t>Smernica Európskeho parlamentu a Rady 2003/87/ES z 13. októbra 2003 o vytvorení systému obchodovania s emisnými kvótami skleníkových plynov v Spoločenstve a ktorou sa mení a dopĺňa smernica Rady 96/61/ES v znení smernice Európskeho parlamentu a Rady 2004/101/ES z 27. októbra 2004, smernice Európskeho parlamentu a Rady 2008/101/ES z 19. novembra 2008, nariadenia Európskeho parlamentu a Rady (ES) č. 219/2009</w:t>
            </w:r>
            <w:r w:rsidR="0082368B">
              <w:rPr>
                <w:rFonts w:ascii="Times New Roman" w:hAnsi="Times New Roman"/>
                <w:sz w:val="20"/>
                <w:szCs w:val="20"/>
                <w:lang w:eastAsia="sk-SK"/>
              </w:rPr>
              <w:t xml:space="preserve"> z 11. marca 2009, </w:t>
            </w:r>
            <w:r w:rsidRPr="0082368B" w:rsidR="0082368B">
              <w:rPr>
                <w:rFonts w:ascii="Times New Roman" w:hAnsi="Times New Roman"/>
                <w:sz w:val="20"/>
                <w:szCs w:val="20"/>
                <w:lang w:eastAsia="sk-SK"/>
              </w:rPr>
              <w:t>smernice Európskeho parlamentu a Rady 2009/29/ES z 23. apríla  a rozhodnutia Európskeho parlamentu a Rady č. 1359/2013/EÚ zo 17. decembra 2013.</w:t>
            </w:r>
          </w:p>
        </w:tc>
        <w:tc>
          <w:tcPr>
            <w:tcW w:w="9690" w:type="dxa"/>
            <w:gridSpan w:val="6"/>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rPr>
                <w:rFonts w:ascii="Times New Roman" w:hAnsi="Times New Roman"/>
                <w:sz w:val="20"/>
                <w:szCs w:val="20"/>
                <w:lang w:eastAsia="sk-SK"/>
              </w:rPr>
            </w:pPr>
            <w:r w:rsidRPr="00EA40F6">
              <w:rPr>
                <w:rFonts w:ascii="Times New Roman" w:hAnsi="Times New Roman"/>
                <w:sz w:val="20"/>
                <w:szCs w:val="20"/>
                <w:lang w:eastAsia="sk-SK"/>
              </w:rPr>
              <w:t>Právne predpisy Slovenskej republiky:</w:t>
            </w:r>
          </w:p>
          <w:p w:rsidR="001D0836" w:rsidRPr="00EA40F6" w:rsidP="00EA40F6">
            <w:pPr>
              <w:bidi w:val="0"/>
              <w:spacing w:after="0" w:line="240" w:lineRule="auto"/>
              <w:suppressOverlap/>
              <w:rPr>
                <w:rFonts w:ascii="Times New Roman" w:hAnsi="Times New Roman"/>
                <w:sz w:val="20"/>
                <w:szCs w:val="20"/>
                <w:lang w:eastAsia="sk-SK"/>
              </w:rPr>
            </w:pPr>
            <w:r w:rsidR="00955938">
              <w:rPr>
                <w:rFonts w:ascii="Times New Roman" w:hAnsi="Times New Roman"/>
                <w:sz w:val="20"/>
                <w:szCs w:val="20"/>
                <w:lang w:eastAsia="sk-SK"/>
              </w:rPr>
              <w:t xml:space="preserve">Návrh zákona, ktorým sa mení a dopĺňa zákon č. 414/2012 Z. z. o obchodovaní s emisnými kvótami a o zmene a doplnení niektorých zákonov a ktorým sa menia a dopĺňajú niektoré zákony </w:t>
            </w:r>
          </w:p>
          <w:p w:rsidR="001D0836" w:rsidRPr="00EA40F6" w:rsidP="00EA40F6">
            <w:pPr>
              <w:bidi w:val="0"/>
              <w:spacing w:after="0" w:line="240" w:lineRule="auto"/>
              <w:ind w:left="227" w:hanging="227"/>
              <w:suppressOverlap/>
              <w:rPr>
                <w:rFonts w:ascii="Times New Roman" w:hAnsi="Times New Roman"/>
                <w:bCs/>
                <w:sz w:val="18"/>
                <w:szCs w:val="18"/>
                <w:lang w:eastAsia="sk-SK"/>
              </w:rPr>
            </w:pPr>
          </w:p>
          <w:p w:rsidR="001D0836" w:rsidRPr="00EA40F6" w:rsidP="00EA40F6">
            <w:pPr>
              <w:bidi w:val="0"/>
              <w:spacing w:after="0" w:line="240" w:lineRule="auto"/>
              <w:suppressOverlap/>
              <w:rPr>
                <w:rFonts w:ascii="Times New Roman" w:hAnsi="Times New Roman"/>
                <w:bCs/>
                <w:sz w:val="20"/>
                <w:szCs w:val="20"/>
                <w:lang w:eastAsia="sk-SK"/>
              </w:rPr>
            </w:pPr>
            <w:r w:rsidRPr="00EA40F6">
              <w:rPr>
                <w:rFonts w:ascii="Times New Roman" w:hAnsi="Times New Roman"/>
                <w:bCs/>
                <w:sz w:val="18"/>
                <w:szCs w:val="18"/>
                <w:lang w:eastAsia="sk-SK"/>
              </w:rPr>
              <w:t xml:space="preserve"> </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1</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3</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4</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5</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6</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7</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8</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O, V, P)</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Spôsob transpozície</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Číslo</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 O, V, P)</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Zhoda</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Poznámky</w:t>
            </w: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Č:3e</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3e</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Prideľovanie a vydávanie kvót prevádzkovateľom lietadiel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Každý prevádzkovateľ lietadla môže pre každé obdobie uvedené v článku 3c požiadať o pridelenie kvót, ktoré sa majú prideliť bezplatne. V žiadosti predloženej príslušnému orgánu v riadiacom členskom štáte sa uvedú overené údaje o tonokilometroch týkajúce sa leteckých činností uvedených v prílohe I, uskutočnených týmto prevádzkovateľom lietadla za sledovaný rok. Na účely tohto článku je sledovaný rok kalendárnym rokom, ktorý sa končí 24 mesiacov pred začiatkom obdobia, na ktoré sa vzťahuje v súlade s prílohami IV a V, alebo ak ide o obdobie uvedené v článku 3c ods. 1, rok 2010. Každá žiadosť sa podáva najmenej 21 mesiacov pred začiatkom obdobia, na ktoré sa vzťahuje, alebo ak ide o obdobie uvedené v článku 3c ods. 1, do 31. marca 2011.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Členské štáty predložia Komisii žiadosti prijaté v súlade s odsekom 1 najmenej osemnásť mesiacov pred začiatkom obdobia, na ktoré sa žiadosť vzťahuje, alebo ak ide o obdobie uvedené v článku 3c ods. 1, do 30. júna 2011.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Komisia najmenej pätnásť mesiacov pred začiatkom každého obdobia uvedeného v článku 3c ods. 2, alebo ak ide o obdobie uvedené v článku 3c ods. 1, do 30. septembra 2011 vypočíta a prijme rozhodnutie, ktorým sa stanoví: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celkové množstvo kvót, ktoré sa majú prideliť na toto obdobie v súlade s článkom 3c;</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počet kvót, ktoré sa dajú na aukciu v tomto období v súlade s článkom 3d;</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počet kvót v rámci osobitnej rezervy pre prevádzkovateľov lietadiel v danom období v súlade s článkom 3f ods.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počet kvót, ktoré sa majú prideliť bezplatne v danom období tak, že sa odpočíta počet kvót uvedených v písmenách b) a c) z celkového množstva kvót, o ktorom sa rozhodlo v písmene 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referenčnú hodnotu, ktorá sa má použiť na bezplatné prideľovanie kvót prevádzkovateľom lietadiel, ktorých žiadosti boli predložené Komisii v súlade s odsekom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Referenčná hodnota uvedená v písmene e), vyjadrená ako kvóta za tonokilometre, sa vypočíta tak, že počet kvót uvedených v písmene d) sa vydelí súčtom tonokilometrov zahrnutých do žiadostí predložených Komisii v súlade s odsekom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Každý riadiaci členský štát do troch mesiacov od dátumu, keď Komisia prijme rozhodnutie podľa odseku 3, vypočíta a uverejní: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celkový prídel kvót na dané obdobie pridelený každému prevádzkovateľovi lietadla, ktorého žiadosť predložil Komisii v súlade s odsekom 2, vypočítaný tak, že sa počet tonokilometrov zahrnutých do žiadosti vynásobí referenčnou hodnotou uvedenou v odseku 3 písm. e),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počet kvót pridelený každému prevádzkovateľovi lietadla na každý rok, ktorý sa stanoví tak, že jeho celkový prídel kvót na dané obdobie vypočítaný v písmene a) sa vydelí počtom rokov v období, v ktorom daný prevádzkovateľ lietadla vykonáva letecké činnosti uvedené v prílohe I.</w:t>
            </w:r>
          </w:p>
          <w:p w:rsidR="0006510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Príslušný orgán riadiaceho členského štátu vydá do 28. februára 2012 a do 28. februára každého nasledujúceho roka každému prevádzkovateľovi lietadla počet kvót pridelených tomuto prevádzkovateľovi lietadla na tento rok podľa tohto článku alebo článku 3f.</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835700">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835700">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836" w:rsidP="001D0CF0">
            <w:pPr>
              <w:bidi w:val="0"/>
              <w:spacing w:after="0" w:line="240" w:lineRule="auto"/>
              <w:suppressOverlap/>
              <w:jc w:val="center"/>
              <w:rPr>
                <w:rFonts w:ascii="Times New Roman" w:hAnsi="Times New Roman"/>
                <w:sz w:val="18"/>
                <w:szCs w:val="18"/>
                <w:lang w:eastAsia="sk-SK"/>
              </w:rPr>
            </w:pPr>
            <w:r w:rsidR="00835700">
              <w:rPr>
                <w:rFonts w:ascii="Times New Roman" w:hAnsi="Times New Roman"/>
                <w:sz w:val="18"/>
                <w:szCs w:val="18"/>
                <w:lang w:eastAsia="sk-SK"/>
              </w:rPr>
              <w:t>Č:1</w:t>
            </w:r>
          </w:p>
          <w:p w:rsidR="00835700"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§:26</w:t>
            </w:r>
          </w:p>
          <w:p w:rsidR="00835700"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835700"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P:r</w:t>
            </w:r>
          </w:p>
          <w:p w:rsidR="00835700"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P="00491C95">
            <w:pPr>
              <w:bidi w:val="0"/>
              <w:spacing w:after="0" w:line="240" w:lineRule="auto"/>
              <w:contextualSpacing/>
              <w:suppressOverlap/>
              <w:jc w:val="both"/>
              <w:rPr>
                <w:rFonts w:ascii="Times New Roman" w:hAnsi="Times New Roman"/>
                <w:sz w:val="19"/>
                <w:szCs w:val="19"/>
              </w:rPr>
            </w:pPr>
          </w:p>
          <w:p w:rsidR="00835700" w:rsidRPr="00E95074" w:rsidP="00491C95">
            <w:pPr>
              <w:bidi w:val="0"/>
              <w:spacing w:after="0" w:line="240" w:lineRule="auto"/>
              <w:contextualSpacing/>
              <w:suppressOverlap/>
              <w:jc w:val="both"/>
              <w:rPr>
                <w:rFonts w:ascii="Times New Roman" w:hAnsi="Times New Roman"/>
                <w:sz w:val="19"/>
                <w:szCs w:val="19"/>
              </w:rPr>
            </w:pPr>
            <w:r>
              <w:rPr>
                <w:rFonts w:ascii="Times New Roman" w:hAnsi="Times New Roman"/>
                <w:sz w:val="19"/>
                <w:szCs w:val="19"/>
              </w:rPr>
              <w:t>r) oznamuje vnútroštátnemu správcovi množstvo pridelených kvót pre prevádzkovateľov lietadiel na základe § 14 alebo § 15, ktoré má byť pridelené každoročne do 28. februára.</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835700">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Č:15</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15</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 xml:space="preserve">Overovanie a akreditácia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zabezpečia, aby boli správy podané prevádzkovateľmi a prevádzkovateľmi lietadiel podľa článku 14 ods. 3 overené v súlade s kritériami stanovenými v prílohe V a s akýmikoľvek podrobnými ustanoveniami prijatými Komisiou v súlade s týmto článkom a aby príslušný orgán bol o tom informovaný.</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zabezpečia, aby prevádzkovateľ alebo prevádzkovateľ lietadla, ktorého správa nebola overená ako uspokojivá v súlade s kritériami stanovenými v prílohe V a s akýmikoľvek podrobnými ustanoveniami prijatými Komisiou v súlade s týmto článkom do 31. marca každého roku za emisie predchádzajúceho roku, nemohol uskutočňovať ďalšie prenosy kvót, pokiaľ nie je správa od tohto prevádzkovateľa overená ako uspokojivá.</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môže prijať podrobné ustanovenia na účely overovania správ, ktoré podávajú prevádzkovatelia lietadiel podľa článku 14 ods. 3, a žiadostí podľa článkov 3e a 3f vrátane postupov, ktoré majú overovatelia používať, v súlade s regulačným postupom uvedeným v článku 23 ods.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Do 31. decembra 2011 Komisia prijme nariadenie o overovaní správ o emisiách podľa zásad stanovených v prílohe V a o akreditácii a kontrole overovateľov. V tomto nariadení sa konkretizujú podmienky akreditácie a odnímania akreditácie, vzájomného uznávania a v prípade potreby aj vzájomného overovania akreditačných orgánov (peer evaluation).</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Toto opatrenie zamerané na zmenu nepodstatných prvkov tejto smernice jej doplnením sa prijme v súlade s regulačným postupom s kontrolou uvedeným v článku 23 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692C0C">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692C0C">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sidR="00692C0C">
              <w:rPr>
                <w:rFonts w:ascii="Times New Roman" w:hAnsi="Times New Roman"/>
                <w:sz w:val="18"/>
                <w:szCs w:val="18"/>
                <w:lang w:eastAsia="sk-SK"/>
              </w:rPr>
              <w:t>Č:1</w:t>
            </w:r>
          </w:p>
          <w:p w:rsidR="00692C0C"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§:21</w:t>
            </w:r>
          </w:p>
          <w:p w:rsidR="00692C0C"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692C0C"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P:a</w:t>
            </w:r>
          </w:p>
          <w:p w:rsidR="001D0CF0" w:rsidP="00EA40F6">
            <w:pPr>
              <w:bidi w:val="0"/>
              <w:spacing w:after="0" w:line="240" w:lineRule="auto"/>
              <w:suppressOverlap/>
              <w:jc w:val="center"/>
              <w:rPr>
                <w:rFonts w:ascii="Times New Roman" w:hAnsi="Times New Roman"/>
                <w:sz w:val="18"/>
                <w:szCs w:val="18"/>
                <w:lang w:eastAsia="sk-SK"/>
              </w:rPr>
            </w:pPr>
          </w:p>
          <w:p w:rsidR="001D0CF0" w:rsidP="00EA40F6">
            <w:pPr>
              <w:bidi w:val="0"/>
              <w:spacing w:after="0" w:line="240" w:lineRule="auto"/>
              <w:suppressOverlap/>
              <w:jc w:val="center"/>
              <w:rPr>
                <w:rFonts w:ascii="Times New Roman" w:hAnsi="Times New Roman"/>
                <w:sz w:val="18"/>
                <w:szCs w:val="18"/>
                <w:lang w:eastAsia="sk-SK"/>
              </w:rPr>
            </w:pPr>
          </w:p>
          <w:p w:rsidR="001D0CF0" w:rsidP="001D0CF0">
            <w:pPr>
              <w:bidi w:val="0"/>
              <w:spacing w:after="0" w:line="240" w:lineRule="auto"/>
              <w:suppressOverlap/>
              <w:jc w:val="center"/>
              <w:rPr>
                <w:rFonts w:ascii="Times New Roman" w:hAnsi="Times New Roman"/>
                <w:sz w:val="18"/>
                <w:szCs w:val="18"/>
                <w:lang w:eastAsia="sk-SK"/>
              </w:rPr>
            </w:pPr>
          </w:p>
          <w:p w:rsidR="001D0CF0" w:rsidRPr="001D0CF0" w:rsidP="001D0CF0">
            <w:pPr>
              <w:bidi w:val="0"/>
              <w:spacing w:after="0" w:line="240" w:lineRule="auto"/>
              <w:suppressOverlap/>
              <w:jc w:val="center"/>
              <w:rPr>
                <w:rFonts w:ascii="Times New Roman" w:hAnsi="Times New Roman"/>
                <w:sz w:val="18"/>
                <w:szCs w:val="18"/>
                <w:lang w:eastAsia="sk-SK"/>
              </w:rPr>
            </w:pPr>
            <w:r w:rsidRPr="001D0CF0">
              <w:rPr>
                <w:rFonts w:ascii="Times New Roman" w:hAnsi="Times New Roman"/>
                <w:sz w:val="18"/>
                <w:szCs w:val="18"/>
                <w:lang w:eastAsia="sk-SK"/>
              </w:rPr>
              <w:t>Č:1</w:t>
            </w:r>
          </w:p>
          <w:p w:rsidR="001D0CF0" w:rsidRPr="001D0CF0" w:rsidP="001D0CF0">
            <w:pPr>
              <w:bidi w:val="0"/>
              <w:spacing w:after="0" w:line="240" w:lineRule="auto"/>
              <w:suppressOverlap/>
              <w:jc w:val="center"/>
              <w:rPr>
                <w:rFonts w:ascii="Times New Roman" w:hAnsi="Times New Roman"/>
                <w:sz w:val="18"/>
                <w:szCs w:val="18"/>
                <w:lang w:eastAsia="sk-SK"/>
              </w:rPr>
            </w:pPr>
            <w:r w:rsidRPr="001D0CF0">
              <w:rPr>
                <w:rFonts w:ascii="Times New Roman" w:hAnsi="Times New Roman"/>
                <w:sz w:val="18"/>
                <w:szCs w:val="18"/>
                <w:lang w:eastAsia="sk-SK"/>
              </w:rPr>
              <w:t>§:21</w:t>
            </w:r>
          </w:p>
          <w:p w:rsidR="001D0CF0" w:rsidRPr="001D0CF0" w:rsidP="001D0CF0">
            <w:pPr>
              <w:bidi w:val="0"/>
              <w:spacing w:after="0" w:line="240" w:lineRule="auto"/>
              <w:suppressOverlap/>
              <w:jc w:val="center"/>
              <w:rPr>
                <w:rFonts w:ascii="Times New Roman" w:hAnsi="Times New Roman"/>
                <w:sz w:val="18"/>
                <w:szCs w:val="18"/>
                <w:lang w:eastAsia="sk-SK"/>
              </w:rPr>
            </w:pPr>
            <w:r w:rsidRPr="001D0CF0">
              <w:rPr>
                <w:rFonts w:ascii="Times New Roman" w:hAnsi="Times New Roman"/>
                <w:sz w:val="18"/>
                <w:szCs w:val="18"/>
                <w:lang w:eastAsia="sk-SK"/>
              </w:rPr>
              <w:t>O:1</w:t>
            </w:r>
          </w:p>
          <w:p w:rsidR="001D0CF0" w:rsidRPr="00EA40F6" w:rsidP="001D0CF0">
            <w:pPr>
              <w:bidi w:val="0"/>
              <w:spacing w:after="0" w:line="240" w:lineRule="auto"/>
              <w:suppressOverlap/>
              <w:jc w:val="center"/>
              <w:rPr>
                <w:rFonts w:ascii="Times New Roman" w:hAnsi="Times New Roman"/>
                <w:sz w:val="18"/>
                <w:szCs w:val="18"/>
                <w:lang w:eastAsia="sk-SK"/>
              </w:rPr>
            </w:pPr>
            <w:r w:rsidRPr="001D0CF0">
              <w:rPr>
                <w:rFonts w:ascii="Times New Roman" w:hAnsi="Times New Roman"/>
                <w:sz w:val="18"/>
                <w:szCs w:val="18"/>
                <w:lang w:eastAsia="sk-SK"/>
              </w:rPr>
              <w:t>P:a</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692C0C"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692C0C"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692C0C" w:rsidRPr="001D0CF0" w:rsidP="001D0CF0">
            <w:pPr>
              <w:bidi w:val="0"/>
              <w:spacing w:after="0" w:line="240" w:lineRule="auto"/>
              <w:contextualSpacing/>
              <w:suppressOverlap/>
              <w:jc w:val="both"/>
              <w:rPr>
                <w:rFonts w:ascii="Times New Roman" w:hAnsi="Times New Roman"/>
                <w:sz w:val="18"/>
                <w:szCs w:val="18"/>
                <w:lang w:eastAsia="sk-SK"/>
              </w:rPr>
            </w:pPr>
            <w:r w:rsidRPr="001D0CF0" w:rsidR="001D0CF0">
              <w:rPr>
                <w:rFonts w:ascii="Times New Roman" w:hAnsi="Times New Roman"/>
                <w:sz w:val="19"/>
                <w:szCs w:val="19"/>
              </w:rPr>
              <w:t>a)</w:t>
            </w:r>
            <w:r w:rsidR="001D0CF0">
              <w:rPr>
                <w:rFonts w:ascii="Times New Roman" w:hAnsi="Times New Roman"/>
                <w:sz w:val="19"/>
                <w:szCs w:val="19"/>
              </w:rPr>
              <w:t xml:space="preserve"> </w:t>
            </w:r>
            <w:r w:rsidRPr="001D0CF0" w:rsidR="001D0CF0">
              <w:rPr>
                <w:rFonts w:ascii="Times New Roman" w:hAnsi="Times New Roman"/>
                <w:sz w:val="19"/>
                <w:szCs w:val="19"/>
              </w:rPr>
              <w:t>predložiť okresnému úradu každoročne do 1. marca správu o emisiách skleníkových plynov z</w:t>
            </w:r>
            <w:r w:rsidR="001D0CF0">
              <w:rPr>
                <w:rFonts w:ascii="Times New Roman" w:hAnsi="Times New Roman"/>
                <w:sz w:val="19"/>
                <w:szCs w:val="19"/>
              </w:rPr>
              <w:t> </w:t>
            </w:r>
            <w:r w:rsidRPr="001D0CF0" w:rsidR="001D0CF0">
              <w:rPr>
                <w:rFonts w:ascii="Times New Roman" w:hAnsi="Times New Roman"/>
                <w:sz w:val="19"/>
                <w:szCs w:val="19"/>
              </w:rPr>
              <w:t>prevádzky</w:t>
            </w:r>
            <w:r w:rsidR="001D0CF0">
              <w:rPr>
                <w:rFonts w:ascii="Times New Roman" w:hAnsi="Times New Roman"/>
                <w:sz w:val="19"/>
                <w:szCs w:val="19"/>
              </w:rPr>
              <w:t xml:space="preserve"> </w:t>
            </w:r>
            <w:r w:rsidRPr="001D0CF0" w:rsidR="001D0CF0">
              <w:rPr>
                <w:rFonts w:ascii="Times New Roman" w:hAnsi="Times New Roman"/>
                <w:sz w:val="19"/>
                <w:szCs w:val="19"/>
              </w:rPr>
              <w:t>počas predchádzajúceho kalendárneho roka overenú oprávneným overovateľom ako správnu v súlade s kritériami podľa osobitného predpisu</w:t>
            </w:r>
            <w:r w:rsidRPr="001D0CF0" w:rsidR="001D0CF0">
              <w:rPr>
                <w:rFonts w:ascii="Times New Roman" w:hAnsi="Times New Roman"/>
                <w:sz w:val="19"/>
                <w:szCs w:val="19"/>
                <w:vertAlign w:val="superscript"/>
              </w:rPr>
              <w:t>19</w:t>
            </w:r>
            <w:r w:rsidR="00E41A87">
              <w:rPr>
                <w:rFonts w:ascii="Times New Roman" w:hAnsi="Times New Roman"/>
                <w:sz w:val="19"/>
                <w:szCs w:val="19"/>
              </w:rPr>
              <w:t>) a prílohy č. 3b</w:t>
            </w:r>
            <w:r w:rsidRPr="001D0CF0" w:rsidR="001D0CF0">
              <w:rPr>
                <w:rFonts w:ascii="Times New Roman" w:hAnsi="Times New Roman"/>
                <w:sz w:val="19"/>
                <w:szCs w:val="19"/>
              </w:rPr>
              <w:t>,</w:t>
            </w:r>
          </w:p>
          <w:p w:rsidR="001D0CF0" w:rsidP="001D0CF0">
            <w:pPr>
              <w:bidi w:val="0"/>
              <w:spacing w:after="0" w:line="240" w:lineRule="auto"/>
              <w:contextualSpacing/>
              <w:suppressOverlap/>
              <w:jc w:val="both"/>
              <w:rPr>
                <w:rFonts w:ascii="Times New Roman" w:hAnsi="Times New Roman"/>
                <w:sz w:val="19"/>
                <w:szCs w:val="19"/>
              </w:rPr>
            </w:pPr>
          </w:p>
          <w:p w:rsidR="001D0CF0" w:rsidRPr="00EA40F6" w:rsidP="001D0CF0">
            <w:pPr>
              <w:bidi w:val="0"/>
              <w:spacing w:after="0" w:line="240" w:lineRule="auto"/>
              <w:contextualSpacing/>
              <w:suppressOverlap/>
              <w:jc w:val="both"/>
              <w:rPr>
                <w:rFonts w:ascii="Times New Roman" w:hAnsi="Times New Roman"/>
                <w:sz w:val="18"/>
                <w:szCs w:val="18"/>
                <w:lang w:eastAsia="sk-SK"/>
              </w:rPr>
            </w:pPr>
            <w:r w:rsidRPr="001D0CF0">
              <w:rPr>
                <w:rFonts w:ascii="Times New Roman" w:hAnsi="Times New Roman"/>
                <w:sz w:val="19"/>
                <w:szCs w:val="19"/>
              </w:rPr>
              <w:t>a) predložiť ministerstvu  každoročne do 1. marca správu o emisiách skleníkových plynov z leteckých činností počas predchádzajúceho kalendárneho roka overenú oprávneným overovateľom ako správnu v súlade s kritériami podľa osobitného predpisu</w:t>
            </w:r>
            <w:r w:rsidRPr="001D0CF0">
              <w:rPr>
                <w:rFonts w:ascii="Times New Roman" w:hAnsi="Times New Roman"/>
                <w:sz w:val="19"/>
                <w:szCs w:val="19"/>
                <w:vertAlign w:val="superscript"/>
              </w:rPr>
              <w:t>19</w:t>
            </w:r>
            <w:r w:rsidR="00E41A87">
              <w:rPr>
                <w:rFonts w:ascii="Times New Roman" w:hAnsi="Times New Roman"/>
                <w:sz w:val="19"/>
                <w:szCs w:val="19"/>
              </w:rPr>
              <w:t>) a prílohy č. 3b</w:t>
            </w:r>
            <w:r w:rsidRPr="001D0CF0">
              <w:rPr>
                <w:rFonts w:ascii="Times New Roman" w:hAnsi="Times New Roman"/>
                <w:sz w:val="19"/>
                <w:szCs w:val="19"/>
              </w:rPr>
              <w:t>,</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Č:15a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15a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Zverejňovanie informácií a služobné tajomstvo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a Komisia zabezpečia, že všetky rozhodnutia a správy týkajúce sa množstva a prideľovania kvót, ako aj monitorovania, podávania správ a overovania emisií sa ihneď zverejnia náležitým spôsobom zaručujúcim nediskriminačný prístup k týmto informáciám.</w:t>
            </w:r>
          </w:p>
          <w:p w:rsidR="00AA52D3"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01" w:hAnsi="TimesNewRoman+01" w:cs="TimesNewRoman+01"/>
                <w:sz w:val="19"/>
                <w:szCs w:val="19"/>
                <w:lang w:eastAsia="sk-SK"/>
              </w:rPr>
            </w:pPr>
            <w:r w:rsidRPr="00EA40F6">
              <w:rPr>
                <w:rFonts w:ascii="TimesNewRoman" w:hAnsi="TimesNewRoman" w:cs="TimesNewRoman"/>
                <w:sz w:val="19"/>
                <w:szCs w:val="19"/>
                <w:lang w:eastAsia="sk-SK"/>
              </w:rPr>
              <w:t>Informácie, ktoré sú predmetom služobného tajomstva, sa nesmú oznamovať inej osobe alebo orgánu, s výnimkou prípadov, ktoré uvádzajú platné zákony, iné právne predpisy alebo správne opatrenia.</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AA52D3">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AA52D3">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671CC7" w:rsidP="00EA40F6">
            <w:pPr>
              <w:bidi w:val="0"/>
              <w:spacing w:after="0" w:line="240" w:lineRule="auto"/>
              <w:suppressOverlap/>
              <w:jc w:val="center"/>
              <w:rPr>
                <w:rFonts w:ascii="Times New Roman" w:hAnsi="Times New Roman"/>
                <w:sz w:val="18"/>
                <w:szCs w:val="18"/>
                <w:lang w:eastAsia="sk-SK"/>
              </w:rPr>
            </w:pPr>
          </w:p>
          <w:p w:rsidR="00671CC7" w:rsidP="00EA40F6">
            <w:pPr>
              <w:bidi w:val="0"/>
              <w:spacing w:after="0" w:line="240" w:lineRule="auto"/>
              <w:suppressOverlap/>
              <w:jc w:val="center"/>
              <w:rPr>
                <w:rFonts w:ascii="Times New Roman" w:hAnsi="Times New Roman"/>
                <w:sz w:val="18"/>
                <w:szCs w:val="18"/>
                <w:lang w:eastAsia="sk-SK"/>
              </w:rPr>
            </w:pPr>
          </w:p>
          <w:p w:rsidR="00671CC7"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sidR="00AA52D3">
              <w:rPr>
                <w:rFonts w:ascii="Times New Roman" w:hAnsi="Times New Roman"/>
                <w:sz w:val="18"/>
                <w:szCs w:val="18"/>
                <w:lang w:eastAsia="sk-SK"/>
              </w:rPr>
              <w:t>Č:1</w:t>
            </w:r>
          </w:p>
          <w:p w:rsidR="00AA52D3"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§:29</w:t>
            </w:r>
          </w:p>
          <w:p w:rsidR="00AA52D3" w:rsidRPr="00EA40F6" w:rsidP="00EA40F6">
            <w:pPr>
              <w:bidi w:val="0"/>
              <w:spacing w:after="0" w:line="240" w:lineRule="auto"/>
              <w:suppressOverlap/>
              <w:jc w:val="center"/>
              <w:rPr>
                <w:rFonts w:ascii="Times New Roman" w:hAnsi="Times New Roman"/>
                <w:sz w:val="18"/>
                <w:szCs w:val="18"/>
                <w:lang w:eastAsia="sk-SK"/>
              </w:rPr>
            </w:pPr>
            <w:r w:rsidR="0044147D">
              <w:rPr>
                <w:rFonts w:ascii="Times New Roman" w:hAnsi="Times New Roman"/>
                <w:sz w:val="18"/>
                <w:szCs w:val="18"/>
                <w:lang w:eastAsia="sk-SK"/>
              </w:rPr>
              <w:t>O:5</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AA52D3">
            <w:pPr>
              <w:bidi w:val="0"/>
              <w:spacing w:after="0" w:line="240" w:lineRule="auto"/>
              <w:suppressOverlap/>
              <w:jc w:val="both"/>
              <w:rPr>
                <w:rFonts w:ascii="Times New Roman" w:hAnsi="Times New Roman"/>
                <w:sz w:val="18"/>
                <w:szCs w:val="18"/>
                <w:lang w:eastAsia="sk-SK"/>
              </w:rPr>
            </w:pPr>
          </w:p>
          <w:p w:rsidR="00AA52D3" w:rsidP="00AA52D3">
            <w:pPr>
              <w:bidi w:val="0"/>
              <w:spacing w:after="0" w:line="240" w:lineRule="auto"/>
              <w:suppressOverlap/>
              <w:jc w:val="both"/>
              <w:rPr>
                <w:rFonts w:ascii="Times New Roman" w:hAnsi="Times New Roman"/>
                <w:sz w:val="18"/>
                <w:szCs w:val="18"/>
                <w:lang w:eastAsia="sk-SK"/>
              </w:rPr>
            </w:pPr>
          </w:p>
          <w:p w:rsidR="00AA52D3" w:rsidP="00AA52D3">
            <w:pPr>
              <w:bidi w:val="0"/>
              <w:spacing w:after="0" w:line="240" w:lineRule="auto"/>
              <w:suppressOverlap/>
              <w:jc w:val="both"/>
              <w:rPr>
                <w:rFonts w:ascii="Times New Roman" w:hAnsi="Times New Roman"/>
                <w:sz w:val="18"/>
                <w:szCs w:val="18"/>
                <w:lang w:eastAsia="sk-SK"/>
              </w:rPr>
            </w:pPr>
          </w:p>
          <w:p w:rsidR="00AA52D3" w:rsidRPr="00EA40F6" w:rsidP="0044147D">
            <w:pPr>
              <w:bidi w:val="0"/>
              <w:spacing w:after="0" w:line="240" w:lineRule="auto"/>
              <w:suppressOverlap/>
              <w:jc w:val="both"/>
              <w:rPr>
                <w:rFonts w:ascii="Times New Roman" w:hAnsi="Times New Roman"/>
                <w:sz w:val="18"/>
                <w:szCs w:val="18"/>
                <w:lang w:eastAsia="sk-SK"/>
              </w:rPr>
            </w:pPr>
            <w:r w:rsidR="0044147D">
              <w:rPr>
                <w:rFonts w:ascii="Times New Roman" w:hAnsi="Times New Roman"/>
                <w:sz w:val="18"/>
                <w:szCs w:val="18"/>
                <w:lang w:eastAsia="sk-SK"/>
              </w:rPr>
              <w:t xml:space="preserve">(5) </w:t>
            </w:r>
            <w:r w:rsidRPr="0044147D" w:rsidR="0044147D">
              <w:rPr>
                <w:rFonts w:ascii="Times New Roman" w:hAnsi="Times New Roman"/>
                <w:sz w:val="18"/>
                <w:szCs w:val="18"/>
                <w:lang w:eastAsia="sk-SK"/>
              </w:rPr>
              <w:t>Údaje podľa odseku 1 sa zverejňujú bezodkladne s</w:t>
            </w:r>
            <w:r w:rsidR="0044147D">
              <w:rPr>
                <w:rFonts w:ascii="Times New Roman" w:hAnsi="Times New Roman"/>
                <w:sz w:val="18"/>
                <w:szCs w:val="18"/>
                <w:lang w:eastAsia="sk-SK"/>
              </w:rPr>
              <w:t>pôsobom, ktorý zabezpečuje nediskriminačný prístup.</w:t>
            </w:r>
            <w:r w:rsidRPr="0044147D" w:rsidR="0044147D">
              <w:rPr>
                <w:rFonts w:ascii="Times New Roman" w:hAnsi="Times New Roman"/>
                <w:sz w:val="18"/>
                <w:szCs w:val="18"/>
                <w:lang w:eastAsia="sk-SK"/>
              </w:rPr>
              <w:t xml:space="preserve">                  </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00AA52D3">
              <w:rPr>
                <w:rFonts w:ascii="Times New Roman" w:hAnsi="Times New Roman"/>
                <w:sz w:val="18"/>
                <w:szCs w:val="18"/>
                <w:lang w:eastAsia="sk-SK"/>
              </w:rPr>
              <w:t>Ú</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i/>
                <w:iCs/>
                <w:color w:val="000000"/>
                <w:sz w:val="17"/>
                <w:szCs w:val="17"/>
                <w:lang w:eastAsia="sk-SK"/>
              </w:rPr>
              <w:t>„PRÍLOHA I</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rPr>
                <w:rFonts w:ascii="EUAlbertina" w:hAnsi="EUAlbertina" w:cs="EUAlbertina"/>
                <w:b/>
                <w:bCs/>
                <w:color w:val="000000"/>
                <w:sz w:val="17"/>
                <w:szCs w:val="17"/>
                <w:lang w:eastAsia="sk-SK"/>
              </w:rPr>
            </w:pPr>
            <w:r w:rsidRPr="00EA40F6">
              <w:rPr>
                <w:rFonts w:ascii="EUAlbertina" w:hAnsi="EUAlbertina" w:cs="EUAlbertina"/>
                <w:b/>
                <w:bCs/>
                <w:color w:val="000000"/>
                <w:sz w:val="17"/>
                <w:szCs w:val="17"/>
                <w:lang w:eastAsia="sk-SK"/>
              </w:rPr>
              <w:t>KATEGÓRIE ČINNOSTÍ, NA KTORÉ SA UPLATŇUJE TÁTO SMERNICA</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1. Táto smernica sa nevzťahuje na zariadenia ani časti zariadení používané na výskum, vývoj a testovanie nových výrobkov a procesov a na zariadenia využívajúce výlučne biomasu. </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2. Prahové hodnoty uvedené nižšie odkazujú vo všeobecnosti na výrobné kapacity alebo výstupy. Ak sa niekoľko činností patriacich do rovnakej kategórie vykonáva v tom istom zariadení, kapacity týchto činností sa sčítavajú. </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 Keď sa počíta celkový menovitý tepelný príkon zariadenia, aby sa rozhodlo o jeho začlenení do schémy Spoločenstva, spočítajú sa dovedna menovité tepelné príkony všetkých technických jednotiek, ktoré sú jeho súčasťou a v ktorých sa palivá spaľujú v rámci zariadenia. Tieto jednotky by mohli zahŕňať všetky typy kotlov, horákov, turbín, ohrievačov, priemyselných pecí, spaľovacích pecí, vypaľovacích pecí, sušiacich pecí, pecí, sušičiek, motorov, palivových článkov, chemických spaľovacích jednotiek, fakieľ resp. poľných horákov a termických alebo katalytických jednotiek dodatočného spaľovania. Jednotky s menovitým tepelným príkonom nižším ako 3 MW a jednotky, ktoré používajú výlučne biomasu, sa na účely tohto výpočtu neberú do úvahy. Medzi jednotky používajúce výlučne biomasu patria jednotky, ktoré používajú fosílne palivá len počas spúšťania alebo vypínania jednotky.</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24"/>
                <w:szCs w:val="24"/>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4. Ak jednotka slúži na činnosť, pre ktorú prahová hodnota nie je vyjadrená ako celkový menovitý tepelný príkon, pri rozhodovaní o začlenení do schémy Spoločenstva má prednosť prahová hodnota tejto činnosti. </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 Keď sa zistí, že prahová hodnota kapacity akejkoľvek činnosti z tejto prílohy sa v nejakom zariadení prekročí, všetky jednotky, v ktorých sa spaľujú palivá, okrem jednotiek na spaľovanie nebezpečného alebo komunálneho odpadu, sa začlenia do povolenia na emisie skleníkových plynov.</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 6. Od 1. januára 2012 sa zahrnú všetky lety s príletom na letisko alebo s odletom z letiska, ktoré sa nachádza na území členského štátu, na ktorý sa vzťahuje zmluva.</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tbl>
            <w:tblPr>
              <w:tblStyle w:val="TableNormal"/>
              <w:tblW w:w="4536" w:type="dxa"/>
              <w:tblBorders>
                <w:top w:val="single" w:sz="2" w:space="0" w:color="auto"/>
                <w:bottom w:val="single" w:sz="2" w:space="0" w:color="auto"/>
                <w:insideH w:val="single" w:sz="2" w:space="0" w:color="auto"/>
                <w:insideV w:val="single" w:sz="6" w:space="0" w:color="auto"/>
              </w:tblBorders>
              <w:tblLayout w:type="fixed"/>
              <w:tblLook w:val="00A0"/>
            </w:tblPr>
            <w:tblGrid>
              <w:gridCol w:w="2268"/>
              <w:gridCol w:w="2268"/>
            </w:tblGrid>
            <w:tr>
              <w:tblPrEx>
                <w:tblW w:w="4536" w:type="dxa"/>
                <w:tblBorders>
                  <w:top w:val="single" w:sz="2" w:space="0" w:color="auto"/>
                  <w:bottom w:val="single" w:sz="2" w:space="0" w:color="auto"/>
                  <w:insideH w:val="single" w:sz="2" w:space="0" w:color="auto"/>
                  <w:insideV w:val="single" w:sz="6" w:space="0" w:color="auto"/>
                </w:tblBorders>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Činnosti</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Skleníkové plyny</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Spaľovanie palív v zariadeniach s celkovým menovitým tepelným príkonom väčším ako 20 MW (okrem zariadení na spaľovanie nebezpečného alebo komunálneho odpadu).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Rafinovanie minerálnych olejov.</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koksu.</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Praženie alebo spekanie vrátane granulovania kovovej rudy (vrátane sulfidových rúd).</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surového železa alebo ocele (z prvotných alebo druhotných surovín) vrátane kontinuálneho liatia, s kapacitou väčšou ako 2,5 tony za hodinu.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alebo spracovanie železných kovov (vrátane železných zliatin),pri ktorej sa prevádzkujú spaľovacie jednotky s celkovým menovitým tepelným príkonom väčším ako 20 MW). Spracovanie zahŕňa okrem iného valcovne, predohrievače, žíhacie pece, kováčne, zlievarne, pokovovanie a morenie.</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primárneho hliníka.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sekundárneho hliníka, kde sa prevádzkujú spaľovacie jednotky s celkovým menovitým tepelným príkonom väčším ako 20 MW.</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plnofluórované uhľovodíky</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cementového slinku v rotačných peciach s výrobnou kapacitou väčšou ako 500 ton za deň alebo v iných peciach s výrobnou kapacitou väčšou ako 50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vápna alebo kalcinácia dolomitu a magnezitu v rotačných peciach alebo iných peciach s výrobnou kapacitou väčšou ako 50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skla vrátane sklených vlákien s kapacitou tavenia presahujúcou 20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keramických výrobkov vypaľovaním, hlavne krytinových škridiel, tehál, žiaruvzdorných tvárnic, obkladačiek, kameniny alebo porcelánu s výrobnou kapacitou presahujúcou 75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izolačného materiálu z minerálnej vlny využívajúcej sklo, kameň alebo trosku s výrobnou kapacitou väčšou ako 20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Sušenie alebo kalcinácia  sádrovca alebo výroba sadrokartónu a iných výrobkov zo sádrovca, kde sa prevádzkujú spaľovacie jednotky s celkovým menovitým tepelným príkonom väčším ako 20 MW.</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buničiny z dreva alebo iných vláknitých materiálov</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papiera alebo lepenky s výrobnou kapacitou väčšou ako 20 ton denne</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Priemyselná výroba sadzí zahŕňajúca karbonizáciu organických látok, ako sú oleje, dechty a zvyšky z krakovania a destilácie, pri ktorej sa prevádzkujú spaľovacie jednotky s celkovým menovitým tepelným príkonom väčším ako 20 MW</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kyseliny dusičnej</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kyseliny adipovej</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glyoxalu a kyseliny 2-oxoetánovej</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amoniaku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väčšiny organických chemikálií krakovaním, reformovaním, čiastočnou alebo celkovou oxidáciou alebo podobnými postupmi, s výrobnou kapacitou väčšou ako 100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vodíka (H2) a syntézneho plynu reformovaním alebo čiastočnou oxidáciou s výrobnou kapacitou väčšou ako 25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uhličitanu sodného (Na2CO3) a hydrogénuhličitanu sodného(NaHCO3)</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Zachytávanie skleníkových plynov zo zariadení, na ktoré sa vzťahuje táto smernica, na účely prepravy a geologického ukladania v úložisku povolené podľa smernice 2009/31/ES</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Preprava skleníkových plynov potrubím na účely geologického ukladania v úložisku povolené podľa smernice 2009/31/Es</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Geologické ukladanie skleníkových plynov povolené podľa smernice2009/31/Es</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oxid dusný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oxid dusný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oxid dusný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Letecká doprava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Lety s odletom z letiska alebo príletom na letisko, ktoré sa nachádza na území členského štátu, na ktorý sa vzťahuje zmluva.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Táto činnosť nezahŕňa: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a) 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b) vojenské lety uskutočňované vojenskými lietadlami a lety colných a policajných orgánov;</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c) pátracie a záchranné lety, protipožiarne lety, humanitárne lety a lety pohotovostnej zdravotníckej služby povolené príslušným kompetentným orgánom;</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d) všetky lety uskutočňované výhradne podľa vizuálnych letových pravidiel definovaných v prílohe 2 k Chicagskemu dohovoru;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e) lety končiace sa na letisku, z ktorého lietadlo vzlietlo, počas ktorých nedošlo k medzipristátiu;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 výcvikové lety uskutočňované výhradne na účely získania licencie alebo hodnotenia v prípade letovej posádky v kabíne, ak je to potvrdené príslušnou poznámkou v letovom pláne, za predpokladu, že let neslúži na prepravu cestujúcich a/alebo nákladu alebo na umiestnenie alebo prevoz lietadla;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g) lety uskutočňované výhradne na účely vedeckého výskumu alebo na účely kontroly, testovania alebo osvedčenia lietadla alebo zariadení na palube alebo na zemi;</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h) lety uskutočňované lietadlami s certifikovanou maximálnou vzletovou hmotnosťou menšou ako 5 700 kg;</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i) lety uskutočňované v rámci záväzkov vyplývajúcich zo služby vo verejnom záujme, uložených v súlade s nariadením (EHS)č. 2408/92 na trasy v najvzdialenejších regiónoch vymedzených v článku 299 ods. 2 zmluvy alebo na trasy, na ktorých ročná ponúkaná kapacita neprevyšuje 30 000 sedadiel, 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j) lety, ktoré by inak spadali pod túto činnosť, uskutočňované prevádzkovateľom komerčnej leteckej dopravy, ktorý uskutočňuje buď:</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menej ako 243 letov počas troch po sebe nasledujúcich štvormesačných období alebo</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lety s celkovými ročnými emisiami nižšími ako 10 000 ton za rok.</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Lety uskutočňované z úradného poverenia výhradne na účely dopravy vládnuceho monarchu a jeho najbližšej rodiny, hláv štátov, hláv vlád a ministrov vlád a členských štátov nemôžu byť z tohto bodu vyňaté.“</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bl>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p>
          <w:p w:rsidR="001D0836" w:rsidP="00EA40F6">
            <w:pPr>
              <w:autoSpaceDE w:val="0"/>
              <w:autoSpaceDN w:val="0"/>
              <w:bidi w:val="0"/>
              <w:adjustRightInd w:val="0"/>
              <w:spacing w:after="0" w:line="240" w:lineRule="auto"/>
              <w:suppressOverlap/>
              <w:jc w:val="center"/>
              <w:rPr>
                <w:rFonts w:ascii="TimesNewRomanItalic" w:hAnsi="TimesNewRomanItalic" w:cs="TimesNewRomanItalic"/>
                <w:i/>
                <w:iCs/>
                <w:sz w:val="17"/>
                <w:szCs w:val="17"/>
                <w:lang w:eastAsia="sk-SK"/>
              </w:rPr>
            </w:pPr>
          </w:p>
          <w:p w:rsidR="001D0836" w:rsidRPr="00EA40F6" w:rsidP="00EA40F6">
            <w:pPr>
              <w:autoSpaceDE w:val="0"/>
              <w:autoSpaceDN w:val="0"/>
              <w:bidi w:val="0"/>
              <w:adjustRightInd w:val="0"/>
              <w:spacing w:after="0" w:line="240" w:lineRule="auto"/>
              <w:suppressOverlap/>
              <w:jc w:val="center"/>
              <w:rPr>
                <w:rFonts w:ascii="TimesNewRomanItalic" w:hAnsi="TimesNewRomanItalic" w:cs="TimesNewRomanItalic"/>
                <w:i/>
                <w:iCs/>
                <w:sz w:val="17"/>
                <w:szCs w:val="17"/>
                <w:lang w:eastAsia="sk-SK"/>
              </w:rPr>
            </w:pPr>
            <w:r w:rsidRPr="00EA40F6">
              <w:rPr>
                <w:rFonts w:ascii="TimesNewRomanItalic" w:hAnsi="TimesNewRomanItalic" w:cs="TimesNewRomanItalic"/>
                <w:i/>
                <w:iCs/>
                <w:sz w:val="17"/>
                <w:szCs w:val="17"/>
                <w:lang w:eastAsia="sk-SK"/>
              </w:rPr>
              <w:t>PRÍLOHA II</w:t>
            </w:r>
          </w:p>
          <w:p w:rsidR="001D0836" w:rsidRPr="00EA40F6" w:rsidP="00EA40F6">
            <w:pPr>
              <w:autoSpaceDE w:val="0"/>
              <w:autoSpaceDN w:val="0"/>
              <w:bidi w:val="0"/>
              <w:adjustRightInd w:val="0"/>
              <w:spacing w:after="0" w:line="240" w:lineRule="auto"/>
              <w:suppressOverlap/>
              <w:rPr>
                <w:rFonts w:ascii="TimesNewRomanItalic" w:hAnsi="TimesNewRomanItalic" w:cs="TimesNewRomanItalic"/>
                <w:i/>
                <w:iCs/>
                <w:sz w:val="17"/>
                <w:szCs w:val="17"/>
                <w:lang w:eastAsia="sk-SK"/>
              </w:rPr>
            </w:pPr>
          </w:p>
          <w:p w:rsidR="001D0836" w:rsidRPr="00EA40F6" w:rsidP="00EA40F6">
            <w:pPr>
              <w:autoSpaceDE w:val="0"/>
              <w:autoSpaceDN w:val="0"/>
              <w:bidi w:val="0"/>
              <w:adjustRightInd w:val="0"/>
              <w:spacing w:after="0" w:line="240" w:lineRule="auto"/>
              <w:suppressOverlap/>
              <w:rPr>
                <w:rFonts w:ascii="TimesNewRomanBold" w:hAnsi="TimesNewRomanBold" w:cs="TimesNewRomanBold"/>
                <w:b/>
                <w:bCs/>
                <w:sz w:val="17"/>
                <w:szCs w:val="17"/>
                <w:lang w:eastAsia="sk-SK"/>
              </w:rPr>
            </w:pPr>
            <w:r w:rsidRPr="00EA40F6">
              <w:rPr>
                <w:rFonts w:ascii="TimesNewRomanBold" w:hAnsi="TimesNewRomanBold" w:cs="TimesNewRomanBold"/>
                <w:b/>
                <w:bCs/>
                <w:sz w:val="17"/>
                <w:szCs w:val="17"/>
                <w:lang w:eastAsia="sk-SK"/>
              </w:rPr>
              <w:t xml:space="preserve">SKLENÍKOVÉ PLYNY UVEDENÉ V </w:t>
            </w:r>
            <w:r w:rsidRPr="00EA40F6">
              <w:rPr>
                <w:rFonts w:ascii="TimesNewRomanBold+01" w:hAnsi="TimesNewRomanBold+01" w:cs="TimesNewRomanBold+01"/>
                <w:b/>
                <w:bCs/>
                <w:sz w:val="17"/>
                <w:szCs w:val="17"/>
                <w:lang w:eastAsia="sk-SK"/>
              </w:rPr>
              <w:t>Č</w:t>
            </w:r>
            <w:r w:rsidRPr="00EA40F6">
              <w:rPr>
                <w:rFonts w:ascii="TimesNewRomanBold" w:hAnsi="TimesNewRomanBold" w:cs="TimesNewRomanBold"/>
                <w:b/>
                <w:bCs/>
                <w:sz w:val="17"/>
                <w:szCs w:val="17"/>
                <w:lang w:eastAsia="sk-SK"/>
              </w:rPr>
              <w:t>LÁNKOCH 3 A 30</w:t>
            </w:r>
          </w:p>
          <w:p w:rsidR="001D0836" w:rsidRPr="00EA40F6" w:rsidP="00EA40F6">
            <w:pPr>
              <w:autoSpaceDE w:val="0"/>
              <w:autoSpaceDN w:val="0"/>
              <w:bidi w:val="0"/>
              <w:adjustRightInd w:val="0"/>
              <w:spacing w:after="0"/>
              <w:suppressOverlap/>
              <w:jc w:val="both"/>
              <w:rPr>
                <w:rFonts w:ascii="TimesNewRomanBold" w:hAnsi="TimesNewRomanBold" w:cs="TimesNewRomanBold"/>
                <w:b/>
                <w:bCs/>
                <w:sz w:val="17"/>
                <w:szCs w:val="17"/>
                <w:lang w:eastAsia="sk-SK"/>
              </w:rPr>
            </w:pP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(CO</w:t>
            </w:r>
            <w:r w:rsidRPr="00EA40F6">
              <w:rPr>
                <w:rFonts w:ascii="EUAlbertina" w:hAnsi="EUAlbertina" w:cs="EUAlbertina"/>
                <w:color w:val="000000"/>
                <w:sz w:val="17"/>
                <w:szCs w:val="17"/>
                <w:vertAlign w:val="subscript"/>
                <w:lang w:eastAsia="sk-SK"/>
              </w:rPr>
              <w:t>2</w:t>
            </w:r>
            <w:r w:rsidRPr="00EA40F6">
              <w:rPr>
                <w:rFonts w:ascii="EUAlbertina" w:hAnsi="EUAlbertina" w:cs="EUAlbertina"/>
                <w:color w:val="000000"/>
                <w:sz w:val="17"/>
                <w:szCs w:val="17"/>
                <w:lang w:eastAsia="sk-SK"/>
              </w:rPr>
              <w:t>)</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Metán (CH</w:t>
            </w:r>
            <w:r w:rsidRPr="00EA40F6">
              <w:rPr>
                <w:rFonts w:ascii="EUAlbertina" w:hAnsi="EUAlbertina" w:cs="EUAlbertina"/>
                <w:color w:val="000000"/>
                <w:sz w:val="17"/>
                <w:szCs w:val="17"/>
                <w:vertAlign w:val="subscript"/>
                <w:lang w:eastAsia="sk-SK"/>
              </w:rPr>
              <w:t>4</w:t>
            </w:r>
            <w:r w:rsidRPr="00EA40F6">
              <w:rPr>
                <w:rFonts w:ascii="EUAlbertina" w:hAnsi="EUAlbertina" w:cs="EUAlbertina"/>
                <w:color w:val="000000"/>
                <w:sz w:val="17"/>
                <w:szCs w:val="17"/>
                <w:lang w:eastAsia="sk-SK"/>
              </w:rPr>
              <w:t>)</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dusný (N</w:t>
            </w:r>
            <w:r w:rsidRPr="00EA40F6">
              <w:rPr>
                <w:rFonts w:ascii="EUAlbertina" w:hAnsi="EUAlbertina" w:cs="EUAlbertina"/>
                <w:color w:val="000000"/>
                <w:sz w:val="17"/>
                <w:szCs w:val="17"/>
                <w:vertAlign w:val="subscript"/>
                <w:lang w:eastAsia="sk-SK"/>
              </w:rPr>
              <w:t>2</w:t>
            </w:r>
            <w:r w:rsidRPr="00EA40F6">
              <w:rPr>
                <w:rFonts w:ascii="EUAlbertina" w:hAnsi="EUAlbertina" w:cs="EUAlbertina"/>
                <w:color w:val="000000"/>
                <w:sz w:val="17"/>
                <w:szCs w:val="17"/>
                <w:lang w:eastAsia="sk-SK"/>
              </w:rPr>
              <w:t>O)</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Fluórované uhľovodíky (HFC)</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Plnofluórované uhľovodíky (PFC)</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Fluorid sírový (SF</w:t>
            </w:r>
            <w:r w:rsidRPr="00EA40F6">
              <w:rPr>
                <w:rFonts w:ascii="EUAlbertina" w:hAnsi="EUAlbertina" w:cs="EUAlbertina"/>
                <w:color w:val="000000"/>
                <w:sz w:val="17"/>
                <w:szCs w:val="17"/>
                <w:vertAlign w:val="subscript"/>
                <w:lang w:eastAsia="sk-SK"/>
              </w:rPr>
              <w:t>6</w:t>
            </w:r>
            <w:r w:rsidRPr="00EA40F6">
              <w:rPr>
                <w:rFonts w:ascii="EUAlbertina" w:hAnsi="EUAlbertina" w:cs="EUAlbertina"/>
                <w:color w:val="000000"/>
                <w:sz w:val="17"/>
                <w:szCs w:val="17"/>
                <w:lang w:eastAsia="sk-SK"/>
              </w:rPr>
              <w:t>)</w:t>
            </w:r>
          </w:p>
          <w:p w:rsidR="001D083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P="00EA40F6">
            <w:pPr>
              <w:autoSpaceDE w:val="0"/>
              <w:autoSpaceDN w:val="0"/>
              <w:bidi w:val="0"/>
              <w:adjustRightInd w:val="0"/>
              <w:spacing w:after="0" w:line="240" w:lineRule="auto"/>
              <w:suppressOverlap/>
              <w:jc w:val="center"/>
              <w:rPr>
                <w:rFonts w:ascii="EUAlbertina" w:hAnsi="EUAlbertina" w:cs="EUAlbertina"/>
                <w:i/>
                <w:iCs/>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i/>
                <w:iCs/>
                <w:color w:val="000000"/>
                <w:sz w:val="17"/>
                <w:szCs w:val="17"/>
                <w:lang w:eastAsia="sk-SK"/>
              </w:rPr>
              <w:t>PRÍLOHA IIa</w:t>
            </w:r>
          </w:p>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b/>
                <w:bCs/>
                <w:color w:val="000000"/>
                <w:sz w:val="17"/>
                <w:szCs w:val="17"/>
                <w:lang w:eastAsia="sk-SK"/>
              </w:rPr>
            </w:pPr>
            <w:r w:rsidRPr="00EA40F6">
              <w:rPr>
                <w:rFonts w:ascii="EUAlbertina" w:hAnsi="EUAlbertina" w:cs="EUAlbertina"/>
                <w:b/>
                <w:bCs/>
                <w:color w:val="000000"/>
                <w:sz w:val="17"/>
                <w:szCs w:val="17"/>
                <w:lang w:eastAsia="sk-SK"/>
              </w:rPr>
              <w:t>Zvýšenie percentuálneho podielu kvót, s ktorými majú členské štáty obchodovať formou aukcie podľa článku 10 ods. 2 písm. a) na účely solidarity a rastu v Spoločenstve s cieľom znižovať emisie a prispôsobiť sa účinkom zmeny klímy</w:t>
            </w:r>
          </w:p>
          <w:p w:rsidR="001D0836" w:rsidRPr="00EA40F6" w:rsidP="00EA40F6">
            <w:pPr>
              <w:autoSpaceDE w:val="0"/>
              <w:autoSpaceDN w:val="0"/>
              <w:bidi w:val="0"/>
              <w:adjustRightInd w:val="0"/>
              <w:spacing w:after="0" w:line="240" w:lineRule="auto"/>
              <w:suppressOverlap/>
              <w:rPr>
                <w:rFonts w:ascii="EUAlbertina" w:hAnsi="EUAlbertina" w:cs="EUAlbertina"/>
                <w:b/>
                <w:bCs/>
                <w:color w:val="000000"/>
                <w:sz w:val="17"/>
                <w:szCs w:val="17"/>
                <w:lang w:eastAsia="sk-SK"/>
              </w:rPr>
            </w:pPr>
          </w:p>
          <w:tbl>
            <w:tblPr>
              <w:tblStyle w:val="TableNormal"/>
              <w:tblW w:w="0" w:type="auto"/>
              <w:jc w:val="center"/>
              <w:tblLayout w:type="fixed"/>
              <w:tblLook w:val="00A0"/>
            </w:tblPr>
            <w:tblGrid>
              <w:gridCol w:w="2198"/>
              <w:gridCol w:w="1134"/>
            </w:tblGrid>
            <w:tr>
              <w:tblPrEx>
                <w:tblW w:w="0" w:type="auto"/>
                <w:jc w:val="center"/>
                <w:tblLayout w:type="fixed"/>
                <w:tblLook w:val="00A0"/>
              </w:tblPrEx>
              <w:trPr>
                <w:trHeight w:val="90"/>
                <w:jc w:val="center"/>
              </w:trPr>
              <w:tc>
                <w:tcPr>
                  <w:tcW w:w="3332" w:type="dxa"/>
                  <w:gridSpan w:val="2"/>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jc w:val="right"/>
                    <w:rPr>
                      <w:rFonts w:ascii="EUAlbertina" w:hAnsi="EUAlbertina" w:cs="EUAlbertina"/>
                      <w:color w:val="000000"/>
                      <w:sz w:val="15"/>
                      <w:szCs w:val="15"/>
                      <w:lang w:eastAsia="sk-SK"/>
                    </w:rPr>
                  </w:pPr>
                  <w:r w:rsidRPr="00EA40F6">
                    <w:rPr>
                      <w:rFonts w:ascii="EUAlbertina" w:hAnsi="EUAlbertina" w:cs="EUAlbertina"/>
                      <w:color w:val="000000"/>
                      <w:sz w:val="15"/>
                      <w:szCs w:val="15"/>
                      <w:lang w:eastAsia="sk-SK"/>
                    </w:rPr>
                    <w:t>Podiel členského štátu</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Belgicko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Bulharsko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Česká republika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31 %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Estónsko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42 %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Grécko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17 %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Španielsko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Taliansko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Cyprus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Lotyšsko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56 %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Litva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46 %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Luxembursko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Maďarsko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28 %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Malta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Poľsko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39 %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Portugalsko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16 %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Rumunsko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Slovinsko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Slovensko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41 %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Švédsko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10 %</w:t>
                  </w:r>
                </w:p>
              </w:tc>
            </w:tr>
          </w:tbl>
          <w:p w:rsidR="001D0836" w:rsidP="00EA40F6">
            <w:pPr>
              <w:autoSpaceDE w:val="0"/>
              <w:autoSpaceDN w:val="0"/>
              <w:bidi w:val="0"/>
              <w:adjustRightInd w:val="0"/>
              <w:spacing w:after="0" w:line="240" w:lineRule="auto"/>
              <w:suppressOverlap/>
              <w:jc w:val="center"/>
              <w:rPr>
                <w:rFonts w:ascii="EUAlbertina" w:hAnsi="EUAlbertina" w:cs="EUAlbertina"/>
                <w:i/>
                <w:iCs/>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i/>
                <w:iCs/>
                <w:color w:val="000000"/>
                <w:sz w:val="17"/>
                <w:szCs w:val="17"/>
                <w:lang w:eastAsia="sk-SK"/>
              </w:rPr>
              <w:t>PRÍLOHA IIb</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b/>
                <w:bCs/>
                <w:color w:val="000000"/>
                <w:sz w:val="17"/>
                <w:szCs w:val="17"/>
                <w:lang w:eastAsia="sk-SK"/>
              </w:rPr>
            </w:pPr>
            <w:r w:rsidRPr="00EA40F6">
              <w:rPr>
                <w:rFonts w:ascii="EUAlbertina" w:hAnsi="EUAlbertina" w:cs="EUAlbertina"/>
                <w:b/>
                <w:bCs/>
                <w:color w:val="000000"/>
                <w:sz w:val="17"/>
                <w:szCs w:val="17"/>
                <w:lang w:eastAsia="sk-SK"/>
              </w:rPr>
              <w:t>ROZDELENIE KVÓT, S KTORÝMI BUDÚ ČLENSKÉ ŠTÁTY OBCHODOVAŤ V SÚLADE S ČLÁNKOM 10 ODS. 2 PÍSM. C), ZOHĽADŇUJÚCE SKORŠIE ÚSILIE NIEKTORÝCH ČLENSKÝCH ŠTÁTOV O DOSIAHNUTIE 20 % ZNÍŽENIA EMISIÍ SKLENÍKOVÝCH PLYNOV</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24"/>
                <w:szCs w:val="24"/>
                <w:lang w:eastAsia="sk-SK"/>
              </w:rPr>
            </w:pPr>
          </w:p>
          <w:tbl>
            <w:tblPr>
              <w:tblStyle w:val="TableNormal"/>
              <w:tblW w:w="0" w:type="auto"/>
              <w:tblBorders>
                <w:top w:val="single" w:sz="6" w:space="0" w:color="auto"/>
                <w:bottom w:val="single" w:sz="6" w:space="0" w:color="auto"/>
                <w:insideH w:val="single" w:sz="6" w:space="0" w:color="auto"/>
                <w:insideV w:val="single" w:sz="6" w:space="0" w:color="auto"/>
              </w:tblBorders>
              <w:tblLayout w:type="fixed"/>
              <w:tblLook w:val="00A0"/>
            </w:tblPr>
            <w:tblGrid>
              <w:gridCol w:w="2482"/>
              <w:gridCol w:w="2069"/>
            </w:tblGrid>
            <w:tr>
              <w:tblPrEx>
                <w:tblW w:w="0" w:type="auto"/>
                <w:tblBorders>
                  <w:top w:val="single" w:sz="6" w:space="0" w:color="auto"/>
                  <w:bottom w:val="single" w:sz="6" w:space="0" w:color="auto"/>
                  <w:insideH w:val="single" w:sz="6" w:space="0" w:color="auto"/>
                  <w:insideV w:val="single" w:sz="6" w:space="0" w:color="auto"/>
                </w:tblBorders>
                <w:tblLayout w:type="fixed"/>
                <w:tblLook w:val="00A0"/>
              </w:tblPrEx>
              <w:trPr>
                <w:trHeight w:val="549"/>
              </w:trPr>
              <w:tc>
                <w:tcPr>
                  <w:tcW w:w="2482" w:type="dxa"/>
                  <w:tcBorders>
                    <w:top w:val="single" w:sz="6" w:space="0" w:color="auto"/>
                    <w:left w:val="nil"/>
                    <w:bottom w:val="single" w:sz="6" w:space="0" w:color="auto"/>
                    <w:right w:val="single" w:sz="6" w:space="0" w:color="auto"/>
                  </w:tcBorders>
                  <w:textDirection w:val="lrTb"/>
                  <w:vAlign w:val="center"/>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5"/>
                      <w:szCs w:val="15"/>
                      <w:lang w:eastAsia="sk-SK"/>
                    </w:rPr>
                  </w:pPr>
                  <w:r w:rsidRPr="00EA40F6">
                    <w:rPr>
                      <w:rFonts w:ascii="EUAlbertina" w:hAnsi="EUAlbertina" w:cs="EUAlbertina"/>
                      <w:color w:val="000000"/>
                      <w:sz w:val="15"/>
                      <w:szCs w:val="15"/>
                      <w:lang w:eastAsia="sk-SK"/>
                    </w:rPr>
                    <w:t>Členský štát</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5"/>
                      <w:szCs w:val="15"/>
                      <w:lang w:eastAsia="sk-SK"/>
                    </w:rPr>
                  </w:pPr>
                  <w:r w:rsidRPr="00EA40F6">
                    <w:rPr>
                      <w:rFonts w:ascii="EUAlbertina" w:hAnsi="EUAlbertina" w:cs="EUAlbertina"/>
                      <w:color w:val="000000"/>
                      <w:sz w:val="15"/>
                      <w:szCs w:val="15"/>
                      <w:lang w:eastAsia="sk-SK"/>
                    </w:rPr>
                    <w:t>Rozdelenie 2 % v porovnaní s východiskom podľa Kjótskeho protokolu v percentách</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Bulharsko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15 %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Česká republika</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Estónsko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6 %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Maďarsko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Lotyšsko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Litva</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7 %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Poľsko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27 %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Rumunsko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29 %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Slovensko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3 %“</w:t>
                  </w:r>
                </w:p>
              </w:tc>
            </w:tr>
          </w:tbl>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i/>
                <w:sz w:val="19"/>
                <w:szCs w:val="19"/>
                <w:lang w:eastAsia="sk-SK"/>
              </w:rPr>
            </w:pPr>
            <w:r w:rsidRPr="00EA40F6">
              <w:rPr>
                <w:rFonts w:ascii="TimesNewRoman" w:hAnsi="TimesNewRoman" w:cs="TimesNewRoman"/>
                <w:i/>
                <w:sz w:val="19"/>
                <w:szCs w:val="19"/>
                <w:lang w:eastAsia="sk-SK"/>
              </w:rPr>
              <w:t>PRÍLOHA IV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b/>
                <w:sz w:val="19"/>
                <w:szCs w:val="19"/>
                <w:lang w:eastAsia="sk-SK"/>
              </w:rPr>
            </w:pPr>
            <w:r w:rsidRPr="00EA40F6">
              <w:rPr>
                <w:rFonts w:ascii="TimesNewRoman" w:hAnsi="TimesNewRoman" w:cs="TimesNewRoman"/>
                <w:b/>
                <w:sz w:val="19"/>
                <w:szCs w:val="19"/>
                <w:lang w:eastAsia="sk-SK"/>
              </w:rPr>
              <w:t>ZÁSADY MONITOROVANIA A PODÁVANIA SPRÁV UVEDENÉ V ČLÁNKU 14 ODS.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A – Monitorovanie emisií zo stacionárnych zariadení a podávanie správ o týchto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emisií oxidu uhličitého</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Emisie sa monitorujú výpočtom, alebo na základe merania.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Výpočet</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Výpočty emisií sa vykonávajú použitím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Údaje o činnosti × emisný faktor × oxidačný faktor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Údaje o činnosti (používané palivo, rýchlosť výroby atď.) sa vypočítajú na základe dodaných údajov alebo meraní.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akceptované emisné faktory. Emisné faktory špecifické pre jednotlivé činnosti sú prijateľné pre všetky palivá. Štandardné faktory sú prijateľné pre všetky palivá okrem nekomerčných palív (odpadové palivá ako sú pneumatiky alebo plyny z priemyselných procesov). Štandardy špecifické pre jednotlivé sloje uhlia a štandardy špecifické pre EÚ alebo jednotlivé krajiny produkujúce zemný plyn sa ďalej vypracujú. Štandardné hodnoty IPKZ sú prijateľné pre produkty rafinérií. Emisný faktor pre biomasu je nula.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emisný faktor nezohľadňuje fakt, že niektorý uhlík nie je oxidovaný, potom sa použije dodatočný oxidačný faktor. Ak sa vypočítali emisné faktory špecifické pre určité činnosti a je v nich už zohľadnená oxidácia, oxidačný faktor sa nemusí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štandardné oxidačné faktory vytvorené podľa smernice 96/61/ES,  pokiaľ prevádzkovateľ nepreukáže, že faktory špecifické pre jednotlivé činnosti sú presnejšie.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Pre každú činnosť, zariadenie a palivo sa vykoná výpočet zvlášť.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Meranie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meranie emisií sa použijú normatívne alebo schválené metódy a sú doložené podporným výpočtom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emisií iných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normatívne alebo schválené metódy, vytvorené Komisiou v spolupráci so všetkými zainteresovanými stranami. Tieto opatrenia zamerané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 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Každý prevádzkovateľ zahrnie do správy o zariadení nasledujúce informácie: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na identifikáciu zariadenia, vrátane: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názvu zariadenia;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vrátane PSČ a krajiny;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druhu a počtu činností uvedených v prílohe I vykonávaných v zariadení;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telefónneho a faxového čísla a e-mailu kontaktnej osoby;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názvu majiteľa zariadenia a akejkoľvek rodičovskej spoločnosti.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Pre každú činnosť z prílohy I vykonávanú v prevádzkárni, pre ktorú sa emisie počítajú: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údaje o činnosti;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emisné faktory;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oxidačné faktory;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celkové emisie;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neistotu.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Pre každú činnosť z prílohy I vykonávanú v prevádzkárni, pre ktorú sa emisie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merajú: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celkové emisie;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informácie o spoľahlivosti meracích metód;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neistotu.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Pre emisie zo spaľovania správa obsahuje aj oxidačný faktor, pokiaľ už nebola oxidácia zohľadnená pri vypracovaní emisného faktora pre špecifickú činnosť.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prijmú opatrenia na koordináciu požiadaviek na podávanie správ s inými existujúcimi požiadavkami, aby sa minimalizovalo zaťaženie podnikov správami.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B – Monitorovanie emisií z činností leteckej dopravy a podávanie správ o týchto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emisií oxidu uhličitého</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Emisie sa monitorujú výpočtom. Emisie sa vypočítavajú pomocou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Spotreba paliva × emisný faktor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Spotreba paliva zahŕňa palivo spotrebované pomocným zdrojom. Vždy keď je to možné, použije sa skutočná spotreba paliva pre každý let, ktorá sa vypočíta pomocou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Množstvo paliva, ktoré obsahujú palivové nádrže lietadla pri ukončení tankovania paliva na let – množstvo paliva, ktoré obsahujú palivové nádrže lietadla pri ukončení tankovania paliva na nasledujúci let + palivo natankované na tento nasledujúci let.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údaje o skutočnej spotrebe paliva nie sú k dispozícii, na odhad údajov o spotrebe paliva sa na základe najvhodnejších dostupných informácií použije štandardná stupňovitá metóda.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štandardné emisné faktory IPKZ prevzaté z Usmernení IPKZ pre inventarizáciu emisií skleníkových plynov na rok 2006 alebo z následných aktualizácií týchto usmernení, pokiaľ emisné faktory špecifické pre danú činnosť, identifikované nezávislými akreditovanými laboratóriami, ktoré používajú všeobecne prijaté analytické metódy, nie sú presnejšie. Emisný faktor pre biomasu je nula.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Pre každý let a pre každé palivo sa urobí samostatný výpočet.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 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Každý prevádzkovateľ lietadla zahrnie do svojej správy tieto informácie podľa článku 14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na identifikáciu prevádzkovateľa lietadla vrátane: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prevádzkovateľa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riadiaceho členského štátu,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adresy vrátane PSČ a krajiny, a ak sú odlišné, jeho kontaktnej adresy v riadiacom členskom štáte,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registračných čísel lietadiel a typov lietadiel používaných v období, na ktoré sa vzťahuje správa, na vykonávanie činností leteckej dopravy uvedených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čísla osvedčenia leteckého prevádzkovateľa a prevádzkovej licencie, na základe ktorých sa vykonávali činnosti leteckej dopravy uvedené v prílohe I, na účely ktorých je prevádzkovateľom lietadla, a názvu orgánu, ktorý ich vydal,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telefónneho a faxového čísla a e-mailu kontaktnej osoby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majiteľa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Pre každý typ paliva, pre ktorý sa vypočítavajú emisie: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spotrebu paliva,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emisný faktor,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celkové súhrnné emisie zo všetkých letov uskutočnených počas obdobia, na ktoré sa vzťahuje správa, ktoré spadajú pod činnosti leteckej dopravy uvedené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súhrnné emisie zo: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všetkých letov uskutočnených počas obdobia, na ktoré sa vzťahuje správa, ktoré spadajú pod činnosti leteckej dopravy uvedené v prílohe I, na účely ktorých je prevádzkovateľom lietadla, s odletom z letiska nachádzajúceho sa na území členského štátu a príletom na letisko nachádzajúce sa na území toho istého členského štátu,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všetkých ostatných letov uskutočnených počas obdobia, na ktoré sa vzťahuje správa, ktoré spadajú pod činnosti leteckej dopravy uvedené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súhrnné emisie zo všetkých letov uskutočnených počas obdobia, na ktoré sa vzťahuje správa, ktoré spadajú pod činnosti leteckej dopravy uvedené v prílohe I, na účely ktorých je prevádzkovateľom lietadla a ktoré: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odlietali z každého členského štátu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prilietali do každého členského štátu z tretej krajiny,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neistotu.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údajov o tonokilometroch na účely článkov 3e a 3f</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účely podávania žiadostí o pridelenie kvót v súlade s článkom 3e ods. 1 alebo článkom 3f ods. 2 sa rozsah činnosti leteckej dopravy vypočíta v tonokilometroch pomocou tohto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tonokilometre = vzdialenosť × užitočné zaťaženie,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kde: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„vzdialenosť“ znamená vzdialenosť po ortodróme medzi letiskom odletu a letiskom príletu plus dodatočný fixný faktor 95 km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„užitočné zaťaženie“ znamená celkovú hmotnosť prepravovaného nákladu, poštovej zásielky a cestujúcich.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účely výpočtu užitočného zaťaženia: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cestujúcich je počet osôb na palube okrem posádky,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prevádzkovateľ lietadla sa môže rozhodnúť, či uplatní skutočnú alebo normalizovanú hmotnosť cestujúcich a zapísanej batožiny uvedenú v jeho dokumentácii o hmotnosti a vyvážení pre príslušné lety alebo stanovenú štandardnú hodnotu 100 kg pre každého cestujúceho a jeho zapísanú batožinu.</w:t>
            </w:r>
          </w:p>
          <w:p w:rsidR="001D083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 o údajoch o tonokilometroch na účely článkov 3e a 3f</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Každý prevádzkovateľ lietadla zahrnie do svojej žiadosti tieto informácie podľa článku 3e ods. 1 alebo článku 3f ods.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na identifikáciu prevádzkovateľa lietadla vrátane: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prevádzkovateľa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riadiaceho členského štátu,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adresy vrátane PSČ a krajiny, a ak sú odlišné, jeho kontaktnej adresy v riadiacom členskom štáte,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registračných čísel lietadiel a typov lietadiel používaných v období, na ktoré sa vzťahuje žiadosť, na vykonávanie činností leteckej dopravy uvedených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čísla osvedčenia prevádzkovateľa lietadla a prevádzkovej licencie, na základe ktorých sa vykonávali činnosti leteckej dopravy uvedené v prílohe I, na účely ktorých je prevádzkovateľom lietadla, a názvu orgánu, ktorý ich vydal,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telefónneho a faxového čísla a e-mailu kontaktnej osoby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majiteľa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Údaje o tonokilometroch: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letov podľa dvojíc letísk,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osobokilometrov podľa dvojíc letísk,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tonokilometrov podľa dvojíc letísk,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zvolená metóda výpočtu hmotnosti cestujúcich a zapísanej batožiny,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celkový počet tonokilometrov na všetky lety uskutočnené počas roka, na ktorý sa vzťahuje správa, spadajúce pod letecké činnosti uvedené v prílohe I, na účely ktorých je prevádzkovateľom lietadla.</w:t>
            </w:r>
          </w:p>
          <w:p w:rsidR="001D0836" w:rsidRPr="00EA40F6" w:rsidP="00EA40F6">
            <w:pPr>
              <w:autoSpaceDE w:val="0"/>
              <w:autoSpaceDN w:val="0"/>
              <w:bidi w:val="0"/>
              <w:adjustRightInd w:val="0"/>
              <w:spacing w:after="0" w:line="240" w:lineRule="auto"/>
              <w:suppressOverlap/>
              <w:rPr>
                <w:rFonts w:ascii="TimesNewRoman" w:hAnsi="TimesNewRoman" w:cs="TimesNewRoman"/>
                <w:sz w:val="17"/>
                <w:szCs w:val="17"/>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i/>
                <w:sz w:val="19"/>
                <w:szCs w:val="19"/>
                <w:lang w:eastAsia="sk-SK"/>
              </w:rPr>
            </w:pPr>
            <w:r w:rsidRPr="00EA40F6">
              <w:rPr>
                <w:rFonts w:ascii="TimesNewRoman" w:hAnsi="TimesNewRoman" w:cs="TimesNewRoman"/>
                <w:i/>
                <w:sz w:val="19"/>
                <w:szCs w:val="19"/>
                <w:lang w:eastAsia="sk-SK"/>
              </w:rPr>
              <w:t>PRÍLOHA 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b/>
                <w:sz w:val="19"/>
                <w:szCs w:val="19"/>
                <w:lang w:eastAsia="sk-SK"/>
              </w:rPr>
            </w:pPr>
            <w:r w:rsidRPr="00EA40F6">
              <w:rPr>
                <w:rFonts w:ascii="TimesNewRoman" w:hAnsi="TimesNewRoman" w:cs="TimesNewRoman"/>
                <w:b/>
                <w:sz w:val="19"/>
                <w:szCs w:val="19"/>
                <w:lang w:eastAsia="sk-SK"/>
              </w:rPr>
              <w:t>KRITÉRIÁ NA OVEROVANIE UVEDENÉ V ČLÁNKU 15</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A – Overovanie emisií zo stacionárnych zariadení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Všeobecné zásady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Predmetom overovania sú emisie z každej činnosti uvedenej v prílohe 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Proces overovania obsahuje zváženie správy podľa článku 14 ods. 3 a monitorovania počas predchádzajúceho roku. Musí sa zaoberať spoľahlivosťou, dôveryhodnosťou a presnosťou monitorovacích systémov a podávaných údajov a informácií, ktoré sa týkajú emisií, najmä:</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o činnosti, ktorej sa správa týka a súvisiace merania a výpočty;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výber a použitie emisných faktorov;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výpočty, ktoré viedli k určeniu celkových emisií;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ak sa používa meranie, vhodnosť výberu a použitia meracích metód.</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Platnosť emisií môže byť potvrdená len ak spoľahlivosť a dôveryhodnosť údajov a informácií umožňuje určiť emisie s vysokým stupňom istoty. Pre vysoký stupeň istoty sa vyžaduje, aby prevádzkovateľ dokázal, že: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oznamované údaje sú bez nezrovnalostí;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zber údajov sa vykonal v súlade s aplikovateľnými vedeckými normami;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relevantné záznamy o zariadení sú úplné a konzistentné.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Overovateľ má mať prístup do všetkých prevádzkárni a ku všetkým informáciám, ktoré sa týkajú objektu overovania.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Overovateľ musí zohľadniť, či je zariadenie registrované v systéme environmentálneho manažérstva a auditu spoločenstva (EMAS).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w:t>
            </w:r>
            <w:r w:rsidRPr="00EA40F6">
              <w:rPr>
                <w:rFonts w:ascii="TimesNewRoman" w:hAnsi="TimesNewRoman" w:cs="TimesNewRoman"/>
                <w:b/>
                <w:sz w:val="19"/>
                <w:szCs w:val="19"/>
                <w:lang w:eastAsia="sk-SK"/>
              </w:rPr>
              <w:t>etodológia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 t r a t e g i c k á   a n a l ý z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Overovanie je založené na strategickej analýze všetkých činností vykonávaných v zariadení. To si vyžaduje, aby overovateľ mal prehľad o všetkých činnostiach a ich význame vzhľadom k emisiám.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n a l ý z a   p r o c e s o 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Overovanie podaných informácií sa bude uskutočňovať, kde je to vhodné, v prevádzkárni zariadenia. Overovateľ použije námatkové kontroly na mieste, aby určil spoľahlivosť oznamovaných údajov a informácií.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n a l ý z a   r i z i k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8. Overovateľ zašle všetky zdroje emisií skleníkových plynov v zariadení na ohodnotenie týkajúce sa spoľahlivosti údajov za každý zdroj prispievajúci k celkovým emisiám zariadenia.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9. Na základe analýzy určí overovateľ explicitne zdroje s vysokým rizikom chyby a ďalšie aspekty monitorovania a podávania správ, ktoré pravdepodobne môžu prispieť pri určovaní celkových emisií. Toto zahŕňa obzvlášť výber emisných faktorov a výpočty potrebné na určenie emisií z jednotlivých zdrojov. Zvláštnu pozornosť treba venovať zdrojom s vysokým rizikom chyby a hore uvedeným aspektom monitorovacieho postupu.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10. Overovateľ vezme do úvahy každú účinnú metódu kontroly rizika, ktorú používa prevádzkovateľ, s cieľom minimalizovať stupeň neistoty.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 p r á v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11. Overovateľ pripraví správu o procese potvrdzovania platnosti, v ktorej uvedie, či je správa podľa článku 14 ods. 3 uspokojivá. Táto správa uvedie všetky okruhy relevantné pre vykonanú prácu. Vyhlásenie, že správa podľa článku 14 ods. 3 je uspokojivá, možno uskutočniť, ak podľa názoru overovateľa nie sú celkové emisie materiálne nesprávne udané.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7"/>
                <w:szCs w:val="17"/>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7"/>
                <w:szCs w:val="17"/>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 i n i m á l n e   p o ž i a d a v k y   n a   o d b o r n ú   s p ô s o b i l o s ť   o v e r o v a t e ľ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12. Overovateľ je nezávislý od prevádzkovateľa, vykonáva svoje činnosti správnym a objektívne profesionálnym spôsobom a rozumie: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ustanoveniam tejto smernice ako aj relevantným normám a usmerneniam prijatým Komisiou podľa článku 14 ods.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legislatívnym, regulačným a správnym opatreniam, ktoré sú relevantné pre overované činnosti;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vzniku všetkých informácií týkajúcich sa každého zdroja emisií v zariadení, najmä pokiaľ ide o zber, meranie, výpočet údajov a podávanie správ o nich.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B – Overovanie emisií z činností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13. Na overovanie správ o emisiách z letov spadajúcich pod činnosť leteckej dopravy uvedenú v prílohe I sa vzťahujú všeobecné zásady a metodika stanovené v tejto prílohe.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tento účel: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v odseku 3 sa odkaz na prevádzkovateľa považuje za odkaz na prevádzkovateľa lietadla a v písmene c) uvedeného odseku sa odkaz na zariadenie považuje za odkaz na lietadlo používané na vykonávanie činností leteckej dopravy zahrnutých do správy;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 odseku 5 sa odkaz na zariadenie považuje za odkaz na prevádzkovateľa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 odseku 6 sa odkaz na činnosti vykonávané v zariadení považuje za odkaz na činnosti leteckej dopravy zahrnuté do správy, ktoré vykonáva prevádzkovateľ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v odseku 7 sa odkaz na prevádzkareň zariadenia považuje za odkaz na priestory, ktoré používa prevádzkovateľ lietadla na vykonávanie činností leteckej dopravy zahrnutých do správy;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v odsekoch 8 a 9 sa odkazy na zdroje emisií skleníkových plynov v zariadení považujú za odkaz na lietadlo, za ktoré zodpovedá prevádzkovateľ lietadla,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f) v odsekoch 10 a 12 sa odkazy na prevádzkovateľov považujú za odkazy na prevádzkovateľov lietadiel.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Dodatočné ustanovenia na účely overovania správ o emisiách z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14. Overovateľ sa najmä presvedčí, či: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sa zohľadnili všetky lety spadajúce pod činnosť leteckej dopravy uvedenú v prílohe I. Pri plnení svojej úlohy si overovateľ pomáha údajmi z letového poriadku a inými údajmi o premávke prevádzkovateľa lietadla vrátane údajov z Eurocontrolu, ktoré si tento prevádzkovateľ vyžiadal;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existuje celková zhoda medzi údajmi o súhrnnej spotrebe paliva a údajmi o palive, ktoré bolo zakúpené alebo inak dodané do lietadla vykonávajúceho činnosť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Dodatočné ustanovenia na účely overovania údajov o tonokilometroch predkladaných na účely článkov 3e a 3f</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15. Všeobecné zásady a metodika overovania správ o emisiách podľa článku 14 ods. 3 stanovené v tejto prílohe sa, ak je to vhodné, uplatňujú podobným spôsobom aj na overovanie údajov o tonokilometroch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16. Overovateľ sa predovšetkým presvedčí, že iba lety, ktoré sa skutočne vykonali a ktoré spadajú pod činnosť leteckej dopravy uvedenú v prílohe I, za ktorú je prevádzkovateľ lietadla zodpovedný, sa brali do úvahy v žiadosti tohto prevádzkovateľa podľa článku 3e ods. 1 a článku 3f ods. 2. Pri plnení svojej úlohy si overovateľ pomáha údajmi o premávke prevádzkovateľa</w:t>
            </w:r>
            <w:r>
              <w:rPr>
                <w:rFonts w:ascii="TimesNewRoman" w:hAnsi="TimesNewRoman" w:cs="TimesNewRoman"/>
                <w:sz w:val="19"/>
                <w:szCs w:val="19"/>
                <w:lang w:eastAsia="sk-SK"/>
              </w:rPr>
              <w:t xml:space="preserve"> </w:t>
            </w:r>
            <w:r w:rsidRPr="00EA40F6">
              <w:rPr>
                <w:rFonts w:ascii="TimesNewRoman" w:hAnsi="TimesNewRoman" w:cs="TimesNewRoman"/>
                <w:sz w:val="19"/>
                <w:szCs w:val="19"/>
                <w:lang w:eastAsia="sk-SK"/>
              </w:rPr>
              <w:t>lietadla vrátane údajov z Eurocontrolu, ktoré si tento prevádzkovateľ vyžiadal. Overovateľ sa okrem toho presvedčí, či užitočné zaťaženie vykazované prevádzkovateľom lietadla zodpovedá záznamom o užitočnom zaťažení, ktoré vedie tento prevádzkovateľ na účely bezpečnosti.</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FE0CF5" w:rsidP="00FE0CF5">
            <w:pPr>
              <w:bidi w:val="0"/>
              <w:spacing w:after="0" w:line="240" w:lineRule="auto"/>
              <w:suppressOverlap/>
              <w:jc w:val="center"/>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RPr="00135DE3" w:rsidP="00135DE3">
            <w:pPr>
              <w:bidi w:val="0"/>
              <w:spacing w:after="0" w:line="240" w:lineRule="auto"/>
              <w:suppressOverlap/>
              <w:jc w:val="right"/>
              <w:rPr>
                <w:rFonts w:ascii="Times New Roman" w:hAnsi="Times New Roman"/>
                <w:b/>
                <w:sz w:val="19"/>
                <w:szCs w:val="19"/>
                <w:lang w:eastAsia="sk-SK"/>
              </w:rPr>
            </w:pPr>
            <w:r w:rsidR="0044147D">
              <w:rPr>
                <w:rFonts w:ascii="Times New Roman" w:hAnsi="Times New Roman"/>
                <w:b/>
                <w:sz w:val="19"/>
                <w:szCs w:val="19"/>
                <w:lang w:eastAsia="sk-SK"/>
              </w:rPr>
              <w:t>Príloha č. 3a</w:t>
            </w:r>
            <w:r w:rsidRPr="00135DE3">
              <w:rPr>
                <w:rFonts w:ascii="Times New Roman" w:hAnsi="Times New Roman"/>
                <w:b/>
                <w:sz w:val="19"/>
                <w:szCs w:val="19"/>
                <w:lang w:eastAsia="sk-SK"/>
              </w:rPr>
              <w:t xml:space="preserve"> k zákonu č. 414/2012 Z. z.</w:t>
            </w:r>
          </w:p>
          <w:p w:rsidR="00FE0CF5" w:rsidRPr="00135DE3" w:rsidP="00135DE3">
            <w:pPr>
              <w:bidi w:val="0"/>
              <w:spacing w:after="0" w:line="240" w:lineRule="auto"/>
              <w:suppressOverlap/>
              <w:jc w:val="right"/>
              <w:rPr>
                <w:rFonts w:ascii="Times New Roman" w:hAnsi="Times New Roman"/>
                <w:b/>
                <w:sz w:val="19"/>
                <w:szCs w:val="19"/>
                <w:lang w:eastAsia="sk-SK"/>
              </w:rPr>
            </w:pPr>
          </w:p>
          <w:p w:rsidR="00FE0CF5" w:rsidRPr="00671CC7" w:rsidP="00FE0CF5">
            <w:pPr>
              <w:bidi w:val="0"/>
              <w:spacing w:after="0" w:line="240" w:lineRule="auto"/>
              <w:suppressOverlap/>
              <w:jc w:val="both"/>
              <w:rPr>
                <w:rFonts w:ascii="Times New Roman" w:hAnsi="Times New Roman"/>
                <w:sz w:val="19"/>
                <w:szCs w:val="19"/>
                <w:lang w:eastAsia="sk-SK"/>
              </w:rPr>
            </w:pPr>
          </w:p>
          <w:p w:rsidR="00671CC7" w:rsidRPr="00671CC7" w:rsidP="00671CC7">
            <w:pPr>
              <w:bidi w:val="0"/>
              <w:spacing w:after="0" w:line="240" w:lineRule="auto"/>
              <w:ind w:left="360"/>
              <w:contextualSpacing/>
              <w:jc w:val="center"/>
              <w:rPr>
                <w:rFonts w:ascii="Times New Roman" w:hAnsi="Times New Roman"/>
                <w:b/>
                <w:sz w:val="19"/>
                <w:szCs w:val="19"/>
              </w:rPr>
            </w:pPr>
            <w:r w:rsidRPr="00671CC7">
              <w:rPr>
                <w:rFonts w:ascii="Times New Roman" w:hAnsi="Times New Roman"/>
                <w:b/>
                <w:sz w:val="19"/>
                <w:szCs w:val="19"/>
              </w:rPr>
              <w:t xml:space="preserve">ZÁSADY MONITOROVANIA A ZÁSADY PODÁVANIA SPRÁV </w:t>
            </w:r>
          </w:p>
          <w:p w:rsidR="00671CC7" w:rsidRPr="00671CC7" w:rsidP="00671CC7">
            <w:pPr>
              <w:bidi w:val="0"/>
              <w:spacing w:after="0" w:line="240" w:lineRule="auto"/>
              <w:ind w:left="360"/>
              <w:contextualSpacing/>
              <w:jc w:val="both"/>
              <w:rPr>
                <w:rFonts w:ascii="Times New Roman" w:hAnsi="Times New Roman"/>
                <w:sz w:val="19"/>
                <w:szCs w:val="19"/>
              </w:rPr>
            </w:pPr>
          </w:p>
          <w:p w:rsidR="00671CC7" w:rsidP="00671CC7">
            <w:pPr>
              <w:bidi w:val="0"/>
              <w:spacing w:after="0" w:line="240" w:lineRule="auto"/>
              <w:contextualSpacing/>
              <w:rPr>
                <w:rFonts w:ascii="Times New Roman" w:hAnsi="Times New Roman"/>
                <w:b/>
                <w:sz w:val="19"/>
                <w:szCs w:val="19"/>
              </w:rPr>
            </w:pPr>
            <w:r w:rsidRPr="00671CC7">
              <w:rPr>
                <w:rFonts w:ascii="Times New Roman" w:hAnsi="Times New Roman"/>
                <w:b/>
                <w:sz w:val="19"/>
                <w:szCs w:val="19"/>
              </w:rPr>
              <w:t xml:space="preserve">ČASŤ A - Monitorovanie emisií z prevádzok a podávanie správ </w:t>
            </w:r>
          </w:p>
          <w:p w:rsidR="00671CC7" w:rsidRPr="00671CC7" w:rsidP="00671CC7">
            <w:pPr>
              <w:bidi w:val="0"/>
              <w:spacing w:after="0" w:line="240" w:lineRule="auto"/>
              <w:contextualSpacing/>
              <w:rPr>
                <w:rFonts w:ascii="Times New Roman" w:hAnsi="Times New Roman"/>
                <w:b/>
                <w:sz w:val="19"/>
                <w:szCs w:val="19"/>
              </w:rPr>
            </w:pPr>
          </w:p>
          <w:p w:rsidR="00671CC7" w:rsidP="00671CC7">
            <w:pPr>
              <w:bidi w:val="0"/>
              <w:spacing w:after="0" w:line="240" w:lineRule="auto"/>
              <w:contextualSpacing/>
              <w:rPr>
                <w:rFonts w:ascii="Times New Roman" w:hAnsi="Times New Roman"/>
                <w:b/>
                <w:sz w:val="19"/>
                <w:szCs w:val="19"/>
              </w:rPr>
            </w:pPr>
            <w:r w:rsidRPr="00671CC7">
              <w:rPr>
                <w:rFonts w:ascii="Times New Roman" w:hAnsi="Times New Roman"/>
                <w:b/>
                <w:sz w:val="19"/>
                <w:szCs w:val="19"/>
              </w:rPr>
              <w:t>Monitorovanie emisií oxidu uhličitého</w:t>
            </w:r>
          </w:p>
          <w:p w:rsidR="00671CC7" w:rsidRPr="00671CC7" w:rsidP="00671CC7">
            <w:pPr>
              <w:bidi w:val="0"/>
              <w:spacing w:after="0" w:line="240" w:lineRule="auto"/>
              <w:contextualSpacing/>
              <w:rPr>
                <w:rFonts w:ascii="Times New Roman" w:hAnsi="Times New Roman"/>
                <w:b/>
                <w:sz w:val="19"/>
                <w:szCs w:val="19"/>
              </w:rPr>
            </w:pPr>
          </w:p>
          <w:p w:rsidR="00671CC7" w:rsidP="00671CC7">
            <w:pPr>
              <w:bidi w:val="0"/>
              <w:spacing w:after="0" w:line="240" w:lineRule="auto"/>
              <w:contextualSpacing/>
              <w:rPr>
                <w:rFonts w:ascii="Times New Roman" w:hAnsi="Times New Roman"/>
                <w:sz w:val="19"/>
                <w:szCs w:val="19"/>
              </w:rPr>
            </w:pPr>
            <w:r w:rsidRPr="00671CC7">
              <w:rPr>
                <w:rFonts w:ascii="Times New Roman" w:hAnsi="Times New Roman"/>
                <w:sz w:val="19"/>
                <w:szCs w:val="19"/>
              </w:rPr>
              <w:t xml:space="preserve">Emisie </w:t>
            </w:r>
            <w:r w:rsidR="0044147D">
              <w:rPr>
                <w:rFonts w:ascii="Times New Roman" w:hAnsi="Times New Roman"/>
                <w:sz w:val="19"/>
                <w:szCs w:val="19"/>
              </w:rPr>
              <w:t xml:space="preserve">oxidu uhličitého </w:t>
            </w:r>
            <w:r w:rsidRPr="00671CC7">
              <w:rPr>
                <w:rFonts w:ascii="Times New Roman" w:hAnsi="Times New Roman"/>
                <w:sz w:val="19"/>
                <w:szCs w:val="19"/>
              </w:rPr>
              <w:t>sa monitorujú výpočtom alebo na základe merania.</w:t>
            </w:r>
          </w:p>
          <w:p w:rsidR="00671CC7" w:rsidRPr="00671CC7" w:rsidP="00671CC7">
            <w:pPr>
              <w:bidi w:val="0"/>
              <w:spacing w:after="0" w:line="240" w:lineRule="auto"/>
              <w:contextualSpacing/>
              <w:rPr>
                <w:rFonts w:ascii="Times New Roman" w:hAnsi="Times New Roman"/>
                <w:sz w:val="19"/>
                <w:szCs w:val="19"/>
              </w:rPr>
            </w:pPr>
          </w:p>
          <w:p w:rsidR="00671CC7" w:rsidP="00671CC7">
            <w:pPr>
              <w:bidi w:val="0"/>
              <w:spacing w:after="0" w:line="240" w:lineRule="auto"/>
              <w:contextualSpacing/>
              <w:rPr>
                <w:rFonts w:ascii="Times New Roman" w:hAnsi="Times New Roman"/>
                <w:b/>
                <w:sz w:val="19"/>
                <w:szCs w:val="19"/>
              </w:rPr>
            </w:pPr>
            <w:r w:rsidRPr="00671CC7">
              <w:rPr>
                <w:rFonts w:ascii="Times New Roman" w:hAnsi="Times New Roman"/>
                <w:b/>
                <w:sz w:val="19"/>
                <w:szCs w:val="19"/>
              </w:rPr>
              <w:t>Výpočet</w:t>
            </w:r>
          </w:p>
          <w:p w:rsidR="00671CC7" w:rsidRPr="00671CC7" w:rsidP="00671CC7">
            <w:pPr>
              <w:bidi w:val="0"/>
              <w:spacing w:after="0" w:line="240" w:lineRule="auto"/>
              <w:contextualSpacing/>
              <w:rPr>
                <w:rFonts w:ascii="Times New Roman" w:hAnsi="Times New Roman"/>
                <w:b/>
                <w:sz w:val="19"/>
                <w:szCs w:val="19"/>
              </w:rPr>
            </w:pPr>
          </w:p>
          <w:p w:rsidR="00671CC7" w:rsidRPr="00671CC7" w:rsidP="00671CC7">
            <w:pPr>
              <w:bidi w:val="0"/>
              <w:spacing w:after="0" w:line="240" w:lineRule="auto"/>
              <w:contextualSpacing/>
              <w:rPr>
                <w:rFonts w:ascii="Times New Roman" w:hAnsi="Times New Roman"/>
                <w:sz w:val="19"/>
                <w:szCs w:val="19"/>
              </w:rPr>
            </w:pPr>
            <w:r w:rsidRPr="00671CC7">
              <w:rPr>
                <w:rFonts w:ascii="Times New Roman" w:hAnsi="Times New Roman"/>
                <w:sz w:val="19"/>
                <w:szCs w:val="19"/>
              </w:rPr>
              <w:t xml:space="preserve">Výpočty emisií </w:t>
            </w:r>
            <w:r w:rsidR="0044147D">
              <w:rPr>
                <w:rFonts w:ascii="Times New Roman" w:hAnsi="Times New Roman"/>
                <w:sz w:val="19"/>
                <w:szCs w:val="19"/>
              </w:rPr>
              <w:t xml:space="preserve">oxidu uhličitého </w:t>
            </w:r>
            <w:r w:rsidRPr="00671CC7">
              <w:rPr>
                <w:rFonts w:ascii="Times New Roman" w:hAnsi="Times New Roman"/>
                <w:sz w:val="19"/>
                <w:szCs w:val="19"/>
              </w:rPr>
              <w:t>sa vykonávajú použitím vzorca:</w:t>
            </w:r>
          </w:p>
          <w:p w:rsidR="00671CC7" w:rsidRPr="00671CC7" w:rsidP="00671CC7">
            <w:pPr>
              <w:bidi w:val="0"/>
              <w:spacing w:after="0" w:line="240" w:lineRule="auto"/>
              <w:ind w:left="360"/>
              <w:contextualSpacing/>
              <w:rPr>
                <w:rFonts w:ascii="Times New Roman" w:hAnsi="Times New Roman"/>
                <w:sz w:val="19"/>
                <w:szCs w:val="19"/>
              </w:rPr>
            </w:pPr>
          </w:p>
          <w:p w:rsidR="00671CC7" w:rsidRPr="00671CC7" w:rsidP="007E1C74">
            <w:pPr>
              <w:bidi w:val="0"/>
              <w:spacing w:after="0" w:line="240" w:lineRule="auto"/>
              <w:contextualSpacing/>
              <w:jc w:val="center"/>
              <w:rPr>
                <w:rFonts w:ascii="Times New Roman" w:hAnsi="Times New Roman"/>
                <w:b/>
                <w:sz w:val="19"/>
                <w:szCs w:val="19"/>
              </w:rPr>
            </w:pPr>
            <w:r w:rsidRPr="00671CC7">
              <w:rPr>
                <w:rFonts w:ascii="Times New Roman" w:hAnsi="Times New Roman"/>
                <w:b/>
                <w:sz w:val="19"/>
                <w:szCs w:val="19"/>
              </w:rPr>
              <w:t>Údaje o činnosti x emisný faktor x oxidačný faktor</w:t>
            </w:r>
          </w:p>
          <w:p w:rsidR="00671CC7" w:rsidRPr="00671CC7" w:rsidP="00671CC7">
            <w:pPr>
              <w:bidi w:val="0"/>
              <w:spacing w:after="0" w:line="240" w:lineRule="auto"/>
              <w:ind w:left="360"/>
              <w:contextualSpacing/>
              <w:jc w:val="center"/>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Údaje o činnosti napríklad spotrebované palivo, rýchlosť výroby sa vypočítajú na základe dodaných údajov alebo meraní.</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Použijú sa akceptované emisné faktory. Emisné faktory špecifické pre jednotlivé činnosti sú prijateľné pre všetky palivá. Štandardné faktory sú prijateľné pre všetky palivá okrem nekomerčných palív (odpadové palivá ako sú pneumatiky alebo plyny z priemyselných procesov). Štandardy špecifické pre jednotlivé sloje uhlia a štandardy špecifické pre Európsku Úniu alebo jednotlivé krajiny produkujúce zemný plyn sa ďalej vypracujú. Štandardné hodnoty IPCC (Medzivládny panel pre klimatické zmeny) sú prijateľné pre produkty rafinérií. Emisný faktor pre biomasu je nula.</w:t>
            </w:r>
          </w:p>
          <w:p w:rsidR="00671CC7" w:rsidP="00671CC7">
            <w:pPr>
              <w:bidi w:val="0"/>
              <w:spacing w:after="0" w:line="240" w:lineRule="auto"/>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Ak emisný faktor nezohľadňuje fakt, že časť uhlíka nezoxidovala, potom sa zohľadní dodatočný oxidačný faktor. Ak sa vypočítali emisné faktory špecifické pre určité činnosti a je v nich už zohľadnená oxidácia, oxidačný faktor sa nemusí použiť.</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Použijú sa štandardné oxidačné faktory,</w:t>
            </w:r>
            <w:r w:rsidRPr="00671CC7">
              <w:rPr>
                <w:rFonts w:ascii="Times New Roman" w:hAnsi="Times New Roman"/>
                <w:sz w:val="19"/>
                <w:szCs w:val="19"/>
                <w:vertAlign w:val="superscript"/>
              </w:rPr>
              <w:t>1</w:t>
            </w:r>
            <w:r w:rsidRPr="00671CC7">
              <w:rPr>
                <w:rFonts w:ascii="Times New Roman" w:hAnsi="Times New Roman"/>
                <w:sz w:val="19"/>
                <w:szCs w:val="19"/>
              </w:rPr>
              <w:t>) ak prevádzkovateľ nepreukáže, že faktory špecifické pre jednotlivé činnosti sú presnejšie.</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Pre každú činnosť, zariadenie a palivo sa vykoná výpočet zvlášť.</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b/>
                <w:sz w:val="19"/>
                <w:szCs w:val="19"/>
              </w:rPr>
            </w:pPr>
            <w:r w:rsidRPr="00671CC7">
              <w:rPr>
                <w:rFonts w:ascii="Times New Roman" w:hAnsi="Times New Roman"/>
                <w:b/>
                <w:sz w:val="19"/>
                <w:szCs w:val="19"/>
              </w:rPr>
              <w:t>Meranie</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Na meranie emisií </w:t>
            </w:r>
            <w:r w:rsidR="0044147D">
              <w:rPr>
                <w:rFonts w:ascii="Times New Roman" w:hAnsi="Times New Roman"/>
                <w:sz w:val="19"/>
                <w:szCs w:val="19"/>
              </w:rPr>
              <w:t xml:space="preserve">oxidu uhličitého </w:t>
            </w:r>
            <w:r w:rsidRPr="00671CC7">
              <w:rPr>
                <w:rFonts w:ascii="Times New Roman" w:hAnsi="Times New Roman"/>
                <w:sz w:val="19"/>
                <w:szCs w:val="19"/>
              </w:rPr>
              <w:t>sa použijú normatívne metódy alebo schválené metódy a musia byť doložené podporným výpočtom emisií.</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b/>
                <w:sz w:val="19"/>
                <w:szCs w:val="19"/>
              </w:rPr>
            </w:pPr>
            <w:r w:rsidRPr="00671CC7">
              <w:rPr>
                <w:rFonts w:ascii="Times New Roman" w:hAnsi="Times New Roman"/>
                <w:b/>
                <w:sz w:val="19"/>
                <w:szCs w:val="19"/>
              </w:rPr>
              <w:t>Monitorovanie emisií iných skleníkových plynov</w:t>
            </w:r>
          </w:p>
          <w:p w:rsidR="00671CC7" w:rsidRPr="00671CC7" w:rsidP="00671CC7">
            <w:pPr>
              <w:bidi w:val="0"/>
              <w:spacing w:after="0" w:line="240" w:lineRule="auto"/>
              <w:contextualSpacing/>
              <w:jc w:val="both"/>
              <w:rPr>
                <w:rFonts w:ascii="Times New Roman" w:hAnsi="Times New Roman"/>
                <w:sz w:val="19"/>
                <w:szCs w:val="19"/>
              </w:rPr>
            </w:pPr>
            <w:r w:rsidR="0044147D">
              <w:rPr>
                <w:rFonts w:ascii="Times New Roman" w:hAnsi="Times New Roman"/>
                <w:sz w:val="19"/>
                <w:szCs w:val="19"/>
              </w:rPr>
              <w:t>Na monitorovanie emisií iných skleníkových plynov sa p</w:t>
            </w:r>
            <w:r w:rsidRPr="00671CC7">
              <w:rPr>
                <w:rFonts w:ascii="Times New Roman" w:hAnsi="Times New Roman"/>
                <w:sz w:val="19"/>
                <w:szCs w:val="19"/>
              </w:rPr>
              <w:t xml:space="preserve">oužijú normatívne metódy alebo schválené metódy, vytvorené Komisiou v spolupráci so všetkými zainteresovanými stranami. </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b/>
                <w:sz w:val="19"/>
                <w:szCs w:val="19"/>
              </w:rPr>
            </w:pPr>
            <w:r w:rsidRPr="00671CC7">
              <w:rPr>
                <w:rFonts w:ascii="Times New Roman" w:hAnsi="Times New Roman"/>
                <w:b/>
                <w:sz w:val="19"/>
                <w:szCs w:val="19"/>
              </w:rPr>
              <w:t>Podávanie správ o</w:t>
            </w:r>
            <w:r w:rsidR="0044147D">
              <w:rPr>
                <w:rFonts w:ascii="Times New Roman" w:hAnsi="Times New Roman"/>
                <w:b/>
                <w:sz w:val="19"/>
                <w:szCs w:val="19"/>
              </w:rPr>
              <w:t> </w:t>
            </w:r>
            <w:r w:rsidRPr="00671CC7">
              <w:rPr>
                <w:rFonts w:ascii="Times New Roman" w:hAnsi="Times New Roman"/>
                <w:b/>
                <w:sz w:val="19"/>
                <w:szCs w:val="19"/>
              </w:rPr>
              <w:t>emisiách</w:t>
            </w:r>
            <w:r w:rsidR="0044147D">
              <w:rPr>
                <w:rFonts w:ascii="Times New Roman" w:hAnsi="Times New Roman"/>
                <w:b/>
                <w:sz w:val="19"/>
                <w:szCs w:val="19"/>
              </w:rPr>
              <w:t xml:space="preserve"> iných skleníkových plynov </w:t>
            </w:r>
          </w:p>
          <w:p w:rsidR="00671CC7" w:rsidRPr="00671CC7" w:rsidP="00671CC7">
            <w:pPr>
              <w:bidi w:val="0"/>
              <w:spacing w:after="0" w:line="240" w:lineRule="auto"/>
              <w:ind w:left="360"/>
              <w:contextualSpacing/>
              <w:jc w:val="both"/>
              <w:rPr>
                <w:rFonts w:ascii="Times New Roman" w:hAnsi="Times New Roman"/>
                <w:sz w:val="19"/>
                <w:szCs w:val="19"/>
              </w:rPr>
            </w:pPr>
          </w:p>
          <w:p w:rsidR="00671CC7" w:rsidRPr="00671CC7" w:rsidP="00671CC7">
            <w:p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Každý prevádzkovateľ zahrnie do správy o prevádzke nasledujúce informácie</w:t>
            </w:r>
          </w:p>
          <w:p w:rsidR="00671CC7" w:rsidRPr="00671CC7" w:rsidP="00135DE3">
            <w:pPr>
              <w:bidi w:val="0"/>
              <w:spacing w:after="0" w:line="240" w:lineRule="auto"/>
              <w:ind w:left="360"/>
              <w:contextualSpacing/>
              <w:jc w:val="both"/>
              <w:rPr>
                <w:rFonts w:ascii="Times New Roman" w:hAnsi="Times New Roman"/>
                <w:sz w:val="19"/>
                <w:szCs w:val="19"/>
              </w:rPr>
            </w:pPr>
          </w:p>
          <w:p w:rsidR="00671CC7" w:rsidRPr="00671CC7" w:rsidP="007E1C74">
            <w:pPr>
              <w:numPr>
                <w:numId w:val="2"/>
              </w:numPr>
              <w:bidi w:val="0"/>
              <w:spacing w:after="0" w:line="240" w:lineRule="auto"/>
              <w:ind w:left="360"/>
              <w:contextualSpacing/>
              <w:jc w:val="both"/>
              <w:rPr>
                <w:rFonts w:ascii="Times New Roman" w:hAnsi="Times New Roman"/>
                <w:sz w:val="19"/>
                <w:szCs w:val="19"/>
              </w:rPr>
            </w:pPr>
            <w:r w:rsidRPr="00671CC7">
              <w:rPr>
                <w:rFonts w:ascii="Times New Roman" w:hAnsi="Times New Roman"/>
                <w:sz w:val="19"/>
                <w:szCs w:val="19"/>
              </w:rPr>
              <w:t>Údaje na identifikáciu prevádzky, vrátane:</w:t>
            </w:r>
          </w:p>
          <w:p w:rsidR="007E1C74" w:rsidRPr="007E1C74" w:rsidP="007E1C74">
            <w:pPr>
              <w:numPr>
                <w:numId w:val="10"/>
              </w:numPr>
              <w:bidi w:val="0"/>
              <w:spacing w:after="0" w:line="240" w:lineRule="auto"/>
              <w:contextualSpacing/>
              <w:jc w:val="both"/>
              <w:rPr>
                <w:rFonts w:ascii="Times New Roman" w:hAnsi="Times New Roman"/>
                <w:sz w:val="19"/>
                <w:szCs w:val="19"/>
              </w:rPr>
            </w:pPr>
            <w:r w:rsidRPr="007E1C74">
              <w:rPr>
                <w:rFonts w:ascii="Times New Roman" w:hAnsi="Times New Roman"/>
                <w:sz w:val="19"/>
                <w:szCs w:val="19"/>
              </w:rPr>
              <w:t>názvu prevádzky,</w:t>
            </w:r>
          </w:p>
          <w:p w:rsidR="007E1C74" w:rsidRPr="007E1C74" w:rsidP="007E1C74">
            <w:pPr>
              <w:numPr>
                <w:numId w:val="10"/>
              </w:numPr>
              <w:bidi w:val="0"/>
              <w:spacing w:after="0" w:line="240" w:lineRule="auto"/>
              <w:contextualSpacing/>
              <w:jc w:val="both"/>
              <w:rPr>
                <w:rFonts w:ascii="Times New Roman" w:hAnsi="Times New Roman"/>
                <w:sz w:val="19"/>
                <w:szCs w:val="19"/>
              </w:rPr>
            </w:pPr>
            <w:r w:rsidRPr="007E1C74">
              <w:rPr>
                <w:rFonts w:ascii="Times New Roman" w:hAnsi="Times New Roman"/>
                <w:sz w:val="19"/>
                <w:szCs w:val="19"/>
              </w:rPr>
              <w:t>adresy, PSČ a krajiny,</w:t>
            </w:r>
          </w:p>
          <w:p w:rsidR="007E1C74" w:rsidRPr="00D41168" w:rsidP="00D41168">
            <w:pPr>
              <w:numPr>
                <w:numId w:val="10"/>
              </w:numPr>
              <w:bidi w:val="0"/>
              <w:spacing w:after="0" w:line="240" w:lineRule="auto"/>
              <w:contextualSpacing/>
              <w:jc w:val="both"/>
              <w:rPr>
                <w:rFonts w:ascii="Times New Roman" w:hAnsi="Times New Roman"/>
                <w:sz w:val="19"/>
                <w:szCs w:val="19"/>
              </w:rPr>
            </w:pPr>
            <w:r w:rsidRPr="007E1C74">
              <w:rPr>
                <w:rFonts w:ascii="Times New Roman" w:hAnsi="Times New Roman"/>
                <w:sz w:val="19"/>
                <w:szCs w:val="19"/>
              </w:rPr>
              <w:t>druhu a počtu či</w:t>
            </w:r>
            <w:r>
              <w:rPr>
                <w:rFonts w:ascii="Times New Roman" w:hAnsi="Times New Roman"/>
                <w:sz w:val="19"/>
                <w:szCs w:val="19"/>
              </w:rPr>
              <w:t xml:space="preserve">nností uvedených v prílohe č. </w:t>
            </w:r>
            <w:r w:rsidR="00D41168">
              <w:rPr>
                <w:rFonts w:ascii="Times New Roman" w:hAnsi="Times New Roman"/>
                <w:sz w:val="19"/>
                <w:szCs w:val="19"/>
              </w:rPr>
              <w:t xml:space="preserve"> </w:t>
            </w:r>
            <w:r w:rsidRPr="00D41168">
              <w:rPr>
                <w:rFonts w:ascii="Times New Roman" w:hAnsi="Times New Roman"/>
                <w:sz w:val="19"/>
                <w:szCs w:val="19"/>
              </w:rPr>
              <w:t>vykonávaných v prevádzke,</w:t>
            </w:r>
          </w:p>
          <w:p w:rsidR="007E1C74" w:rsidRPr="007E1C74" w:rsidP="007E1C74">
            <w:pPr>
              <w:numPr>
                <w:numId w:val="10"/>
              </w:numPr>
              <w:bidi w:val="0"/>
              <w:spacing w:after="0" w:line="240" w:lineRule="auto"/>
              <w:contextualSpacing/>
              <w:jc w:val="both"/>
              <w:rPr>
                <w:rFonts w:ascii="Times New Roman" w:hAnsi="Times New Roman"/>
                <w:sz w:val="19"/>
                <w:szCs w:val="19"/>
              </w:rPr>
            </w:pPr>
            <w:r w:rsidRPr="007E1C74">
              <w:rPr>
                <w:rFonts w:ascii="Times New Roman" w:hAnsi="Times New Roman"/>
                <w:sz w:val="19"/>
                <w:szCs w:val="19"/>
              </w:rPr>
              <w:t>adresy, telefónneho čísla a faxového čísla a e-mailovej adresy kontaktnej osoby a</w:t>
            </w:r>
          </w:p>
          <w:p w:rsidR="00671CC7" w:rsidP="007E1C74">
            <w:pPr>
              <w:numPr>
                <w:numId w:val="10"/>
              </w:numPr>
              <w:bidi w:val="0"/>
              <w:spacing w:after="0" w:line="240" w:lineRule="auto"/>
              <w:contextualSpacing/>
              <w:jc w:val="both"/>
              <w:rPr>
                <w:rFonts w:ascii="Times New Roman" w:hAnsi="Times New Roman"/>
                <w:sz w:val="19"/>
                <w:szCs w:val="19"/>
              </w:rPr>
            </w:pPr>
            <w:r w:rsidRPr="007E1C74" w:rsidR="007E1C74">
              <w:rPr>
                <w:rFonts w:ascii="Times New Roman" w:hAnsi="Times New Roman"/>
                <w:sz w:val="19"/>
                <w:szCs w:val="19"/>
              </w:rPr>
              <w:t xml:space="preserve">názvu </w:t>
            </w:r>
            <w:r w:rsidR="00D41168">
              <w:rPr>
                <w:rFonts w:ascii="Times New Roman" w:hAnsi="Times New Roman"/>
                <w:sz w:val="19"/>
                <w:szCs w:val="19"/>
              </w:rPr>
              <w:t xml:space="preserve">majiteľa prevádzky a akejkoľvek </w:t>
            </w:r>
            <w:r w:rsidRPr="007E1C74" w:rsidR="007E1C74">
              <w:rPr>
                <w:rFonts w:ascii="Times New Roman" w:hAnsi="Times New Roman"/>
                <w:sz w:val="19"/>
                <w:szCs w:val="19"/>
              </w:rPr>
              <w:t>materskej spoločnosti.</w:t>
            </w:r>
          </w:p>
          <w:p w:rsidR="007E1C74" w:rsidRPr="00671CC7" w:rsidP="007E1C74">
            <w:pPr>
              <w:bidi w:val="0"/>
              <w:spacing w:after="0" w:line="240" w:lineRule="auto"/>
              <w:ind w:left="785"/>
              <w:contextualSpacing/>
              <w:jc w:val="both"/>
              <w:rPr>
                <w:rFonts w:ascii="Times New Roman" w:hAnsi="Times New Roman"/>
                <w:sz w:val="19"/>
                <w:szCs w:val="19"/>
              </w:rPr>
            </w:pPr>
          </w:p>
          <w:p w:rsidR="00671CC7" w:rsidRPr="00671CC7" w:rsidP="007E1C74">
            <w:pPr>
              <w:numPr>
                <w:numId w:val="2"/>
              </w:numPr>
              <w:bidi w:val="0"/>
              <w:spacing w:after="0" w:line="240" w:lineRule="auto"/>
              <w:ind w:left="360"/>
              <w:contextualSpacing/>
              <w:jc w:val="both"/>
              <w:rPr>
                <w:rFonts w:ascii="Times New Roman" w:hAnsi="Times New Roman"/>
                <w:sz w:val="19"/>
                <w:szCs w:val="19"/>
              </w:rPr>
            </w:pPr>
            <w:r w:rsidRPr="00671CC7">
              <w:rPr>
                <w:rFonts w:ascii="Times New Roman" w:hAnsi="Times New Roman"/>
                <w:sz w:val="19"/>
                <w:szCs w:val="19"/>
              </w:rPr>
              <w:t>Pre každú činnosť uvedenú v  prílohe č. 1 vykonávanú v prevádzke, pre ktorú sa emisie počítajú</w:t>
            </w:r>
          </w:p>
          <w:p w:rsidR="00671CC7" w:rsidRPr="00671CC7" w:rsidP="00D41168">
            <w:pPr>
              <w:numPr>
                <w:numId w:val="34"/>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údaje o činnosti,</w:t>
            </w:r>
          </w:p>
          <w:p w:rsidR="00671CC7" w:rsidRPr="00671CC7" w:rsidP="00D41168">
            <w:pPr>
              <w:numPr>
                <w:numId w:val="34"/>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emisné faktory,</w:t>
            </w:r>
          </w:p>
          <w:p w:rsidR="00671CC7" w:rsidRPr="00671CC7" w:rsidP="00D41168">
            <w:pPr>
              <w:numPr>
                <w:numId w:val="34"/>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oxidačné faktory,</w:t>
            </w:r>
          </w:p>
          <w:p w:rsidR="00671CC7" w:rsidRPr="00671CC7" w:rsidP="00D41168">
            <w:pPr>
              <w:numPr>
                <w:numId w:val="34"/>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celkové emisie a </w:t>
            </w:r>
          </w:p>
          <w:p w:rsidR="00671CC7" w:rsidRPr="00671CC7" w:rsidP="00D41168">
            <w:pPr>
              <w:numPr>
                <w:numId w:val="34"/>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neistotu.</w:t>
            </w:r>
            <w:r w:rsidRPr="00671CC7">
              <w:rPr>
                <w:rFonts w:ascii="Times New Roman" w:hAnsi="Times New Roman"/>
                <w:sz w:val="19"/>
                <w:szCs w:val="19"/>
                <w:vertAlign w:val="superscript"/>
              </w:rPr>
              <w:t>1</w:t>
            </w:r>
            <w:r w:rsidRPr="00671CC7">
              <w:rPr>
                <w:rFonts w:ascii="Times New Roman" w:hAnsi="Times New Roman"/>
                <w:sz w:val="19"/>
                <w:szCs w:val="19"/>
              </w:rPr>
              <w:t>)</w:t>
            </w:r>
          </w:p>
          <w:p w:rsidR="00671CC7" w:rsidRPr="00671CC7" w:rsidP="007E1C74">
            <w:pPr>
              <w:bidi w:val="0"/>
              <w:spacing w:after="0" w:line="240" w:lineRule="auto"/>
              <w:ind w:left="360"/>
              <w:contextualSpacing/>
              <w:jc w:val="both"/>
              <w:rPr>
                <w:rFonts w:ascii="Times New Roman" w:hAnsi="Times New Roman"/>
                <w:sz w:val="19"/>
                <w:szCs w:val="19"/>
              </w:rPr>
            </w:pPr>
          </w:p>
          <w:p w:rsidR="00671CC7" w:rsidRPr="00671CC7" w:rsidP="007E1C74">
            <w:pPr>
              <w:numPr>
                <w:numId w:val="2"/>
              </w:numPr>
              <w:bidi w:val="0"/>
              <w:spacing w:after="0" w:line="240" w:lineRule="auto"/>
              <w:ind w:left="360"/>
              <w:contextualSpacing/>
              <w:jc w:val="both"/>
              <w:rPr>
                <w:rFonts w:ascii="Times New Roman" w:hAnsi="Times New Roman"/>
                <w:sz w:val="19"/>
                <w:szCs w:val="19"/>
              </w:rPr>
            </w:pPr>
            <w:r w:rsidRPr="00671CC7">
              <w:rPr>
                <w:rFonts w:ascii="Times New Roman" w:hAnsi="Times New Roman"/>
                <w:sz w:val="19"/>
                <w:szCs w:val="19"/>
              </w:rPr>
              <w:t>Pre každú činnosť uvedenú v  prílohe č. 1 vykonávanú v prevádzke, pre ktorú sa emisie merajú</w:t>
            </w:r>
          </w:p>
          <w:p w:rsidR="00671CC7" w:rsidRPr="00671CC7" w:rsidP="00D41168">
            <w:pPr>
              <w:numPr>
                <w:numId w:val="35"/>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celkové emisie,</w:t>
            </w:r>
          </w:p>
          <w:p w:rsidR="00671CC7" w:rsidRPr="00671CC7" w:rsidP="00D41168">
            <w:pPr>
              <w:numPr>
                <w:numId w:val="35"/>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informácie o spoľahlivosti meracích metód a </w:t>
            </w:r>
          </w:p>
          <w:p w:rsidR="00671CC7" w:rsidRPr="00671CC7" w:rsidP="00D41168">
            <w:pPr>
              <w:numPr>
                <w:numId w:val="35"/>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neistotu.</w:t>
            </w:r>
            <w:r w:rsidRPr="00671CC7">
              <w:rPr>
                <w:rFonts w:ascii="Times New Roman" w:hAnsi="Times New Roman"/>
                <w:sz w:val="19"/>
                <w:szCs w:val="19"/>
                <w:vertAlign w:val="superscript"/>
              </w:rPr>
              <w:t>1</w:t>
            </w:r>
            <w:r w:rsidRPr="00671CC7">
              <w:rPr>
                <w:rFonts w:ascii="Times New Roman" w:hAnsi="Times New Roman"/>
                <w:sz w:val="19"/>
                <w:szCs w:val="19"/>
              </w:rPr>
              <w:t>)</w:t>
            </w:r>
          </w:p>
          <w:p w:rsidR="00671CC7" w:rsidRPr="00671CC7" w:rsidP="007E1C74">
            <w:pPr>
              <w:bidi w:val="0"/>
              <w:spacing w:after="0" w:line="240" w:lineRule="auto"/>
              <w:ind w:left="720"/>
              <w:contextualSpacing/>
              <w:jc w:val="both"/>
              <w:rPr>
                <w:rFonts w:ascii="Times New Roman" w:hAnsi="Times New Roman"/>
                <w:color w:val="0070C0"/>
                <w:sz w:val="19"/>
                <w:szCs w:val="19"/>
              </w:rPr>
            </w:pPr>
          </w:p>
          <w:p w:rsidR="00671CC7" w:rsidRPr="00671CC7" w:rsidP="007E1C74">
            <w:pPr>
              <w:numPr>
                <w:numId w:val="2"/>
              </w:numPr>
              <w:bidi w:val="0"/>
              <w:spacing w:after="0" w:line="240" w:lineRule="auto"/>
              <w:ind w:left="360"/>
              <w:contextualSpacing/>
              <w:jc w:val="both"/>
              <w:rPr>
                <w:rFonts w:ascii="Times New Roman" w:hAnsi="Times New Roman"/>
                <w:sz w:val="19"/>
                <w:szCs w:val="19"/>
              </w:rPr>
            </w:pPr>
            <w:r w:rsidRPr="00671CC7">
              <w:rPr>
                <w:rFonts w:ascii="Times New Roman" w:hAnsi="Times New Roman"/>
                <w:sz w:val="19"/>
                <w:szCs w:val="19"/>
              </w:rPr>
              <w:t>Pre emisie zo spaľovania musí správa obsahovať aj oxidačný faktor, ak už oxidácia nebola zohľadnená pri vypracovaní emisného faktora pre špecifickú činnosť.</w:t>
            </w:r>
          </w:p>
          <w:p w:rsidR="00671CC7" w:rsidRPr="00671CC7" w:rsidP="00671CC7">
            <w:pPr>
              <w:bidi w:val="0"/>
              <w:spacing w:after="0" w:line="240" w:lineRule="auto"/>
              <w:ind w:left="720"/>
              <w:contextualSpacing/>
              <w:jc w:val="both"/>
              <w:rPr>
                <w:rFonts w:ascii="Times New Roman" w:hAnsi="Times New Roman"/>
                <w:sz w:val="19"/>
                <w:szCs w:val="19"/>
              </w:rPr>
            </w:pPr>
          </w:p>
          <w:p w:rsidR="00671CC7" w:rsidRPr="00671CC7" w:rsidP="00135DE3">
            <w:pPr>
              <w:bidi w:val="0"/>
              <w:spacing w:after="0" w:line="240" w:lineRule="auto"/>
              <w:jc w:val="both"/>
              <w:rPr>
                <w:rFonts w:ascii="Times New Roman" w:hAnsi="Times New Roman"/>
                <w:b/>
                <w:sz w:val="19"/>
                <w:szCs w:val="19"/>
              </w:rPr>
            </w:pPr>
            <w:r w:rsidRPr="00671CC7">
              <w:rPr>
                <w:rFonts w:ascii="Times New Roman" w:hAnsi="Times New Roman"/>
                <w:b/>
                <w:sz w:val="19"/>
                <w:szCs w:val="19"/>
              </w:rPr>
              <w:t xml:space="preserve">Časť B – Monitorovanie emisií z činností leteckej dopravy a podávanie správ o týchto emisiách </w:t>
            </w:r>
          </w:p>
          <w:p w:rsidR="00671CC7" w:rsidRPr="00671CC7" w:rsidP="00671CC7">
            <w:pPr>
              <w:bidi w:val="0"/>
              <w:spacing w:after="0" w:line="240" w:lineRule="auto"/>
              <w:ind w:left="360"/>
              <w:jc w:val="both"/>
              <w:rPr>
                <w:rFonts w:ascii="Times New Roman" w:hAnsi="Times New Roman"/>
                <w:b/>
                <w:sz w:val="19"/>
                <w:szCs w:val="19"/>
              </w:rPr>
            </w:pPr>
          </w:p>
          <w:p w:rsidR="00671CC7" w:rsidRPr="00671CC7" w:rsidP="00135DE3">
            <w:pPr>
              <w:bidi w:val="0"/>
              <w:spacing w:after="0" w:line="240" w:lineRule="auto"/>
              <w:jc w:val="both"/>
              <w:rPr>
                <w:rFonts w:ascii="Times New Roman" w:hAnsi="Times New Roman"/>
                <w:sz w:val="19"/>
                <w:szCs w:val="19"/>
              </w:rPr>
            </w:pPr>
            <w:r w:rsidRPr="00671CC7">
              <w:rPr>
                <w:rFonts w:ascii="Times New Roman" w:hAnsi="Times New Roman"/>
                <w:sz w:val="19"/>
                <w:szCs w:val="19"/>
              </w:rPr>
              <w:t xml:space="preserve">Emisie </w:t>
            </w:r>
            <w:r w:rsidR="0044147D">
              <w:rPr>
                <w:rFonts w:ascii="Times New Roman" w:hAnsi="Times New Roman"/>
                <w:sz w:val="19"/>
                <w:szCs w:val="19"/>
              </w:rPr>
              <w:t xml:space="preserve">z činnosti leteckej dopravy </w:t>
            </w:r>
            <w:r w:rsidRPr="00671CC7">
              <w:rPr>
                <w:rFonts w:ascii="Times New Roman" w:hAnsi="Times New Roman"/>
                <w:sz w:val="19"/>
                <w:szCs w:val="19"/>
              </w:rPr>
              <w:t xml:space="preserve">sa monitorujú výpočtom. Emisie </w:t>
            </w:r>
            <w:r w:rsidR="0044147D">
              <w:rPr>
                <w:rFonts w:ascii="Times New Roman" w:hAnsi="Times New Roman"/>
                <w:sz w:val="19"/>
                <w:szCs w:val="19"/>
              </w:rPr>
              <w:t xml:space="preserve">z činnosti leteckej dopravy </w:t>
            </w:r>
            <w:r w:rsidRPr="00671CC7">
              <w:rPr>
                <w:rFonts w:ascii="Times New Roman" w:hAnsi="Times New Roman"/>
                <w:sz w:val="19"/>
                <w:szCs w:val="19"/>
              </w:rPr>
              <w:t>sa vypočítavajú pomocou vzorca:</w:t>
            </w:r>
          </w:p>
          <w:p w:rsidR="00671CC7" w:rsidRPr="00671CC7" w:rsidP="00D41168">
            <w:pPr>
              <w:bidi w:val="0"/>
              <w:spacing w:after="0" w:line="240" w:lineRule="auto"/>
              <w:ind w:left="360"/>
              <w:jc w:val="center"/>
              <w:rPr>
                <w:rFonts w:ascii="Times New Roman" w:hAnsi="Times New Roman"/>
                <w:sz w:val="19"/>
                <w:szCs w:val="19"/>
              </w:rPr>
            </w:pPr>
          </w:p>
          <w:p w:rsidR="00671CC7" w:rsidRPr="00671CC7" w:rsidP="00D41168">
            <w:pPr>
              <w:bidi w:val="0"/>
              <w:spacing w:after="0" w:line="240" w:lineRule="auto"/>
              <w:jc w:val="center"/>
              <w:rPr>
                <w:rFonts w:ascii="Times New Roman" w:hAnsi="Times New Roman"/>
                <w:b/>
                <w:sz w:val="19"/>
                <w:szCs w:val="19"/>
              </w:rPr>
            </w:pPr>
            <w:r w:rsidRPr="00671CC7">
              <w:rPr>
                <w:rFonts w:ascii="Times New Roman" w:hAnsi="Times New Roman"/>
                <w:b/>
                <w:sz w:val="19"/>
                <w:szCs w:val="19"/>
              </w:rPr>
              <w:t>Spotreba paliva x emisný faktor</w:t>
            </w:r>
          </w:p>
          <w:p w:rsidR="00671CC7" w:rsidRPr="00671CC7" w:rsidP="00671CC7">
            <w:pPr>
              <w:bidi w:val="0"/>
              <w:spacing w:after="0" w:line="240" w:lineRule="auto"/>
              <w:ind w:left="360"/>
              <w:jc w:val="both"/>
              <w:rPr>
                <w:rFonts w:ascii="Times New Roman" w:hAnsi="Times New Roman"/>
                <w:b/>
                <w:sz w:val="19"/>
                <w:szCs w:val="19"/>
              </w:rPr>
            </w:pPr>
          </w:p>
          <w:p w:rsidR="00671CC7" w:rsidRPr="00671CC7" w:rsidP="00135DE3">
            <w:pPr>
              <w:bidi w:val="0"/>
              <w:spacing w:after="0" w:line="240" w:lineRule="auto"/>
              <w:jc w:val="both"/>
              <w:rPr>
                <w:rFonts w:ascii="Times New Roman" w:hAnsi="Times New Roman"/>
                <w:sz w:val="19"/>
                <w:szCs w:val="19"/>
              </w:rPr>
            </w:pPr>
            <w:r w:rsidRPr="00671CC7">
              <w:rPr>
                <w:rFonts w:ascii="Times New Roman" w:hAnsi="Times New Roman"/>
                <w:sz w:val="19"/>
                <w:szCs w:val="19"/>
              </w:rPr>
              <w:t>Spotreba paliva zahŕňa palivo spotrebované pomocným zdrojom. Vždy keď je to možné, použije sa skutočná spotreba paliva pre každý let, ktorá sa vypočíta pomocou vzorca:</w:t>
            </w:r>
          </w:p>
          <w:p w:rsidR="00671CC7" w:rsidRPr="00671CC7" w:rsidP="00671CC7">
            <w:pPr>
              <w:bidi w:val="0"/>
              <w:spacing w:after="0" w:line="240" w:lineRule="auto"/>
              <w:ind w:left="360"/>
              <w:jc w:val="both"/>
              <w:rPr>
                <w:rFonts w:ascii="Times New Roman" w:hAnsi="Times New Roman"/>
                <w:sz w:val="19"/>
                <w:szCs w:val="19"/>
              </w:rPr>
            </w:pPr>
          </w:p>
          <w:p w:rsidR="00671CC7" w:rsidRPr="00671CC7" w:rsidP="00671CC7">
            <w:pPr>
              <w:bidi w:val="0"/>
              <w:spacing w:after="0" w:line="240" w:lineRule="auto"/>
              <w:ind w:left="360"/>
              <w:jc w:val="center"/>
              <w:rPr>
                <w:rFonts w:ascii="Times New Roman" w:hAnsi="Times New Roman"/>
                <w:b/>
                <w:sz w:val="19"/>
                <w:szCs w:val="19"/>
              </w:rPr>
            </w:pPr>
            <w:r w:rsidRPr="00671CC7">
              <w:rPr>
                <w:rFonts w:ascii="Times New Roman" w:hAnsi="Times New Roman"/>
                <w:b/>
                <w:sz w:val="19"/>
                <w:szCs w:val="19"/>
              </w:rPr>
              <w:t>Množstvo paliva, ktoré obsahujú palivové nádrže lietadla pri ukončení tankovania paliva na let - množstvo paliva, ktoré obsahujú palivové nádrže lietadla pri ukončení tankovania paliva na nasledujúci let + palivo natankované na tento nasledujúci let.</w:t>
            </w:r>
          </w:p>
          <w:p w:rsidR="00671CC7" w:rsidRPr="00671CC7" w:rsidP="00671CC7">
            <w:pPr>
              <w:bidi w:val="0"/>
              <w:spacing w:after="0" w:line="240" w:lineRule="auto"/>
              <w:ind w:left="360"/>
              <w:jc w:val="both"/>
              <w:rPr>
                <w:rFonts w:ascii="Times New Roman" w:hAnsi="Times New Roman"/>
                <w:sz w:val="19"/>
                <w:szCs w:val="19"/>
              </w:rPr>
            </w:pPr>
          </w:p>
          <w:p w:rsidR="00671CC7" w:rsidRPr="00671CC7" w:rsidP="00135DE3">
            <w:pPr>
              <w:bidi w:val="0"/>
              <w:spacing w:line="240" w:lineRule="auto"/>
              <w:jc w:val="both"/>
              <w:rPr>
                <w:rFonts w:ascii="Times New Roman" w:hAnsi="Times New Roman"/>
                <w:sz w:val="19"/>
                <w:szCs w:val="19"/>
              </w:rPr>
            </w:pPr>
            <w:r w:rsidRPr="00671CC7">
              <w:rPr>
                <w:rFonts w:ascii="Times New Roman" w:hAnsi="Times New Roman"/>
                <w:sz w:val="19"/>
                <w:szCs w:val="19"/>
              </w:rPr>
              <w:t>Ak údaje o skutočnej spotrebe paliva nie sú k dispozícii, na odhad údajov o spotrebe paliva sa na základe najvhodnejších dostupných informácií použije štandardná stupňovitá metóda.</w:t>
            </w:r>
          </w:p>
          <w:p w:rsidR="00671CC7" w:rsidRPr="00671CC7" w:rsidP="00135DE3">
            <w:pPr>
              <w:bidi w:val="0"/>
              <w:spacing w:after="0" w:line="240" w:lineRule="auto"/>
              <w:jc w:val="both"/>
              <w:rPr>
                <w:rFonts w:ascii="Times New Roman" w:hAnsi="Times New Roman"/>
                <w:sz w:val="19"/>
                <w:szCs w:val="19"/>
              </w:rPr>
            </w:pPr>
            <w:r w:rsidRPr="00671CC7">
              <w:rPr>
                <w:rFonts w:ascii="Times New Roman" w:hAnsi="Times New Roman"/>
                <w:sz w:val="19"/>
                <w:szCs w:val="19"/>
              </w:rPr>
              <w:t>Použijú sa štandardné emisné faktory IPCC prevzaté z Usmernení IPCC pre inventarizáciu emisií skleníkových plynov na rok 2006 alebo z následných aktualizácií týchto usmernení, ak emisné faktory špecifické pre danú činnosť, identifikované nezávislými akreditovanými laboratóriami, ktoré používajú všeobecne prijaté analytické metódy, nie sú presnejšie. Emisný faktor pre biomasu je nula.</w:t>
            </w:r>
          </w:p>
          <w:p w:rsidR="00671CC7" w:rsidRPr="00671CC7" w:rsidP="00671CC7">
            <w:pPr>
              <w:bidi w:val="0"/>
              <w:spacing w:after="0" w:line="240" w:lineRule="auto"/>
              <w:ind w:left="360"/>
              <w:jc w:val="both"/>
              <w:rPr>
                <w:rFonts w:ascii="Times New Roman" w:hAnsi="Times New Roman"/>
                <w:sz w:val="19"/>
                <w:szCs w:val="19"/>
              </w:rPr>
            </w:pPr>
          </w:p>
          <w:p w:rsidR="00671CC7" w:rsidRPr="00671CC7" w:rsidP="00135DE3">
            <w:pPr>
              <w:bidi w:val="0"/>
              <w:spacing w:after="0" w:line="240" w:lineRule="auto"/>
              <w:jc w:val="both"/>
              <w:rPr>
                <w:rFonts w:ascii="Times New Roman" w:hAnsi="Times New Roman"/>
                <w:sz w:val="19"/>
                <w:szCs w:val="19"/>
              </w:rPr>
            </w:pPr>
            <w:r w:rsidRPr="00671CC7">
              <w:rPr>
                <w:rFonts w:ascii="Times New Roman" w:hAnsi="Times New Roman"/>
                <w:sz w:val="19"/>
                <w:szCs w:val="19"/>
              </w:rPr>
              <w:t>Pre každý let a pre každé palivo sa urobí samostatný výpočet.</w:t>
            </w:r>
          </w:p>
          <w:p w:rsidR="00671CC7" w:rsidRPr="00671CC7" w:rsidP="00671CC7">
            <w:pPr>
              <w:bidi w:val="0"/>
              <w:spacing w:after="0" w:line="240" w:lineRule="auto"/>
              <w:ind w:left="360"/>
              <w:jc w:val="both"/>
              <w:rPr>
                <w:rFonts w:ascii="Times New Roman" w:hAnsi="Times New Roman"/>
                <w:sz w:val="19"/>
                <w:szCs w:val="19"/>
              </w:rPr>
            </w:pPr>
          </w:p>
          <w:p w:rsidR="00671CC7" w:rsidRPr="00671CC7" w:rsidP="00135DE3">
            <w:pPr>
              <w:bidi w:val="0"/>
              <w:spacing w:after="0" w:line="240" w:lineRule="auto"/>
              <w:jc w:val="both"/>
              <w:rPr>
                <w:rFonts w:ascii="Times New Roman" w:hAnsi="Times New Roman"/>
                <w:b/>
                <w:sz w:val="19"/>
                <w:szCs w:val="19"/>
              </w:rPr>
            </w:pPr>
            <w:r w:rsidRPr="00671CC7">
              <w:rPr>
                <w:rFonts w:ascii="Times New Roman" w:hAnsi="Times New Roman"/>
                <w:b/>
                <w:sz w:val="19"/>
                <w:szCs w:val="19"/>
              </w:rPr>
              <w:t>Podávanie správ o emisiách</w:t>
            </w:r>
          </w:p>
          <w:p w:rsidR="00671CC7" w:rsidRPr="00671CC7" w:rsidP="00671CC7">
            <w:pPr>
              <w:bidi w:val="0"/>
              <w:spacing w:after="0" w:line="240" w:lineRule="auto"/>
              <w:ind w:left="360"/>
              <w:jc w:val="both"/>
              <w:rPr>
                <w:rFonts w:ascii="Times New Roman" w:hAnsi="Times New Roman"/>
                <w:b/>
                <w:sz w:val="19"/>
                <w:szCs w:val="19"/>
              </w:rPr>
            </w:pPr>
          </w:p>
          <w:p w:rsidR="00671CC7" w:rsidRPr="00671CC7" w:rsidP="00135DE3">
            <w:pPr>
              <w:bidi w:val="0"/>
              <w:spacing w:after="0" w:line="240" w:lineRule="auto"/>
              <w:jc w:val="both"/>
              <w:rPr>
                <w:rFonts w:ascii="Times New Roman" w:hAnsi="Times New Roman"/>
                <w:sz w:val="19"/>
                <w:szCs w:val="19"/>
              </w:rPr>
            </w:pPr>
            <w:r w:rsidRPr="00671CC7">
              <w:rPr>
                <w:rFonts w:ascii="Times New Roman" w:hAnsi="Times New Roman"/>
                <w:sz w:val="19"/>
                <w:szCs w:val="19"/>
              </w:rPr>
              <w:t>Každý prevádzkovateľ lietadla zahrnie do svojej správy podľa § 21 ods. 1 písm. a) tieto informácie:</w:t>
            </w:r>
          </w:p>
          <w:p w:rsidR="00671CC7" w:rsidRPr="00671CC7" w:rsidP="00671CC7">
            <w:pPr>
              <w:bidi w:val="0"/>
              <w:spacing w:after="0" w:line="240" w:lineRule="auto"/>
              <w:jc w:val="both"/>
              <w:rPr>
                <w:rFonts w:ascii="Times New Roman" w:hAnsi="Times New Roman"/>
                <w:sz w:val="19"/>
                <w:szCs w:val="19"/>
              </w:rPr>
            </w:pPr>
          </w:p>
          <w:p w:rsidR="00671CC7" w:rsidRPr="00671CC7" w:rsidP="00D41168">
            <w:pPr>
              <w:numPr>
                <w:numId w:val="7"/>
              </w:numPr>
              <w:bidi w:val="0"/>
              <w:spacing w:after="0" w:line="240" w:lineRule="auto"/>
              <w:ind w:left="360"/>
              <w:contextualSpacing/>
              <w:jc w:val="both"/>
              <w:rPr>
                <w:rFonts w:ascii="Times New Roman" w:hAnsi="Times New Roman"/>
                <w:sz w:val="19"/>
                <w:szCs w:val="19"/>
              </w:rPr>
            </w:pPr>
            <w:r w:rsidRPr="00671CC7">
              <w:rPr>
                <w:rFonts w:ascii="Times New Roman" w:hAnsi="Times New Roman"/>
                <w:sz w:val="19"/>
                <w:szCs w:val="19"/>
              </w:rPr>
              <w:t>Údaje na identifikáciu prevádzkovateľa lietadla vrátane</w:t>
            </w:r>
          </w:p>
          <w:p w:rsidR="00D41168" w:rsidRPr="00D41168" w:rsidP="00D41168">
            <w:pPr>
              <w:numPr>
                <w:numId w:val="36"/>
              </w:numPr>
              <w:bidi w:val="0"/>
              <w:spacing w:after="0" w:line="240" w:lineRule="auto"/>
              <w:contextualSpacing/>
              <w:jc w:val="both"/>
              <w:rPr>
                <w:rFonts w:ascii="Times New Roman" w:hAnsi="Times New Roman"/>
                <w:sz w:val="19"/>
                <w:szCs w:val="19"/>
              </w:rPr>
            </w:pPr>
            <w:r w:rsidRPr="00D41168">
              <w:rPr>
                <w:rFonts w:ascii="Times New Roman" w:hAnsi="Times New Roman"/>
                <w:sz w:val="19"/>
                <w:szCs w:val="19"/>
              </w:rPr>
              <w:t xml:space="preserve">mena prevádzkovateľa lietadla, </w:t>
            </w:r>
          </w:p>
          <w:p w:rsidR="00D41168" w:rsidRPr="00D41168" w:rsidP="00D41168">
            <w:pPr>
              <w:numPr>
                <w:numId w:val="36"/>
              </w:numPr>
              <w:bidi w:val="0"/>
              <w:spacing w:after="0" w:line="240" w:lineRule="auto"/>
              <w:contextualSpacing/>
              <w:jc w:val="both"/>
              <w:rPr>
                <w:rFonts w:ascii="Times New Roman" w:hAnsi="Times New Roman"/>
                <w:sz w:val="19"/>
                <w:szCs w:val="19"/>
              </w:rPr>
            </w:pPr>
            <w:r w:rsidRPr="00D41168">
              <w:rPr>
                <w:rFonts w:ascii="Times New Roman" w:hAnsi="Times New Roman"/>
                <w:sz w:val="19"/>
                <w:szCs w:val="19"/>
              </w:rPr>
              <w:t xml:space="preserve">jeho riadiaceho členského štátu, </w:t>
            </w:r>
          </w:p>
          <w:p w:rsidR="00D41168" w:rsidRPr="00D41168" w:rsidP="00D41168">
            <w:pPr>
              <w:numPr>
                <w:numId w:val="36"/>
              </w:numPr>
              <w:bidi w:val="0"/>
              <w:spacing w:after="0" w:line="240" w:lineRule="auto"/>
              <w:contextualSpacing/>
              <w:jc w:val="both"/>
              <w:rPr>
                <w:rFonts w:ascii="Times New Roman" w:hAnsi="Times New Roman"/>
                <w:sz w:val="19"/>
                <w:szCs w:val="19"/>
              </w:rPr>
            </w:pPr>
            <w:r w:rsidRPr="00D41168">
              <w:rPr>
                <w:rFonts w:ascii="Times New Roman" w:hAnsi="Times New Roman"/>
                <w:sz w:val="19"/>
                <w:szCs w:val="19"/>
              </w:rPr>
              <w:t xml:space="preserve">jeho adresy PSČ a krajiny, a ak sú odlišné, jeho kontaktnej adresy v riadiacom členskom štáte, </w:t>
            </w:r>
          </w:p>
          <w:p w:rsidR="00D41168" w:rsidRPr="00D41168" w:rsidP="00D41168">
            <w:pPr>
              <w:numPr>
                <w:numId w:val="36"/>
              </w:numPr>
              <w:bidi w:val="0"/>
              <w:spacing w:after="0" w:line="240" w:lineRule="auto"/>
              <w:contextualSpacing/>
              <w:jc w:val="both"/>
              <w:rPr>
                <w:rFonts w:ascii="Times New Roman" w:hAnsi="Times New Roman"/>
                <w:sz w:val="19"/>
                <w:szCs w:val="19"/>
              </w:rPr>
            </w:pPr>
            <w:r w:rsidRPr="00D41168">
              <w:rPr>
                <w:rFonts w:ascii="Times New Roman" w:hAnsi="Times New Roman"/>
                <w:sz w:val="19"/>
                <w:szCs w:val="19"/>
              </w:rPr>
              <w:t xml:space="preserve">registračných čísel lietadiel a typov lietadiel používaných v období, na ktoré sa vzťahuje správa, na vykonávanie činností leteckej dopravy uvedených v prílohe č. 1 </w:t>
            </w:r>
          </w:p>
          <w:p w:rsidR="00D41168" w:rsidRPr="00D41168" w:rsidP="00D41168">
            <w:pPr>
              <w:numPr>
                <w:numId w:val="36"/>
              </w:numPr>
              <w:bidi w:val="0"/>
              <w:spacing w:after="0" w:line="240" w:lineRule="auto"/>
              <w:contextualSpacing/>
              <w:jc w:val="both"/>
              <w:rPr>
                <w:rFonts w:ascii="Times New Roman" w:hAnsi="Times New Roman"/>
                <w:sz w:val="19"/>
                <w:szCs w:val="19"/>
              </w:rPr>
            </w:pPr>
            <w:r>
              <w:rPr>
                <w:rFonts w:ascii="Times New Roman" w:hAnsi="Times New Roman"/>
                <w:sz w:val="19"/>
                <w:szCs w:val="19"/>
              </w:rPr>
              <w:t xml:space="preserve">   </w:t>
            </w:r>
            <w:r w:rsidRPr="00D41168">
              <w:rPr>
                <w:rFonts w:ascii="Times New Roman" w:hAnsi="Times New Roman"/>
                <w:sz w:val="19"/>
                <w:szCs w:val="19"/>
              </w:rPr>
              <w:t xml:space="preserve">tabuľke D, na ktorých účely je prevádzkovateľom lietadla, </w:t>
            </w:r>
          </w:p>
          <w:p w:rsidR="00D41168" w:rsidRPr="00D41168" w:rsidP="00D41168">
            <w:pPr>
              <w:numPr>
                <w:numId w:val="36"/>
              </w:numPr>
              <w:bidi w:val="0"/>
              <w:spacing w:after="0" w:line="240" w:lineRule="auto"/>
              <w:contextualSpacing/>
              <w:jc w:val="both"/>
              <w:rPr>
                <w:rFonts w:ascii="Times New Roman" w:hAnsi="Times New Roman"/>
                <w:sz w:val="19"/>
                <w:szCs w:val="19"/>
              </w:rPr>
            </w:pPr>
            <w:r w:rsidRPr="00D41168">
              <w:rPr>
                <w:rFonts w:ascii="Times New Roman" w:hAnsi="Times New Roman"/>
                <w:sz w:val="19"/>
                <w:szCs w:val="19"/>
              </w:rPr>
              <w:t xml:space="preserve">čísla osvedčenia prevádzkovateľa lietadla a prevádzkovej licencie, na základe ktorých sa vykonávali činnosti leteckej dopravy uvedené v prílohe č. 1 tabuľke D, na ktorých účely je prevádzkovateľom lietadla, a názvu orgánu, ktorý ich vydal, </w:t>
            </w:r>
          </w:p>
          <w:p w:rsidR="00D41168" w:rsidRPr="00D41168" w:rsidP="00D41168">
            <w:pPr>
              <w:numPr>
                <w:numId w:val="36"/>
              </w:numPr>
              <w:bidi w:val="0"/>
              <w:spacing w:after="0" w:line="240" w:lineRule="auto"/>
              <w:contextualSpacing/>
              <w:jc w:val="both"/>
              <w:rPr>
                <w:rFonts w:ascii="Times New Roman" w:hAnsi="Times New Roman"/>
                <w:sz w:val="19"/>
                <w:szCs w:val="19"/>
              </w:rPr>
            </w:pPr>
            <w:r w:rsidRPr="00D41168">
              <w:rPr>
                <w:rFonts w:ascii="Times New Roman" w:hAnsi="Times New Roman"/>
                <w:sz w:val="19"/>
                <w:szCs w:val="19"/>
              </w:rPr>
              <w:t>adresy, telefónneho čísla a faxového čísla a e-mailovej adresy kontaktnej osoby a mena majiteľa lietadla.</w:t>
            </w:r>
          </w:p>
          <w:p w:rsidR="00671CC7" w:rsidRPr="00671CC7" w:rsidP="00D41168">
            <w:pPr>
              <w:tabs>
                <w:tab w:val="left" w:pos="993"/>
              </w:tabs>
              <w:bidi w:val="0"/>
              <w:spacing w:after="0" w:line="240" w:lineRule="auto"/>
              <w:ind w:left="349"/>
              <w:contextualSpacing/>
              <w:jc w:val="both"/>
              <w:rPr>
                <w:rFonts w:ascii="Times New Roman" w:hAnsi="Times New Roman"/>
                <w:sz w:val="19"/>
                <w:szCs w:val="19"/>
              </w:rPr>
            </w:pPr>
          </w:p>
          <w:p w:rsidR="00671CC7" w:rsidRPr="00671CC7" w:rsidP="00D41168">
            <w:pPr>
              <w:numPr>
                <w:numId w:val="7"/>
              </w:numPr>
              <w:bidi w:val="0"/>
              <w:spacing w:after="0" w:line="240" w:lineRule="auto"/>
              <w:ind w:left="360"/>
              <w:contextualSpacing/>
              <w:jc w:val="both"/>
              <w:rPr>
                <w:rFonts w:ascii="Times New Roman" w:hAnsi="Times New Roman"/>
                <w:sz w:val="19"/>
                <w:szCs w:val="19"/>
              </w:rPr>
            </w:pPr>
            <w:r w:rsidRPr="00671CC7">
              <w:rPr>
                <w:rFonts w:ascii="Times New Roman" w:hAnsi="Times New Roman"/>
                <w:sz w:val="19"/>
                <w:szCs w:val="19"/>
              </w:rPr>
              <w:t>Pre každý typ paliva, pre ktorý sa vypočítavajú emisie</w:t>
            </w:r>
            <w:r w:rsidR="0044147D">
              <w:rPr>
                <w:rFonts w:ascii="Times New Roman" w:hAnsi="Times New Roman"/>
                <w:sz w:val="19"/>
                <w:szCs w:val="19"/>
              </w:rPr>
              <w:t xml:space="preserve"> z činnosti leteckej dopravy</w:t>
            </w:r>
            <w:r w:rsidRPr="00671CC7">
              <w:rPr>
                <w:rFonts w:ascii="Times New Roman" w:hAnsi="Times New Roman"/>
                <w:sz w:val="19"/>
                <w:szCs w:val="19"/>
              </w:rPr>
              <w:t xml:space="preserve">, </w:t>
            </w:r>
          </w:p>
          <w:p w:rsidR="00671CC7" w:rsidRPr="00671CC7" w:rsidP="00D41168">
            <w:pPr>
              <w:numPr>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spotrebu paliva, </w:t>
            </w:r>
          </w:p>
          <w:p w:rsidR="00671CC7" w:rsidRPr="00671CC7" w:rsidP="00D41168">
            <w:pPr>
              <w:numPr>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emisný faktor, </w:t>
            </w:r>
          </w:p>
          <w:p w:rsidR="00671CC7" w:rsidRPr="00671CC7" w:rsidP="00D41168">
            <w:pPr>
              <w:numPr>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celkové súhrnné emisie zo všetkých letov uskuto</w:t>
            </w:r>
            <w:r w:rsidR="00135DE3">
              <w:rPr>
                <w:rFonts w:ascii="Times New Roman" w:hAnsi="Times New Roman"/>
                <w:sz w:val="19"/>
                <w:szCs w:val="19"/>
              </w:rPr>
              <w:t xml:space="preserve">čnených počas obdobia, na ktoré </w:t>
            </w:r>
            <w:r w:rsidRPr="00671CC7">
              <w:rPr>
                <w:rFonts w:ascii="Times New Roman" w:hAnsi="Times New Roman"/>
                <w:sz w:val="19"/>
                <w:szCs w:val="19"/>
              </w:rPr>
              <w:t xml:space="preserve">sa vzťahuje správa, ktoré spadajú pod činnosti leteckej dopravy uvedené v prílohe č. 1 tabuľke D, na ktorých účely je prevádzkovateľom lietadla, </w:t>
            </w:r>
          </w:p>
          <w:p w:rsidR="00671CC7" w:rsidP="00D41168">
            <w:pPr>
              <w:numPr>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súhrnné emisie z</w:t>
            </w:r>
          </w:p>
          <w:p w:rsidR="00671CC7" w:rsidRPr="00D41168" w:rsidP="00D41168">
            <w:pPr>
              <w:numPr>
                <w:ilvl w:val="1"/>
                <w:numId w:val="37"/>
              </w:numPr>
              <w:bidi w:val="0"/>
              <w:spacing w:after="0" w:line="240" w:lineRule="auto"/>
              <w:contextualSpacing/>
              <w:jc w:val="both"/>
              <w:rPr>
                <w:rFonts w:ascii="Times New Roman" w:hAnsi="Times New Roman"/>
                <w:sz w:val="19"/>
                <w:szCs w:val="19"/>
              </w:rPr>
            </w:pPr>
            <w:r w:rsidRPr="00D41168">
              <w:rPr>
                <w:rFonts w:ascii="Times New Roman" w:hAnsi="Times New Roman"/>
                <w:sz w:val="19"/>
                <w:szCs w:val="19"/>
              </w:rPr>
              <w:t xml:space="preserve">letov uskutočnených počas obdobia, na ktoré sa vzťahuje správa, ktoré spadajú pod činnosti leteckej dopravy uvedené v prílohe č. 1 tabuľke D, na ktorých účely je prevádzkovateľom lietadla, s odletom z letiska nachádzajúceho sa na území členského štátu a príletom na letisko nachádzajúce sa na území toho istého členského štátu, </w:t>
            </w:r>
          </w:p>
          <w:p w:rsidR="00671CC7" w:rsidRPr="00671CC7" w:rsidP="00D41168">
            <w:pPr>
              <w:numPr>
                <w:ilvl w:val="1"/>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ostatných letov uskutočnených počas obdobia, na ktoré sa vzťahuje správa, ktoré spadajú pod činnosti leteckej dopravy uvedené v prílohe č. 1 tabuľke D, na ktorých účely je prevádzkovateľom lietadla, </w:t>
            </w:r>
          </w:p>
          <w:p w:rsidR="00671CC7" w:rsidRPr="00671CC7" w:rsidP="00D41168">
            <w:pPr>
              <w:numPr>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súhrnné emisie </w:t>
            </w:r>
            <w:r w:rsidR="0044147D">
              <w:rPr>
                <w:rFonts w:ascii="Times New Roman" w:hAnsi="Times New Roman"/>
                <w:sz w:val="19"/>
                <w:szCs w:val="19"/>
              </w:rPr>
              <w:t xml:space="preserve">z činnosti leteckej dopravy </w:t>
            </w:r>
            <w:r w:rsidRPr="00671CC7">
              <w:rPr>
                <w:rFonts w:ascii="Times New Roman" w:hAnsi="Times New Roman"/>
                <w:sz w:val="19"/>
                <w:szCs w:val="19"/>
              </w:rPr>
              <w:t>zo všetkých letov uskutočne</w:t>
            </w:r>
            <w:r w:rsidR="00135DE3">
              <w:rPr>
                <w:rFonts w:ascii="Times New Roman" w:hAnsi="Times New Roman"/>
                <w:sz w:val="19"/>
                <w:szCs w:val="19"/>
              </w:rPr>
              <w:t xml:space="preserve">ných počas obdobia, na ktoré sa </w:t>
            </w:r>
            <w:r w:rsidRPr="00671CC7">
              <w:rPr>
                <w:rFonts w:ascii="Times New Roman" w:hAnsi="Times New Roman"/>
                <w:sz w:val="19"/>
                <w:szCs w:val="19"/>
              </w:rPr>
              <w:t>vzťahuje správa, ktoré spadajú pod činnosti leteckej dopravy uvedené v prílohe č. 1 tabuľke D, na ktorých účely je prevádzkovateľom lietadla a ktoré</w:t>
            </w:r>
          </w:p>
          <w:p w:rsidR="00671CC7" w:rsidRPr="00671CC7" w:rsidP="00D41168">
            <w:pPr>
              <w:numPr>
                <w:ilvl w:val="1"/>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odlietali z každého členského štátu a</w:t>
            </w:r>
          </w:p>
          <w:p w:rsidR="00671CC7" w:rsidRPr="00671CC7" w:rsidP="00D41168">
            <w:pPr>
              <w:numPr>
                <w:ilvl w:val="1"/>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 xml:space="preserve">prilietali do každého členského štátu z tretej krajiny, </w:t>
            </w:r>
          </w:p>
          <w:p w:rsidR="00671CC7" w:rsidRPr="00671CC7" w:rsidP="00D41168">
            <w:pPr>
              <w:numPr>
                <w:numId w:val="37"/>
              </w:numPr>
              <w:bidi w:val="0"/>
              <w:spacing w:after="0" w:line="240" w:lineRule="auto"/>
              <w:contextualSpacing/>
              <w:jc w:val="both"/>
              <w:rPr>
                <w:rFonts w:ascii="Times New Roman" w:hAnsi="Times New Roman"/>
                <w:sz w:val="19"/>
                <w:szCs w:val="19"/>
              </w:rPr>
            </w:pPr>
            <w:r w:rsidRPr="00671CC7">
              <w:rPr>
                <w:rFonts w:ascii="Times New Roman" w:hAnsi="Times New Roman"/>
                <w:sz w:val="19"/>
                <w:szCs w:val="19"/>
              </w:rPr>
              <w:t>neistotu.</w:t>
            </w:r>
            <w:r w:rsidRPr="00671CC7">
              <w:rPr>
                <w:rFonts w:ascii="Times New Roman" w:hAnsi="Times New Roman"/>
                <w:sz w:val="19"/>
                <w:szCs w:val="19"/>
                <w:vertAlign w:val="superscript"/>
              </w:rPr>
              <w:t>1</w:t>
            </w:r>
            <w:r w:rsidRPr="00671CC7">
              <w:rPr>
                <w:rFonts w:ascii="Times New Roman" w:hAnsi="Times New Roman"/>
                <w:sz w:val="19"/>
                <w:szCs w:val="19"/>
              </w:rPr>
              <w:t>)</w:t>
            </w:r>
          </w:p>
          <w:p w:rsidR="00671CC7" w:rsidRPr="00671CC7" w:rsidP="00671CC7">
            <w:pPr>
              <w:bidi w:val="0"/>
              <w:spacing w:line="240" w:lineRule="auto"/>
              <w:ind w:left="360"/>
              <w:contextualSpacing/>
              <w:jc w:val="both"/>
              <w:rPr>
                <w:rFonts w:ascii="Times New Roman" w:hAnsi="Times New Roman"/>
                <w:sz w:val="24"/>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FE0CF5">
            <w:pPr>
              <w:bidi w:val="0"/>
              <w:spacing w:after="0" w:line="240" w:lineRule="auto"/>
              <w:suppressOverlap/>
              <w:jc w:val="both"/>
              <w:rPr>
                <w:rFonts w:ascii="Times New Roman" w:hAnsi="Times New Roman"/>
                <w:sz w:val="18"/>
                <w:szCs w:val="18"/>
                <w:lang w:eastAsia="sk-SK"/>
              </w:rPr>
            </w:pPr>
          </w:p>
          <w:p w:rsidR="00F6703E" w:rsidP="00135DE3">
            <w:pPr>
              <w:bidi w:val="0"/>
              <w:spacing w:after="0" w:line="240" w:lineRule="auto"/>
              <w:suppressOverlap/>
              <w:jc w:val="right"/>
              <w:rPr>
                <w:rFonts w:ascii="Times New Roman" w:hAnsi="Times New Roman"/>
                <w:b/>
                <w:sz w:val="18"/>
                <w:szCs w:val="18"/>
                <w:lang w:eastAsia="sk-SK"/>
              </w:rPr>
            </w:pPr>
            <w:r w:rsidRPr="00135DE3" w:rsidR="00135DE3">
              <w:rPr>
                <w:rFonts w:ascii="Times New Roman" w:hAnsi="Times New Roman"/>
                <w:sz w:val="18"/>
                <w:szCs w:val="18"/>
                <w:lang w:eastAsia="sk-SK"/>
              </w:rPr>
              <w:t xml:space="preserve">              </w:t>
            </w:r>
            <w:r w:rsidRPr="00135DE3" w:rsidR="00135DE3">
              <w:rPr>
                <w:rFonts w:ascii="Times New Roman" w:hAnsi="Times New Roman"/>
                <w:b/>
                <w:sz w:val="18"/>
                <w:szCs w:val="18"/>
                <w:lang w:eastAsia="sk-SK"/>
              </w:rPr>
              <w:t xml:space="preserve">Príloha č. </w:t>
            </w:r>
            <w:r w:rsidR="0044147D">
              <w:rPr>
                <w:rFonts w:ascii="Times New Roman" w:hAnsi="Times New Roman"/>
                <w:b/>
                <w:sz w:val="18"/>
                <w:szCs w:val="18"/>
                <w:lang w:eastAsia="sk-SK"/>
              </w:rPr>
              <w:t xml:space="preserve">3b </w:t>
            </w:r>
            <w:r w:rsidRPr="00135DE3" w:rsidR="00135DE3">
              <w:rPr>
                <w:rFonts w:ascii="Times New Roman" w:hAnsi="Times New Roman"/>
                <w:b/>
                <w:sz w:val="18"/>
                <w:szCs w:val="18"/>
                <w:lang w:eastAsia="sk-SK"/>
              </w:rPr>
              <w:t>k zákonu č. 414/2012 Z. z.</w:t>
            </w:r>
          </w:p>
          <w:p w:rsidR="00135DE3" w:rsidRPr="00135DE3" w:rsidP="00135DE3">
            <w:pPr>
              <w:bidi w:val="0"/>
              <w:spacing w:after="0" w:line="240" w:lineRule="auto"/>
              <w:suppressOverlap/>
              <w:jc w:val="right"/>
              <w:rPr>
                <w:rFonts w:ascii="Times New Roman" w:hAnsi="Times New Roman"/>
                <w:b/>
                <w:sz w:val="18"/>
                <w:szCs w:val="18"/>
                <w:lang w:eastAsia="sk-SK"/>
              </w:rPr>
            </w:pPr>
          </w:p>
          <w:p w:rsidR="00135DE3" w:rsidRPr="00135DE3" w:rsidP="00135DE3">
            <w:pPr>
              <w:bidi w:val="0"/>
              <w:spacing w:after="0" w:line="240" w:lineRule="auto"/>
              <w:ind w:left="360"/>
              <w:contextualSpacing/>
              <w:jc w:val="center"/>
              <w:rPr>
                <w:rFonts w:ascii="Times New Roman" w:hAnsi="Times New Roman"/>
                <w:b/>
                <w:sz w:val="19"/>
                <w:szCs w:val="19"/>
              </w:rPr>
            </w:pPr>
            <w:r w:rsidRPr="00135DE3">
              <w:rPr>
                <w:rFonts w:ascii="Times New Roman" w:hAnsi="Times New Roman"/>
                <w:b/>
                <w:sz w:val="19"/>
                <w:szCs w:val="19"/>
              </w:rPr>
              <w:t>KRITÉRIÁ NA OVEROVANIE SPRÁVY</w:t>
            </w:r>
            <w:r w:rsidRPr="00135DE3">
              <w:rPr>
                <w:rFonts w:ascii="Times New Roman" w:hAnsi="Times New Roman"/>
                <w:sz w:val="19"/>
                <w:szCs w:val="19"/>
              </w:rPr>
              <w:t xml:space="preserve"> </w:t>
            </w:r>
            <w:r w:rsidRPr="00135DE3">
              <w:rPr>
                <w:rFonts w:ascii="Times New Roman" w:hAnsi="Times New Roman"/>
                <w:b/>
                <w:sz w:val="19"/>
                <w:szCs w:val="19"/>
              </w:rPr>
              <w:t xml:space="preserve">O EMISIÁCH SKLENÍKOVÝCH PLYNOV </w:t>
            </w:r>
            <w:r w:rsidRPr="00135DE3">
              <w:rPr>
                <w:rFonts w:ascii="Times New Roman" w:hAnsi="Times New Roman"/>
                <w:b/>
                <w:caps/>
                <w:sz w:val="19"/>
                <w:szCs w:val="19"/>
              </w:rPr>
              <w:t>z prevádzky alebo z leteckých činností</w:t>
            </w:r>
            <w:r w:rsidRPr="00135DE3">
              <w:rPr>
                <w:rFonts w:ascii="Times New Roman" w:hAnsi="Times New Roman"/>
                <w:b/>
                <w:sz w:val="19"/>
                <w:szCs w:val="19"/>
              </w:rPr>
              <w:t xml:space="preserve"> POČAS  PREDCHÁDZAJÚCEHO KALENDÁRNEHO ROKA</w:t>
            </w:r>
          </w:p>
          <w:p w:rsidR="00135DE3" w:rsidRPr="00135DE3" w:rsidP="00135DE3">
            <w:pPr>
              <w:bidi w:val="0"/>
              <w:spacing w:after="0" w:line="240" w:lineRule="auto"/>
              <w:ind w:left="360"/>
              <w:contextualSpacing/>
              <w:jc w:val="both"/>
              <w:rPr>
                <w:rFonts w:ascii="Times New Roman" w:hAnsi="Times New Roman"/>
                <w:sz w:val="19"/>
                <w:szCs w:val="19"/>
              </w:rPr>
            </w:pPr>
          </w:p>
          <w:p w:rsidR="00135DE3" w:rsidRPr="00135DE3" w:rsidP="00135DE3">
            <w:pPr>
              <w:numPr>
                <w:numId w:val="25"/>
              </w:numPr>
              <w:bidi w:val="0"/>
              <w:spacing w:after="0" w:line="240" w:lineRule="auto"/>
              <w:contextualSpacing/>
              <w:rPr>
                <w:rFonts w:ascii="Times New Roman" w:hAnsi="Times New Roman"/>
                <w:sz w:val="19"/>
                <w:szCs w:val="19"/>
              </w:rPr>
            </w:pPr>
            <w:r w:rsidRPr="00135DE3">
              <w:rPr>
                <w:rFonts w:ascii="Times New Roman" w:hAnsi="Times New Roman"/>
                <w:b/>
                <w:sz w:val="19"/>
                <w:szCs w:val="19"/>
              </w:rPr>
              <w:t>Všeobecné zásady</w:t>
            </w:r>
          </w:p>
          <w:p w:rsidR="00135DE3" w:rsidRPr="00135DE3" w:rsidP="00135DE3">
            <w:pPr>
              <w:bidi w:val="0"/>
              <w:spacing w:after="0" w:line="240" w:lineRule="auto"/>
              <w:ind w:left="720"/>
              <w:contextualSpacing/>
              <w:rPr>
                <w:rFonts w:ascii="Times New Roman" w:hAnsi="Times New Roman"/>
                <w:sz w:val="19"/>
                <w:szCs w:val="19"/>
              </w:rPr>
            </w:pPr>
          </w:p>
          <w:p w:rsidR="00135DE3" w:rsidRPr="00135DE3" w:rsidP="004D08E9">
            <w:pPr>
              <w:numPr>
                <w:numId w:val="24"/>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Predmetom overovania sú emisie z každej činností uvedených v prílohe č. 1 tabuľkách A, B a D.</w:t>
            </w:r>
          </w:p>
          <w:p w:rsidR="00135DE3" w:rsidRPr="00135DE3" w:rsidP="004D08E9">
            <w:pPr>
              <w:bidi w:val="0"/>
              <w:spacing w:after="0" w:line="240" w:lineRule="auto"/>
              <w:ind w:left="12"/>
              <w:contextualSpacing/>
              <w:jc w:val="both"/>
              <w:rPr>
                <w:rFonts w:ascii="Times New Roman" w:hAnsi="Times New Roman"/>
                <w:sz w:val="19"/>
                <w:szCs w:val="19"/>
              </w:rPr>
            </w:pPr>
          </w:p>
          <w:p w:rsidR="00135DE3" w:rsidRPr="00135DE3" w:rsidP="004D08E9">
            <w:pPr>
              <w:numPr>
                <w:numId w:val="24"/>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Proces overovania obsahuje posúdenie správy podľa § 21 ods. 1 písm. a) a § 21 ods. 2 písm</w:t>
            </w:r>
            <w:r w:rsidR="007E1C74">
              <w:rPr>
                <w:rFonts w:ascii="Times New Roman" w:hAnsi="Times New Roman"/>
                <w:sz w:val="19"/>
                <w:szCs w:val="19"/>
              </w:rPr>
              <w:t xml:space="preserve">. a)  a posúdenie monitorovania </w:t>
            </w:r>
            <w:r w:rsidRPr="00135DE3">
              <w:rPr>
                <w:rFonts w:ascii="Times New Roman" w:hAnsi="Times New Roman"/>
                <w:sz w:val="19"/>
                <w:szCs w:val="19"/>
              </w:rPr>
              <w:t>počas predchádzajúceho kalendárneho roku. Overuje sa spoľahlivosť, dôveryhodnosť a presnosť monitorovaných systémov a podávaných</w:t>
            </w:r>
            <w:r w:rsidRPr="00135DE3">
              <w:rPr>
                <w:rFonts w:ascii="Times New Roman" w:hAnsi="Times New Roman"/>
                <w:color w:val="FF0000"/>
                <w:sz w:val="19"/>
                <w:szCs w:val="19"/>
              </w:rPr>
              <w:t xml:space="preserve"> </w:t>
            </w:r>
            <w:r w:rsidRPr="00135DE3">
              <w:rPr>
                <w:rFonts w:ascii="Times New Roman" w:hAnsi="Times New Roman"/>
                <w:sz w:val="19"/>
                <w:szCs w:val="19"/>
              </w:rPr>
              <w:t>údajov a informácií, ktoré sa týkajú emisií, najmä:</w:t>
            </w:r>
          </w:p>
          <w:p w:rsidR="00135DE3" w:rsidRPr="00135DE3" w:rsidP="004D08E9">
            <w:pPr>
              <w:bidi w:val="0"/>
              <w:spacing w:after="0" w:line="240" w:lineRule="auto"/>
              <w:ind w:left="372"/>
              <w:contextualSpacing/>
              <w:rPr>
                <w:rFonts w:ascii="Times New Roman" w:hAnsi="Times New Roman"/>
                <w:sz w:val="19"/>
                <w:szCs w:val="19"/>
              </w:rPr>
            </w:pPr>
          </w:p>
          <w:p w:rsidR="00135DE3" w:rsidRPr="00135DE3" w:rsidP="004D08E9">
            <w:pPr>
              <w:numPr>
                <w:ilvl w:val="1"/>
                <w:numId w:val="24"/>
              </w:numPr>
              <w:bidi w:val="0"/>
              <w:spacing w:after="0" w:line="240" w:lineRule="auto"/>
              <w:ind w:left="1152"/>
              <w:contextualSpacing/>
              <w:jc w:val="both"/>
              <w:rPr>
                <w:rFonts w:ascii="Times New Roman" w:hAnsi="Times New Roman"/>
                <w:sz w:val="19"/>
                <w:szCs w:val="19"/>
              </w:rPr>
            </w:pPr>
            <w:r w:rsidRPr="00135DE3">
              <w:rPr>
                <w:rFonts w:ascii="Times New Roman" w:hAnsi="Times New Roman"/>
                <w:sz w:val="19"/>
                <w:szCs w:val="19"/>
              </w:rPr>
              <w:t>údajov o činnosti, ktorých sa správa týka a súvisiace merania a výpočty,</w:t>
            </w:r>
          </w:p>
          <w:p w:rsidR="00135DE3" w:rsidRPr="00135DE3" w:rsidP="004D08E9">
            <w:pPr>
              <w:numPr>
                <w:ilvl w:val="1"/>
                <w:numId w:val="24"/>
              </w:numPr>
              <w:bidi w:val="0"/>
              <w:spacing w:after="0" w:line="240" w:lineRule="auto"/>
              <w:ind w:left="1152"/>
              <w:contextualSpacing/>
              <w:jc w:val="both"/>
              <w:rPr>
                <w:rFonts w:ascii="Times New Roman" w:hAnsi="Times New Roman"/>
                <w:sz w:val="19"/>
                <w:szCs w:val="19"/>
              </w:rPr>
            </w:pPr>
            <w:r w:rsidRPr="00135DE3">
              <w:rPr>
                <w:rFonts w:ascii="Times New Roman" w:hAnsi="Times New Roman"/>
                <w:sz w:val="19"/>
                <w:szCs w:val="19"/>
              </w:rPr>
              <w:t>výberu a použitia emisných faktorov,</w:t>
            </w:r>
          </w:p>
          <w:p w:rsidR="00135DE3" w:rsidRPr="00135DE3" w:rsidP="004D08E9">
            <w:pPr>
              <w:numPr>
                <w:ilvl w:val="1"/>
                <w:numId w:val="24"/>
              </w:numPr>
              <w:bidi w:val="0"/>
              <w:spacing w:after="0" w:line="240" w:lineRule="auto"/>
              <w:ind w:left="1152"/>
              <w:contextualSpacing/>
              <w:jc w:val="both"/>
              <w:rPr>
                <w:rFonts w:ascii="Times New Roman" w:hAnsi="Times New Roman"/>
                <w:sz w:val="19"/>
                <w:szCs w:val="19"/>
              </w:rPr>
            </w:pPr>
            <w:r w:rsidRPr="00135DE3">
              <w:rPr>
                <w:rFonts w:ascii="Times New Roman" w:hAnsi="Times New Roman"/>
                <w:sz w:val="19"/>
                <w:szCs w:val="19"/>
              </w:rPr>
              <w:t>výpočtov, ktoré viedli k určeniu celkových emisií a</w:t>
            </w:r>
          </w:p>
          <w:p w:rsidR="00135DE3" w:rsidRPr="00135DE3" w:rsidP="004D08E9">
            <w:pPr>
              <w:numPr>
                <w:ilvl w:val="1"/>
                <w:numId w:val="24"/>
              </w:numPr>
              <w:bidi w:val="0"/>
              <w:spacing w:after="0" w:line="240" w:lineRule="auto"/>
              <w:ind w:left="1152"/>
              <w:contextualSpacing/>
              <w:jc w:val="both"/>
              <w:rPr>
                <w:rFonts w:ascii="Times New Roman" w:hAnsi="Times New Roman"/>
                <w:sz w:val="19"/>
                <w:szCs w:val="19"/>
              </w:rPr>
            </w:pPr>
            <w:r w:rsidRPr="00135DE3">
              <w:rPr>
                <w:rFonts w:ascii="Times New Roman" w:hAnsi="Times New Roman"/>
                <w:sz w:val="19"/>
                <w:szCs w:val="19"/>
              </w:rPr>
              <w:t>ak sa používa meranie, vhodnosť výberu a použitia meracích metód.</w:t>
            </w:r>
          </w:p>
          <w:p w:rsidR="00135DE3" w:rsidRPr="00135DE3" w:rsidP="004D08E9">
            <w:pPr>
              <w:bidi w:val="0"/>
              <w:spacing w:after="0" w:line="240" w:lineRule="auto"/>
              <w:ind w:left="720"/>
              <w:contextualSpacing/>
              <w:jc w:val="both"/>
              <w:rPr>
                <w:rFonts w:ascii="Times New Roman" w:hAnsi="Times New Roman"/>
                <w:sz w:val="19"/>
                <w:szCs w:val="19"/>
              </w:rPr>
            </w:pPr>
          </w:p>
          <w:p w:rsidR="00135DE3" w:rsidRPr="00135DE3" w:rsidP="004D08E9">
            <w:pPr>
              <w:numPr>
                <w:numId w:val="24"/>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Platnosť emisií sa potvrdzuje, len ak spoľahlivosť a dôveryhodnosť údajov a informácií umožňuje určiť emisie s vysokým stupňom istoty. Pre vysoký stupeň istoty sa vyžaduje, aby prevádzkovateľ  alebo prevádzkovateľ lietadla dokázal, že</w:t>
            </w:r>
          </w:p>
          <w:p w:rsidR="00135DE3" w:rsidRPr="00135DE3" w:rsidP="004D08E9">
            <w:pPr>
              <w:bidi w:val="0"/>
              <w:spacing w:after="0" w:line="240" w:lineRule="auto"/>
              <w:ind w:left="720"/>
              <w:contextualSpacing/>
              <w:jc w:val="both"/>
              <w:rPr>
                <w:rFonts w:ascii="Times New Roman" w:hAnsi="Times New Roman"/>
                <w:sz w:val="19"/>
                <w:szCs w:val="19"/>
              </w:rPr>
            </w:pPr>
          </w:p>
          <w:p w:rsidR="00135DE3" w:rsidRPr="00135DE3" w:rsidP="004D08E9">
            <w:pPr>
              <w:numPr>
                <w:ilvl w:val="1"/>
                <w:numId w:val="24"/>
              </w:numPr>
              <w:bidi w:val="0"/>
              <w:spacing w:after="0" w:line="240" w:lineRule="auto"/>
              <w:ind w:left="1152"/>
              <w:contextualSpacing/>
              <w:jc w:val="both"/>
              <w:rPr>
                <w:rFonts w:ascii="Times New Roman" w:hAnsi="Times New Roman"/>
                <w:sz w:val="19"/>
                <w:szCs w:val="19"/>
              </w:rPr>
            </w:pPr>
            <w:r w:rsidRPr="00135DE3">
              <w:rPr>
                <w:rFonts w:ascii="Times New Roman" w:hAnsi="Times New Roman"/>
                <w:sz w:val="19"/>
                <w:szCs w:val="19"/>
              </w:rPr>
              <w:t>oznamované údaje sú bez nezrovnalostí,</w:t>
            </w:r>
          </w:p>
          <w:p w:rsidR="00135DE3" w:rsidRPr="00135DE3" w:rsidP="004D08E9">
            <w:pPr>
              <w:numPr>
                <w:ilvl w:val="1"/>
                <w:numId w:val="24"/>
              </w:numPr>
              <w:bidi w:val="0"/>
              <w:spacing w:after="0" w:line="240" w:lineRule="auto"/>
              <w:ind w:left="1152"/>
              <w:contextualSpacing/>
              <w:jc w:val="both"/>
              <w:rPr>
                <w:rFonts w:ascii="Times New Roman" w:hAnsi="Times New Roman"/>
                <w:sz w:val="19"/>
                <w:szCs w:val="19"/>
              </w:rPr>
            </w:pPr>
            <w:r w:rsidRPr="00135DE3">
              <w:rPr>
                <w:rFonts w:ascii="Times New Roman" w:hAnsi="Times New Roman"/>
                <w:sz w:val="19"/>
                <w:szCs w:val="19"/>
              </w:rPr>
              <w:t>zber údajov sa vykonal v súlade s aplikovateľnými vedeckými normami a</w:t>
            </w:r>
          </w:p>
          <w:p w:rsidR="00135DE3" w:rsidRPr="00135DE3" w:rsidP="004D08E9">
            <w:pPr>
              <w:numPr>
                <w:ilvl w:val="1"/>
                <w:numId w:val="24"/>
              </w:numPr>
              <w:bidi w:val="0"/>
              <w:spacing w:after="0" w:line="240" w:lineRule="auto"/>
              <w:ind w:left="1152"/>
              <w:contextualSpacing/>
              <w:jc w:val="both"/>
              <w:rPr>
                <w:rFonts w:ascii="Times New Roman" w:hAnsi="Times New Roman"/>
                <w:sz w:val="19"/>
                <w:szCs w:val="19"/>
              </w:rPr>
            </w:pPr>
            <w:r w:rsidRPr="00135DE3">
              <w:rPr>
                <w:rFonts w:ascii="Times New Roman" w:hAnsi="Times New Roman"/>
                <w:sz w:val="19"/>
                <w:szCs w:val="19"/>
              </w:rPr>
              <w:t>relevantné záznamy o prevádzke alebo záznamy o lietadle používané na vykonávanie činností leteckej dopravy sú úplné a konzistentné.</w:t>
            </w:r>
          </w:p>
          <w:p w:rsidR="00135DE3" w:rsidRPr="00135DE3" w:rsidP="004D08E9">
            <w:pPr>
              <w:bidi w:val="0"/>
              <w:spacing w:after="0" w:line="240" w:lineRule="auto"/>
              <w:ind w:left="720"/>
              <w:contextualSpacing/>
              <w:jc w:val="both"/>
              <w:rPr>
                <w:rFonts w:ascii="Times New Roman" w:hAnsi="Times New Roman"/>
                <w:sz w:val="19"/>
                <w:szCs w:val="19"/>
              </w:rPr>
            </w:pPr>
          </w:p>
          <w:p w:rsidR="00135DE3" w:rsidRPr="00135DE3" w:rsidP="004D08E9">
            <w:pPr>
              <w:numPr>
                <w:numId w:val="24"/>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Overovateľ pri overovaní musí mať prístup do všetkých častí prevádzky a ku všetkým informáciám, ktoré sa týkajú objektu overovania.</w:t>
            </w:r>
          </w:p>
          <w:p w:rsidR="00135DE3" w:rsidRPr="00135DE3" w:rsidP="004D08E9">
            <w:pPr>
              <w:bidi w:val="0"/>
              <w:spacing w:after="0" w:line="240" w:lineRule="auto"/>
              <w:ind w:left="372"/>
              <w:contextualSpacing/>
              <w:jc w:val="both"/>
              <w:rPr>
                <w:rFonts w:ascii="Times New Roman" w:hAnsi="Times New Roman"/>
                <w:sz w:val="19"/>
                <w:szCs w:val="19"/>
              </w:rPr>
            </w:pPr>
          </w:p>
          <w:p w:rsidR="00135DE3" w:rsidP="004D08E9">
            <w:pPr>
              <w:numPr>
                <w:numId w:val="24"/>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Overovateľ pri overovaní zohľadňuje, či je prevádzka  alebo prevádzkovateľ lietadla registrovaný v systéme environmentálneho manažérstva a auditu spoločenstva (EMAS).</w:t>
            </w:r>
          </w:p>
          <w:p w:rsidR="004D08E9" w:rsidP="004D08E9">
            <w:pPr>
              <w:pStyle w:val="ListParagraph"/>
              <w:bidi w:val="0"/>
              <w:spacing w:after="0" w:line="240" w:lineRule="auto"/>
              <w:rPr>
                <w:rFonts w:ascii="Times New Roman" w:hAnsi="Times New Roman"/>
                <w:sz w:val="19"/>
                <w:szCs w:val="19"/>
              </w:rPr>
            </w:pPr>
          </w:p>
          <w:p w:rsidR="00135DE3" w:rsidRPr="00135DE3" w:rsidP="004D08E9">
            <w:pPr>
              <w:numPr>
                <w:numId w:val="25"/>
              </w:numPr>
              <w:bidi w:val="0"/>
              <w:spacing w:after="0" w:line="240" w:lineRule="auto"/>
              <w:contextualSpacing/>
              <w:rPr>
                <w:rFonts w:ascii="Times New Roman" w:hAnsi="Times New Roman"/>
                <w:b/>
                <w:sz w:val="19"/>
                <w:szCs w:val="19"/>
              </w:rPr>
            </w:pPr>
            <w:r w:rsidRPr="00135DE3">
              <w:rPr>
                <w:rFonts w:ascii="Times New Roman" w:hAnsi="Times New Roman"/>
                <w:b/>
                <w:sz w:val="19"/>
                <w:szCs w:val="19"/>
              </w:rPr>
              <w:t>Metodológia</w:t>
            </w:r>
          </w:p>
          <w:p w:rsidR="00135DE3" w:rsidRPr="00135DE3" w:rsidP="00135DE3">
            <w:pPr>
              <w:bidi w:val="0"/>
              <w:spacing w:after="0" w:line="240" w:lineRule="auto"/>
              <w:ind w:left="720"/>
              <w:contextualSpacing/>
              <w:jc w:val="both"/>
              <w:rPr>
                <w:rFonts w:ascii="Times New Roman" w:hAnsi="Times New Roman"/>
                <w:sz w:val="19"/>
                <w:szCs w:val="19"/>
              </w:rPr>
            </w:pPr>
          </w:p>
          <w:p w:rsidR="00135DE3" w:rsidRPr="00135DE3" w:rsidP="004D08E9">
            <w:pPr>
              <w:numPr>
                <w:numId w:val="26"/>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 xml:space="preserve">Strategická analýza </w:t>
            </w:r>
          </w:p>
          <w:p w:rsidR="00135DE3" w:rsidRPr="00135DE3" w:rsidP="004D08E9">
            <w:pPr>
              <w:bidi w:val="0"/>
              <w:spacing w:after="0" w:line="240" w:lineRule="auto"/>
              <w:jc w:val="both"/>
              <w:rPr>
                <w:rFonts w:ascii="Times New Roman" w:hAnsi="Times New Roman"/>
                <w:sz w:val="19"/>
                <w:szCs w:val="19"/>
              </w:rPr>
            </w:pPr>
          </w:p>
          <w:p w:rsidR="00135DE3" w:rsidRPr="00135DE3" w:rsidP="004D08E9">
            <w:pPr>
              <w:bidi w:val="0"/>
              <w:spacing w:after="0" w:line="240" w:lineRule="auto"/>
              <w:ind w:left="720"/>
              <w:jc w:val="both"/>
              <w:rPr>
                <w:rFonts w:ascii="Times New Roman" w:hAnsi="Times New Roman"/>
                <w:sz w:val="19"/>
                <w:szCs w:val="19"/>
              </w:rPr>
            </w:pPr>
            <w:r w:rsidRPr="00135DE3">
              <w:rPr>
                <w:rFonts w:ascii="Times New Roman" w:hAnsi="Times New Roman"/>
                <w:sz w:val="19"/>
                <w:szCs w:val="19"/>
              </w:rPr>
              <w:t>Overovanie je  založené na strategickej analýze všetkých činností, ktoré sa  vykonávajú v prevádzke alebo činnosti leteckej dopravy zahrnuté do správy, ktoré vykonáva prevádzkovateľ lietadla. Overovateľ musí mať prehľad o všetkých činnostiach a ich význame vzhľadom k emisiám.</w:t>
            </w:r>
          </w:p>
          <w:p w:rsidR="00135DE3" w:rsidRPr="00135DE3" w:rsidP="004D08E9">
            <w:pPr>
              <w:bidi w:val="0"/>
              <w:spacing w:after="0" w:line="240" w:lineRule="auto"/>
              <w:jc w:val="both"/>
              <w:rPr>
                <w:rFonts w:ascii="Times New Roman" w:hAnsi="Times New Roman"/>
                <w:sz w:val="19"/>
                <w:szCs w:val="19"/>
              </w:rPr>
            </w:pPr>
          </w:p>
          <w:p w:rsidR="00135DE3" w:rsidP="004D08E9">
            <w:pPr>
              <w:numPr>
                <w:numId w:val="26"/>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Analýza procesov</w:t>
            </w:r>
          </w:p>
          <w:p w:rsidR="007E1C74" w:rsidRPr="00135DE3" w:rsidP="007E1C74">
            <w:pPr>
              <w:bidi w:val="0"/>
              <w:spacing w:after="0" w:line="240" w:lineRule="auto"/>
              <w:ind w:left="720"/>
              <w:contextualSpacing/>
              <w:jc w:val="both"/>
              <w:rPr>
                <w:rFonts w:ascii="Times New Roman" w:hAnsi="Times New Roman"/>
                <w:sz w:val="19"/>
                <w:szCs w:val="19"/>
              </w:rPr>
            </w:pPr>
          </w:p>
          <w:p w:rsidR="00135DE3" w:rsidRPr="00135DE3" w:rsidP="004D08E9">
            <w:pPr>
              <w:bidi w:val="0"/>
              <w:spacing w:after="0" w:line="240" w:lineRule="auto"/>
              <w:ind w:left="720"/>
              <w:jc w:val="both"/>
              <w:rPr>
                <w:rFonts w:ascii="Times New Roman" w:hAnsi="Times New Roman"/>
                <w:sz w:val="19"/>
                <w:szCs w:val="19"/>
              </w:rPr>
            </w:pPr>
            <w:r w:rsidRPr="00135DE3">
              <w:rPr>
                <w:rFonts w:ascii="Times New Roman" w:hAnsi="Times New Roman"/>
                <w:sz w:val="19"/>
                <w:szCs w:val="19"/>
              </w:rPr>
              <w:t xml:space="preserve">Overovanie podaných informácií sa uskutočňuje tam, kde je to vhodné, najmä v prevádzke alebo v priestoroch, ktoré používa prevádzkovateľ lietadla na vykonávanie činností leteckej dopravy zahrnutých do správy. Na určenie spoľahlivosti oznamovaných údajov a informácií sa použijú náhodné kontroly na mieste. </w:t>
            </w:r>
          </w:p>
          <w:p w:rsidR="00135DE3" w:rsidRPr="00135DE3" w:rsidP="004D08E9">
            <w:pPr>
              <w:bidi w:val="0"/>
              <w:spacing w:after="0" w:line="240" w:lineRule="auto"/>
              <w:ind w:left="372"/>
              <w:contextualSpacing/>
              <w:jc w:val="both"/>
              <w:rPr>
                <w:rFonts w:ascii="Times New Roman" w:hAnsi="Times New Roman"/>
                <w:sz w:val="19"/>
                <w:szCs w:val="19"/>
              </w:rPr>
            </w:pPr>
          </w:p>
          <w:p w:rsidR="00135DE3" w:rsidP="007E1C74">
            <w:pPr>
              <w:numPr>
                <w:numId w:val="26"/>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Analýza rizika</w:t>
            </w:r>
          </w:p>
          <w:p w:rsidR="007E1C74" w:rsidRPr="00135DE3" w:rsidP="007E1C74">
            <w:pPr>
              <w:bidi w:val="0"/>
              <w:spacing w:after="0" w:line="240" w:lineRule="auto"/>
              <w:ind w:left="720"/>
              <w:contextualSpacing/>
              <w:jc w:val="both"/>
              <w:rPr>
                <w:rFonts w:ascii="Times New Roman" w:hAnsi="Times New Roman"/>
                <w:sz w:val="19"/>
                <w:szCs w:val="19"/>
              </w:rPr>
            </w:pPr>
          </w:p>
          <w:p w:rsidR="00135DE3" w:rsidRPr="00135DE3" w:rsidP="004D08E9">
            <w:pPr>
              <w:numPr>
                <w:ilvl w:val="1"/>
                <w:numId w:val="27"/>
              </w:numPr>
              <w:bidi w:val="0"/>
              <w:spacing w:after="0" w:line="240" w:lineRule="auto"/>
              <w:ind w:left="1080"/>
              <w:contextualSpacing/>
              <w:jc w:val="both"/>
              <w:rPr>
                <w:rFonts w:ascii="Times New Roman" w:hAnsi="Times New Roman"/>
                <w:sz w:val="19"/>
                <w:szCs w:val="19"/>
              </w:rPr>
            </w:pPr>
            <w:r w:rsidRPr="00135DE3">
              <w:rPr>
                <w:rFonts w:ascii="Times New Roman" w:hAnsi="Times New Roman"/>
                <w:sz w:val="19"/>
                <w:szCs w:val="19"/>
              </w:rPr>
              <w:t xml:space="preserve">Všetky zdroje emisií skleníkových plynov v prevádzke alebo v lietadle, za ktoré zodpovedá prevádzkovateľ lietadla, zašlú </w:t>
            </w:r>
            <w:r w:rsidR="0044147D">
              <w:rPr>
                <w:rFonts w:ascii="Times New Roman" w:hAnsi="Times New Roman"/>
                <w:sz w:val="19"/>
                <w:szCs w:val="19"/>
              </w:rPr>
              <w:t xml:space="preserve">prevádzkovateľ a prevádzkovateľ lietadla </w:t>
            </w:r>
            <w:r w:rsidRPr="00135DE3">
              <w:rPr>
                <w:rFonts w:ascii="Times New Roman" w:hAnsi="Times New Roman"/>
                <w:sz w:val="19"/>
                <w:szCs w:val="19"/>
              </w:rPr>
              <w:t>na ohodnotenie, ktorým sa overuje spoľahlivosť údajov za každý zdroj, ktorý  prispieva k celkovým emisiám prevádzky alebo lietadla.</w:t>
            </w:r>
          </w:p>
          <w:p w:rsidR="00135DE3" w:rsidRPr="00135DE3" w:rsidP="004D08E9">
            <w:pPr>
              <w:numPr>
                <w:ilvl w:val="1"/>
                <w:numId w:val="27"/>
              </w:numPr>
              <w:bidi w:val="0"/>
              <w:spacing w:after="0" w:line="240" w:lineRule="auto"/>
              <w:ind w:left="1080"/>
              <w:contextualSpacing/>
              <w:jc w:val="both"/>
              <w:rPr>
                <w:rFonts w:ascii="Times New Roman" w:hAnsi="Times New Roman"/>
                <w:sz w:val="19"/>
                <w:szCs w:val="19"/>
              </w:rPr>
            </w:pPr>
            <w:r w:rsidRPr="00135DE3">
              <w:rPr>
                <w:rFonts w:ascii="Times New Roman" w:hAnsi="Times New Roman"/>
                <w:sz w:val="19"/>
                <w:szCs w:val="19"/>
              </w:rPr>
              <w:t>Na základe analýzy sa určujú explicitné zdroje a lietadlá, za ktoré zodpovedá prevádzkovateľ lietadla, s vysokým rizikom chyby a ďalšie aspekty monitorovania a podávania správ, ktoré pravdepodobne môžu prispieť pri určovaní celkových emisií. Toto zahŕňa výber emisných faktorov a výpočty potrebné na určenie emisií z jednotlivých zdrojov a lietadiel. Zvláštnu pozornosť treba venovať zdrojom a lietadlám s vysokým rizikom chyby a hore uvedeným aspektom monitorovacieho postupu.</w:t>
            </w:r>
          </w:p>
          <w:p w:rsidR="00135DE3" w:rsidRPr="00135DE3" w:rsidP="004D08E9">
            <w:pPr>
              <w:numPr>
                <w:ilvl w:val="1"/>
                <w:numId w:val="27"/>
              </w:numPr>
              <w:bidi w:val="0"/>
              <w:spacing w:after="0" w:line="240" w:lineRule="auto"/>
              <w:ind w:left="1080"/>
              <w:contextualSpacing/>
              <w:jc w:val="both"/>
              <w:rPr>
                <w:rFonts w:ascii="Times New Roman" w:hAnsi="Times New Roman"/>
                <w:sz w:val="19"/>
                <w:szCs w:val="19"/>
              </w:rPr>
            </w:pPr>
            <w:r w:rsidR="0044147D">
              <w:rPr>
                <w:rFonts w:ascii="Times New Roman" w:hAnsi="Times New Roman"/>
                <w:sz w:val="19"/>
                <w:szCs w:val="19"/>
              </w:rPr>
              <w:t xml:space="preserve">Možno použiť každú účinnú metódu </w:t>
            </w:r>
            <w:r w:rsidRPr="00135DE3">
              <w:rPr>
                <w:rFonts w:ascii="Times New Roman" w:hAnsi="Times New Roman"/>
                <w:sz w:val="19"/>
                <w:szCs w:val="19"/>
              </w:rPr>
              <w:t>kontroly rizika, ktorú používa prevádzkovateľ alebo prevádzkovateľ lietadla</w:t>
            </w:r>
            <w:r w:rsidR="0044147D">
              <w:rPr>
                <w:rFonts w:ascii="Times New Roman" w:hAnsi="Times New Roman"/>
                <w:sz w:val="19"/>
                <w:szCs w:val="19"/>
              </w:rPr>
              <w:t xml:space="preserve"> používa</w:t>
            </w:r>
            <w:r w:rsidRPr="00135DE3">
              <w:rPr>
                <w:rFonts w:ascii="Times New Roman" w:hAnsi="Times New Roman"/>
                <w:sz w:val="19"/>
                <w:szCs w:val="19"/>
              </w:rPr>
              <w:t>, s cieľom minimalizovať stupeň neistoty.</w:t>
            </w:r>
            <w:r w:rsidRPr="00135DE3">
              <w:rPr>
                <w:rFonts w:ascii="Times New Roman" w:hAnsi="Times New Roman"/>
                <w:sz w:val="19"/>
                <w:szCs w:val="19"/>
                <w:vertAlign w:val="superscript"/>
              </w:rPr>
              <w:t>1</w:t>
            </w:r>
            <w:r w:rsidRPr="00135DE3">
              <w:rPr>
                <w:rFonts w:ascii="Times New Roman" w:hAnsi="Times New Roman"/>
                <w:sz w:val="19"/>
                <w:szCs w:val="19"/>
              </w:rPr>
              <w:t>)</w:t>
            </w:r>
          </w:p>
          <w:p w:rsidR="00135DE3" w:rsidRPr="00135DE3" w:rsidP="004D08E9">
            <w:pPr>
              <w:bidi w:val="0"/>
              <w:spacing w:after="0" w:line="240" w:lineRule="auto"/>
              <w:ind w:left="372"/>
              <w:contextualSpacing/>
              <w:rPr>
                <w:rFonts w:ascii="Times New Roman" w:hAnsi="Times New Roman"/>
                <w:sz w:val="19"/>
                <w:szCs w:val="19"/>
              </w:rPr>
            </w:pPr>
          </w:p>
          <w:p w:rsidR="00135DE3" w:rsidP="007E1C74">
            <w:pPr>
              <w:numPr>
                <w:numId w:val="26"/>
              </w:numPr>
              <w:bidi w:val="0"/>
              <w:spacing w:after="0" w:line="240" w:lineRule="auto"/>
              <w:ind w:left="720"/>
              <w:contextualSpacing/>
              <w:jc w:val="both"/>
              <w:rPr>
                <w:rFonts w:ascii="Times New Roman" w:hAnsi="Times New Roman"/>
                <w:sz w:val="19"/>
                <w:szCs w:val="19"/>
              </w:rPr>
            </w:pPr>
            <w:r w:rsidRPr="00135DE3">
              <w:rPr>
                <w:rFonts w:ascii="Times New Roman" w:hAnsi="Times New Roman"/>
                <w:sz w:val="19"/>
                <w:szCs w:val="19"/>
              </w:rPr>
              <w:t>Správa</w:t>
            </w:r>
          </w:p>
          <w:p w:rsidR="007E1C74" w:rsidRPr="00135DE3" w:rsidP="007E1C74">
            <w:pPr>
              <w:bidi w:val="0"/>
              <w:spacing w:after="0" w:line="240" w:lineRule="auto"/>
              <w:ind w:left="720"/>
              <w:contextualSpacing/>
              <w:jc w:val="both"/>
              <w:rPr>
                <w:rFonts w:ascii="Times New Roman" w:hAnsi="Times New Roman"/>
                <w:sz w:val="19"/>
                <w:szCs w:val="19"/>
              </w:rPr>
            </w:pPr>
          </w:p>
          <w:p w:rsidR="00135DE3" w:rsidRPr="00135DE3" w:rsidP="004D08E9">
            <w:pPr>
              <w:bidi w:val="0"/>
              <w:spacing w:after="0" w:line="240" w:lineRule="auto"/>
              <w:ind w:left="720"/>
              <w:jc w:val="both"/>
              <w:rPr>
                <w:rFonts w:ascii="Times New Roman" w:hAnsi="Times New Roman"/>
                <w:sz w:val="19"/>
                <w:szCs w:val="19"/>
              </w:rPr>
            </w:pPr>
            <w:r w:rsidRPr="00135DE3">
              <w:rPr>
                <w:rFonts w:ascii="Times New Roman" w:hAnsi="Times New Roman"/>
                <w:sz w:val="19"/>
                <w:szCs w:val="19"/>
              </w:rPr>
              <w:t>V správe o procese potvrdzovania platnosti sa  uvedie, či je správa podľa § 21 ods. 1 písm. a) alebo § 21 ods. 2 písm. a)  správna. V správe sa uvedú všetky okruhy relevantné pre vykonanú prácu. Potvrdiť, že správa podľa § 21 ods. 1 písm. a) alebo § 21 ods. 2 písm. a)  je správna, možno, ak podľa názoru overovateľa nie sú celkové emisie materiálne nesprávne uvedené.</w:t>
            </w:r>
          </w:p>
          <w:p w:rsidR="00135DE3" w:rsidRPr="00135DE3" w:rsidP="004D08E9">
            <w:pPr>
              <w:bidi w:val="0"/>
              <w:spacing w:after="0" w:line="240" w:lineRule="auto"/>
              <w:ind w:left="372"/>
              <w:contextualSpacing/>
              <w:jc w:val="both"/>
              <w:rPr>
                <w:rFonts w:ascii="Times New Roman" w:hAnsi="Times New Roman"/>
                <w:sz w:val="19"/>
                <w:szCs w:val="19"/>
              </w:rPr>
            </w:pPr>
          </w:p>
          <w:p w:rsidR="00135DE3" w:rsidP="007E1C74">
            <w:pPr>
              <w:numPr>
                <w:numId w:val="26"/>
              </w:numPr>
              <w:bidi w:val="0"/>
              <w:spacing w:after="0" w:line="240" w:lineRule="auto"/>
              <w:ind w:left="720"/>
              <w:contextualSpacing/>
              <w:jc w:val="both"/>
              <w:rPr>
                <w:rFonts w:ascii="Times New Roman" w:hAnsi="Times New Roman"/>
                <w:sz w:val="19"/>
                <w:szCs w:val="19"/>
              </w:rPr>
            </w:pPr>
            <w:r w:rsidR="004D08E9">
              <w:rPr>
                <w:rFonts w:ascii="Times New Roman" w:hAnsi="Times New Roman"/>
                <w:sz w:val="19"/>
                <w:szCs w:val="19"/>
              </w:rPr>
              <w:t xml:space="preserve">Minimálne požiadavky  </w:t>
            </w:r>
            <w:r w:rsidRPr="00135DE3">
              <w:rPr>
                <w:rFonts w:ascii="Times New Roman" w:hAnsi="Times New Roman"/>
                <w:sz w:val="19"/>
                <w:szCs w:val="19"/>
              </w:rPr>
              <w:t>na odbo</w:t>
            </w:r>
            <w:r w:rsidR="004D08E9">
              <w:rPr>
                <w:rFonts w:ascii="Times New Roman" w:hAnsi="Times New Roman"/>
                <w:sz w:val="19"/>
                <w:szCs w:val="19"/>
              </w:rPr>
              <w:t>rnú   spôsobilosť   overovateľa</w:t>
            </w:r>
          </w:p>
          <w:p w:rsidR="007E1C74" w:rsidRPr="00135DE3" w:rsidP="007E1C74">
            <w:pPr>
              <w:bidi w:val="0"/>
              <w:spacing w:after="0" w:line="240" w:lineRule="auto"/>
              <w:ind w:left="720"/>
              <w:contextualSpacing/>
              <w:jc w:val="both"/>
              <w:rPr>
                <w:rFonts w:ascii="Times New Roman" w:hAnsi="Times New Roman"/>
                <w:sz w:val="19"/>
                <w:szCs w:val="19"/>
              </w:rPr>
            </w:pPr>
          </w:p>
          <w:p w:rsidR="0044147D" w:rsidP="0044147D">
            <w:pPr>
              <w:bidi w:val="0"/>
              <w:spacing w:line="240" w:lineRule="auto"/>
              <w:ind w:left="720"/>
              <w:jc w:val="both"/>
              <w:rPr>
                <w:rFonts w:ascii="Times New Roman" w:hAnsi="Times New Roman"/>
                <w:sz w:val="19"/>
                <w:szCs w:val="19"/>
              </w:rPr>
            </w:pPr>
            <w:r w:rsidRPr="00135DE3" w:rsidR="00135DE3">
              <w:rPr>
                <w:rFonts w:ascii="Times New Roman" w:hAnsi="Times New Roman"/>
                <w:sz w:val="19"/>
                <w:szCs w:val="19"/>
              </w:rPr>
              <w:t>Overovateľ je nezávislý od prevádzkovateľa alebo prevádzkovateľa lietadla, vykonáva svoje činnosti správnym a objektívne profesionálnym spôsobom a</w:t>
            </w:r>
            <w:r>
              <w:rPr>
                <w:rFonts w:ascii="Times New Roman" w:hAnsi="Times New Roman"/>
                <w:sz w:val="19"/>
                <w:szCs w:val="19"/>
              </w:rPr>
              <w:t> pozná</w:t>
            </w:r>
          </w:p>
          <w:p w:rsidR="0044147D" w:rsidP="0044147D">
            <w:pPr>
              <w:bidi w:val="0"/>
              <w:spacing w:line="240" w:lineRule="auto"/>
              <w:ind w:left="720"/>
              <w:jc w:val="both"/>
              <w:rPr>
                <w:rFonts w:ascii="Times New Roman" w:hAnsi="Times New Roman"/>
                <w:sz w:val="19"/>
                <w:szCs w:val="19"/>
              </w:rPr>
            </w:pPr>
            <w:r w:rsidRPr="0044147D">
              <w:rPr>
                <w:rFonts w:ascii="Times New Roman" w:hAnsi="Times New Roman"/>
                <w:sz w:val="19"/>
                <w:szCs w:val="19"/>
              </w:rPr>
              <w:t>5.1</w:t>
              <w:tab/>
              <w:t>ustanovenia tohto zákona, ako aj relevantné normy a usmernenia  prijaté Komisiou podľa osobitného predpisu,</w:t>
            </w:r>
            <w:r w:rsidRPr="0044147D">
              <w:rPr>
                <w:rFonts w:ascii="Times New Roman" w:hAnsi="Times New Roman"/>
                <w:sz w:val="19"/>
                <w:szCs w:val="19"/>
                <w:vertAlign w:val="superscript"/>
              </w:rPr>
              <w:t>1</w:t>
            </w:r>
            <w:r w:rsidRPr="0044147D">
              <w:rPr>
                <w:rFonts w:ascii="Times New Roman" w:hAnsi="Times New Roman"/>
                <w:sz w:val="19"/>
                <w:szCs w:val="19"/>
              </w:rPr>
              <w:t>)</w:t>
            </w:r>
          </w:p>
          <w:p w:rsidR="0044147D" w:rsidP="0044147D">
            <w:pPr>
              <w:bidi w:val="0"/>
              <w:spacing w:line="240" w:lineRule="auto"/>
              <w:ind w:left="720"/>
              <w:jc w:val="both"/>
              <w:rPr>
                <w:rFonts w:ascii="Times New Roman" w:hAnsi="Times New Roman"/>
                <w:sz w:val="19"/>
                <w:szCs w:val="19"/>
              </w:rPr>
            </w:pPr>
            <w:r w:rsidRPr="0044147D">
              <w:rPr>
                <w:rFonts w:ascii="Times New Roman" w:hAnsi="Times New Roman"/>
                <w:sz w:val="19"/>
                <w:szCs w:val="19"/>
              </w:rPr>
              <w:t>5.2</w:t>
              <w:tab/>
              <w:t>legislatívne, regulačné a správne opatrenia pre overované činnosti a</w:t>
            </w:r>
          </w:p>
          <w:p w:rsidR="0044147D" w:rsidP="0044147D">
            <w:pPr>
              <w:bidi w:val="0"/>
              <w:spacing w:line="240" w:lineRule="auto"/>
              <w:ind w:left="720"/>
              <w:jc w:val="both"/>
              <w:rPr>
                <w:rFonts w:ascii="Times New Roman" w:hAnsi="Times New Roman"/>
                <w:sz w:val="19"/>
                <w:szCs w:val="19"/>
              </w:rPr>
            </w:pPr>
            <w:r w:rsidRPr="0044147D">
              <w:rPr>
                <w:rFonts w:ascii="Times New Roman" w:hAnsi="Times New Roman"/>
                <w:sz w:val="19"/>
                <w:szCs w:val="19"/>
              </w:rPr>
              <w:t>5.3</w:t>
              <w:tab/>
              <w:t>informácie týkajúce sa každého zdroja emisií, najmä ak ide o zber, meranie, výpočet údajov a podávanie správ o nich.</w:t>
            </w:r>
          </w:p>
          <w:p w:rsidR="00135DE3" w:rsidRPr="00135DE3" w:rsidP="00135DE3">
            <w:pPr>
              <w:numPr>
                <w:numId w:val="25"/>
              </w:numPr>
              <w:bidi w:val="0"/>
              <w:spacing w:after="0" w:line="240" w:lineRule="auto"/>
              <w:contextualSpacing/>
              <w:rPr>
                <w:rFonts w:ascii="Times New Roman" w:hAnsi="Times New Roman"/>
                <w:b/>
                <w:sz w:val="19"/>
                <w:szCs w:val="19"/>
              </w:rPr>
            </w:pPr>
            <w:r w:rsidRPr="00135DE3">
              <w:rPr>
                <w:rFonts w:ascii="Times New Roman" w:hAnsi="Times New Roman"/>
                <w:b/>
                <w:sz w:val="19"/>
                <w:szCs w:val="19"/>
              </w:rPr>
              <w:t xml:space="preserve">Osobitné zásady </w:t>
              <w:br/>
            </w:r>
          </w:p>
          <w:p w:rsidR="00135DE3" w:rsidRPr="00135DE3" w:rsidP="007E1C74">
            <w:pPr>
              <w:bidi w:val="0"/>
              <w:spacing w:after="0" w:line="240" w:lineRule="auto"/>
              <w:ind w:left="360"/>
              <w:rPr>
                <w:rFonts w:ascii="Times New Roman" w:hAnsi="Times New Roman"/>
                <w:sz w:val="19"/>
                <w:szCs w:val="19"/>
              </w:rPr>
            </w:pPr>
            <w:r w:rsidRPr="00135DE3">
              <w:rPr>
                <w:rFonts w:ascii="Times New Roman" w:hAnsi="Times New Roman"/>
                <w:sz w:val="19"/>
                <w:szCs w:val="19"/>
              </w:rPr>
              <w:t xml:space="preserve">Pri overovaní správ o emisiách z leteckej dopravy  </w:t>
            </w:r>
            <w:r w:rsidR="0044147D">
              <w:rPr>
                <w:rFonts w:ascii="Times New Roman" w:hAnsi="Times New Roman"/>
                <w:sz w:val="19"/>
                <w:szCs w:val="19"/>
              </w:rPr>
              <w:t>je potrebné overiť</w:t>
            </w:r>
            <w:r w:rsidRPr="00135DE3">
              <w:rPr>
                <w:rFonts w:ascii="Times New Roman" w:hAnsi="Times New Roman"/>
                <w:sz w:val="19"/>
                <w:szCs w:val="19"/>
              </w:rPr>
              <w:t xml:space="preserve"> najmä, či </w:t>
            </w:r>
          </w:p>
          <w:p w:rsidR="00135DE3" w:rsidRPr="00135DE3" w:rsidP="00135DE3">
            <w:pPr>
              <w:bidi w:val="0"/>
              <w:spacing w:after="0" w:line="240" w:lineRule="auto"/>
              <w:ind w:firstLine="708"/>
              <w:rPr>
                <w:rFonts w:ascii="Times New Roman" w:hAnsi="Times New Roman"/>
                <w:sz w:val="19"/>
                <w:szCs w:val="19"/>
              </w:rPr>
            </w:pPr>
          </w:p>
          <w:p w:rsidR="00135DE3" w:rsidRPr="00135DE3" w:rsidP="00135DE3">
            <w:pPr>
              <w:numPr>
                <w:numId w:val="30"/>
              </w:numPr>
              <w:bidi w:val="0"/>
              <w:spacing w:after="0" w:line="240" w:lineRule="auto"/>
              <w:contextualSpacing/>
              <w:jc w:val="both"/>
              <w:rPr>
                <w:rFonts w:ascii="Times New Roman" w:hAnsi="Times New Roman"/>
                <w:sz w:val="19"/>
                <w:szCs w:val="19"/>
              </w:rPr>
            </w:pPr>
            <w:r w:rsidRPr="00135DE3">
              <w:rPr>
                <w:rFonts w:ascii="Times New Roman" w:hAnsi="Times New Roman"/>
                <w:sz w:val="19"/>
                <w:szCs w:val="19"/>
              </w:rPr>
              <w:t>sa zohľadnili všetky lety spadajúce pod činnosť leteckej dopravy uvedenej v  prílohe č. 1 tabuľky  D; pri plnení úlohy si overovateľ pomáha údajmi z  letového poriadku a inými údajmi o premávke prevádzkovateľa lietadla vrátane údajov z Eurocontrolu, ktoré si tento prevádzkovateľ vyžiadal,</w:t>
            </w:r>
          </w:p>
          <w:p w:rsidR="00135DE3" w:rsidRPr="00135DE3" w:rsidP="00135DE3">
            <w:pPr>
              <w:numPr>
                <w:numId w:val="30"/>
              </w:numPr>
              <w:bidi w:val="0"/>
              <w:spacing w:after="0" w:line="240" w:lineRule="auto"/>
              <w:contextualSpacing/>
              <w:jc w:val="both"/>
              <w:rPr>
                <w:rFonts w:ascii="Times New Roman" w:hAnsi="Times New Roman"/>
                <w:sz w:val="19"/>
                <w:szCs w:val="19"/>
              </w:rPr>
            </w:pPr>
            <w:r w:rsidRPr="00135DE3">
              <w:rPr>
                <w:rFonts w:ascii="Times New Roman" w:hAnsi="Times New Roman"/>
                <w:sz w:val="19"/>
                <w:szCs w:val="19"/>
              </w:rPr>
              <w:t>existuje celková zhoda medzi údajmi o súhrnnej spotrebe paliva a údajmi o palive,  ktoré sa zakúpilo alebo inak dodalo do lietadla vykonávajúceho činnosť leteckej dopravy.</w:t>
            </w:r>
          </w:p>
          <w:p w:rsidR="00135DE3" w:rsidRPr="00135DE3" w:rsidP="00135DE3">
            <w:pPr>
              <w:bidi w:val="0"/>
              <w:spacing w:after="0" w:line="240" w:lineRule="auto"/>
              <w:ind w:left="708"/>
              <w:jc w:val="center"/>
              <w:rPr>
                <w:rFonts w:ascii="Times New Roman" w:hAnsi="Times New Roman"/>
                <w:b/>
                <w:sz w:val="19"/>
                <w:szCs w:val="19"/>
              </w:rPr>
            </w:pPr>
          </w:p>
          <w:p w:rsidR="004D08E9" w:rsidP="004D08E9">
            <w:pPr>
              <w:numPr>
                <w:numId w:val="25"/>
              </w:numPr>
              <w:bidi w:val="0"/>
              <w:spacing w:after="0" w:line="240" w:lineRule="auto"/>
              <w:contextualSpacing/>
              <w:rPr>
                <w:rFonts w:ascii="Times New Roman" w:hAnsi="Times New Roman"/>
                <w:b/>
                <w:sz w:val="19"/>
                <w:szCs w:val="19"/>
              </w:rPr>
            </w:pPr>
            <w:r w:rsidRPr="00135DE3" w:rsidR="00135DE3">
              <w:rPr>
                <w:rFonts w:ascii="Times New Roman" w:hAnsi="Times New Roman"/>
                <w:b/>
                <w:sz w:val="19"/>
                <w:szCs w:val="19"/>
              </w:rPr>
              <w:t>Osob</w:t>
            </w:r>
            <w:r>
              <w:rPr>
                <w:rFonts w:ascii="Times New Roman" w:hAnsi="Times New Roman"/>
                <w:b/>
                <w:sz w:val="19"/>
                <w:szCs w:val="19"/>
              </w:rPr>
              <w:t>itné zásady overovania údajov o tonokilometroch predkladaných na účely § 14 a 15</w:t>
            </w:r>
          </w:p>
          <w:p w:rsidR="00135DE3" w:rsidRPr="00135DE3" w:rsidP="004D08E9">
            <w:pPr>
              <w:bidi w:val="0"/>
              <w:spacing w:after="0" w:line="240" w:lineRule="auto"/>
              <w:ind w:left="720"/>
              <w:contextualSpacing/>
              <w:rPr>
                <w:rFonts w:ascii="Times New Roman" w:hAnsi="Times New Roman"/>
                <w:b/>
                <w:sz w:val="19"/>
                <w:szCs w:val="19"/>
              </w:rPr>
            </w:pPr>
          </w:p>
          <w:p w:rsidR="00135DE3" w:rsidRPr="00135DE3" w:rsidP="004D08E9">
            <w:pPr>
              <w:numPr>
                <w:numId w:val="29"/>
              </w:numPr>
              <w:bidi w:val="0"/>
              <w:spacing w:after="0" w:line="240" w:lineRule="auto"/>
              <w:contextualSpacing/>
              <w:jc w:val="both"/>
              <w:rPr>
                <w:rFonts w:ascii="Times New Roman" w:hAnsi="Times New Roman"/>
                <w:sz w:val="19"/>
                <w:szCs w:val="19"/>
              </w:rPr>
            </w:pPr>
            <w:r w:rsidRPr="00135DE3">
              <w:rPr>
                <w:rFonts w:ascii="Times New Roman" w:hAnsi="Times New Roman"/>
                <w:sz w:val="19"/>
                <w:szCs w:val="19"/>
              </w:rPr>
              <w:t>Všeobecné zásady a metodika overovania správ o emisiách,  ak je to vhodné, sa uplatňujú aj na overovanie údajov o tonokilometroch leteckej dopravy.</w:t>
            </w:r>
          </w:p>
          <w:p w:rsidR="00135DE3" w:rsidRPr="00135DE3" w:rsidP="007E1C74">
            <w:pPr>
              <w:numPr>
                <w:numId w:val="29"/>
              </w:numPr>
              <w:bidi w:val="0"/>
              <w:spacing w:line="240" w:lineRule="auto"/>
              <w:contextualSpacing/>
              <w:jc w:val="both"/>
              <w:rPr>
                <w:rFonts w:ascii="Times New Roman" w:hAnsi="Times New Roman"/>
                <w:sz w:val="19"/>
                <w:szCs w:val="19"/>
              </w:rPr>
            </w:pPr>
            <w:r w:rsidR="0044147D">
              <w:rPr>
                <w:rFonts w:ascii="Times New Roman" w:hAnsi="Times New Roman"/>
                <w:sz w:val="19"/>
                <w:szCs w:val="19"/>
              </w:rPr>
              <w:t>Je potrebné overiť</w:t>
            </w:r>
            <w:r w:rsidRPr="00135DE3">
              <w:rPr>
                <w:rFonts w:ascii="Times New Roman" w:hAnsi="Times New Roman"/>
                <w:sz w:val="19"/>
                <w:szCs w:val="19"/>
              </w:rPr>
              <w:t>, či sa v žiadosti prevádzkovateľa podľa § 14 ods. 1 a § 15 ods. 2 brali do úvahy iba lety, ktoré sa skutočne vykonali a ktoré spadajú pod činnosť leteckej dopravy uvedenú v prílohe č. 1 tabuľke D, za ktorú je prevádzkovateľ lietadla zodpovedný; pri plnení úlohy si overovateľ pomáha údajmi o premávke prevádzkovateľa lietadla vrátane údajov z Eurocontrolu, ktoré si prevádzkovateľ vyžiadal. Overovateľ sa okrem toho presvedčí, či užitočné zaťaženie vykazované prevádzkovateľom lietadla zodpovedá záznamom o užitočnom zaťažení, ktoré vedie prevád</w:t>
            </w:r>
            <w:r w:rsidR="004D08E9">
              <w:rPr>
                <w:rFonts w:ascii="Times New Roman" w:hAnsi="Times New Roman"/>
                <w:sz w:val="19"/>
                <w:szCs w:val="19"/>
              </w:rPr>
              <w:t>zkovateľ na účely bezpečnosti.</w:t>
            </w:r>
          </w:p>
          <w:p w:rsidR="00F6703E" w:rsidRPr="00135DE3" w:rsidP="00FE0CF5">
            <w:pPr>
              <w:bidi w:val="0"/>
              <w:spacing w:after="0" w:line="240" w:lineRule="auto"/>
              <w:suppressOverlap/>
              <w:jc w:val="both"/>
              <w:rPr>
                <w:rFonts w:ascii="Times New Roman" w:hAnsi="Times New Roman"/>
                <w:sz w:val="19"/>
                <w:szCs w:val="19"/>
                <w:lang w:eastAsia="sk-SK"/>
              </w:rPr>
            </w:pPr>
          </w:p>
          <w:p w:rsidR="00F6703E" w:rsidRPr="00135DE3" w:rsidP="00FE0CF5">
            <w:pPr>
              <w:bidi w:val="0"/>
              <w:spacing w:after="0" w:line="240" w:lineRule="auto"/>
              <w:suppressOverlap/>
              <w:jc w:val="both"/>
              <w:rPr>
                <w:rFonts w:ascii="Times New Roman" w:hAnsi="Times New Roman"/>
                <w:sz w:val="19"/>
                <w:szCs w:val="19"/>
                <w:lang w:eastAsia="sk-SK"/>
              </w:rPr>
            </w:pPr>
          </w:p>
          <w:p w:rsidR="00FE0CF5" w:rsidP="00FE0CF5">
            <w:pPr>
              <w:bidi w:val="0"/>
              <w:spacing w:after="0" w:line="240" w:lineRule="auto"/>
              <w:suppressOverlap/>
              <w:jc w:val="both"/>
              <w:rPr>
                <w:rFonts w:ascii="Times New Roman" w:hAnsi="Times New Roman"/>
                <w:sz w:val="18"/>
                <w:szCs w:val="18"/>
                <w:lang w:eastAsia="sk-SK"/>
              </w:rPr>
            </w:pPr>
          </w:p>
          <w:p w:rsidR="00FE0CF5" w:rsidP="00FE0CF5">
            <w:pPr>
              <w:bidi w:val="0"/>
              <w:spacing w:after="0" w:line="240" w:lineRule="auto"/>
              <w:suppressOverlap/>
              <w:jc w:val="both"/>
              <w:rPr>
                <w:rFonts w:ascii="Times New Roman" w:hAnsi="Times New Roman"/>
                <w:sz w:val="18"/>
                <w:szCs w:val="18"/>
                <w:lang w:eastAsia="sk-SK"/>
              </w:rPr>
            </w:pPr>
          </w:p>
          <w:p w:rsidR="00142263" w:rsidRPr="00FE0CF5" w:rsidP="00671CC7">
            <w:pPr>
              <w:bidi w:val="0"/>
              <w:spacing w:after="0" w:line="240" w:lineRule="auto"/>
              <w:ind w:left="360"/>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bl>
    <w:p w:rsidR="00835700" w:rsidP="00EA40F6">
      <w:pPr>
        <w:bidi w:val="0"/>
        <w:spacing w:after="0" w:line="240" w:lineRule="auto"/>
        <w:jc w:val="both"/>
        <w:rPr>
          <w:rFonts w:ascii="Times New Roman" w:hAnsi="Times New Roman"/>
          <w:sz w:val="20"/>
          <w:szCs w:val="20"/>
          <w:lang w:eastAsia="sk-SK"/>
        </w:rPr>
      </w:pPr>
    </w:p>
    <w:p w:rsidR="00835700" w:rsidP="00EA40F6">
      <w:pPr>
        <w:bidi w:val="0"/>
        <w:spacing w:after="0" w:line="240" w:lineRule="auto"/>
        <w:jc w:val="both"/>
        <w:rPr>
          <w:rFonts w:ascii="Times New Roman" w:hAnsi="Times New Roman"/>
          <w:sz w:val="20"/>
          <w:szCs w:val="20"/>
          <w:lang w:eastAsia="sk-SK"/>
        </w:rPr>
      </w:pP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LEGENDA:</w:t>
      </w:r>
    </w:p>
    <w:p w:rsidR="001D0836" w:rsidRPr="00EA40F6" w:rsidP="00EA40F6">
      <w:pPr>
        <w:bidi w:val="0"/>
        <w:spacing w:after="0" w:line="240" w:lineRule="auto"/>
        <w:jc w:val="both"/>
        <w:rPr>
          <w:rFonts w:ascii="Times New Roman" w:hAnsi="Times New Roman"/>
          <w:sz w:val="20"/>
          <w:szCs w:val="20"/>
          <w:u w:val="single"/>
          <w:lang w:eastAsia="sk-SK"/>
        </w:rPr>
      </w:pPr>
      <w:r w:rsidRPr="00EA40F6">
        <w:rPr>
          <w:rFonts w:ascii="Times New Roman" w:hAnsi="Times New Roman"/>
          <w:sz w:val="20"/>
          <w:szCs w:val="20"/>
          <w:u w:val="single"/>
          <w:lang w:eastAsia="sk-SK"/>
        </w:rPr>
        <w:t>V stĺpci (1):</w:t>
      </w:r>
      <w:r w:rsidRPr="00EA40F6">
        <w:rPr>
          <w:rFonts w:ascii="Times New Roman" w:hAnsi="Times New Roman"/>
          <w:sz w:val="20"/>
          <w:szCs w:val="20"/>
          <w:lang w:eastAsia="sk-SK"/>
        </w:rPr>
        <w:tab/>
        <w:tab/>
        <w:tab/>
      </w:r>
      <w:r w:rsidRPr="00EA40F6">
        <w:rPr>
          <w:rFonts w:ascii="Times New Roman" w:hAnsi="Times New Roman"/>
          <w:sz w:val="20"/>
          <w:szCs w:val="20"/>
          <w:u w:val="single"/>
          <w:lang w:eastAsia="sk-SK"/>
        </w:rPr>
        <w:t>V stĺpci (3):</w:t>
      </w:r>
      <w:r w:rsidRPr="00EA40F6">
        <w:rPr>
          <w:rFonts w:ascii="Times New Roman" w:hAnsi="Times New Roman"/>
          <w:sz w:val="20"/>
          <w:szCs w:val="20"/>
          <w:lang w:eastAsia="sk-SK"/>
        </w:rPr>
        <w:tab/>
        <w:tab/>
        <w:tab/>
        <w:tab/>
        <w:tab/>
      </w:r>
      <w:r w:rsidRPr="00EA40F6">
        <w:rPr>
          <w:rFonts w:ascii="Times New Roman" w:hAnsi="Times New Roman"/>
          <w:sz w:val="20"/>
          <w:szCs w:val="20"/>
          <w:u w:val="single"/>
          <w:lang w:eastAsia="sk-SK"/>
        </w:rPr>
        <w:t>V stĺpci (5):</w:t>
      </w:r>
      <w:r w:rsidRPr="00EA40F6">
        <w:rPr>
          <w:rFonts w:ascii="Times New Roman" w:hAnsi="Times New Roman"/>
          <w:sz w:val="20"/>
          <w:szCs w:val="20"/>
          <w:lang w:eastAsia="sk-SK"/>
        </w:rPr>
        <w:tab/>
        <w:tab/>
      </w:r>
      <w:r w:rsidRPr="00EA40F6">
        <w:rPr>
          <w:rFonts w:ascii="Times New Roman" w:hAnsi="Times New Roman"/>
          <w:sz w:val="20"/>
          <w:szCs w:val="20"/>
          <w:u w:val="single"/>
          <w:lang w:eastAsia="sk-SK"/>
        </w:rPr>
        <w:t>V stĺpci (7):</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Č – článok</w:t>
        <w:tab/>
        <w:tab/>
        <w:tab/>
        <w:t>N – bežná transpozícia</w:t>
        <w:tab/>
        <w:tab/>
        <w:tab/>
        <w:tab/>
        <w:t>Č – článok</w:t>
        <w:tab/>
        <w:tab/>
        <w:t>Ú – úplná zhoda</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O – odsek</w:t>
        <w:tab/>
        <w:tab/>
        <w:tab/>
        <w:t>O – transpozícia s možnosťou voľby</w:t>
        <w:tab/>
        <w:tab/>
        <w:t>§ - paragraf</w:t>
        <w:tab/>
        <w:tab/>
        <w:t>Č – čiastočná zhoda</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V – veta</w:t>
        <w:tab/>
        <w:tab/>
        <w:tab/>
        <w:tab/>
        <w:t>D – transpozícia podľa úvahy (dobrovoľná)</w:t>
        <w:tab/>
        <w:tab/>
        <w:t>O – odsek</w:t>
        <w:tab/>
        <w:tab/>
        <w:t xml:space="preserve">Ž – žiadna zhoda (ak nebola dosiahnutá ani čast. ani úplná </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ab/>
        <w:t>n.a. – transpozícia sa neuskutočňuje</w:t>
        <w:tab/>
        <w:tab/>
        <w:t>V – veta</w:t>
        <w:tab/>
        <w:tab/>
        <w:tab/>
        <w:t>zhoda alebo k prebratiu dôjde v budúcnosti)</w:t>
      </w:r>
    </w:p>
    <w:p w:rsidR="001D0836" w:rsidRPr="00EA40F6" w:rsidP="00EA40F6">
      <w:pPr>
        <w:bidi w:val="0"/>
        <w:spacing w:after="0" w:line="240" w:lineRule="auto"/>
        <w:ind w:left="9180" w:hanging="2100"/>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n.a. – neaplikovateľnosť (ak sa ustanovenie smernice netýka SR alebo nie je potrebné ho prebrať)</w:t>
      </w:r>
    </w:p>
    <w:p w:rsidR="001D0836">
      <w:pPr>
        <w:bidi w:val="0"/>
      </w:pPr>
    </w:p>
    <w:p w:rsidR="00D639CA">
      <w:pPr>
        <w:bidi w:val="0"/>
      </w:pPr>
    </w:p>
    <w:p w:rsidR="00D639CA">
      <w:pPr>
        <w:bidi w:val="0"/>
      </w:pPr>
    </w:p>
    <w:p w:rsidR="00D639CA">
      <w:pPr>
        <w:bidi w:val="0"/>
      </w:pPr>
    </w:p>
    <w:p w:rsidR="003B0E5A">
      <w:pPr>
        <w:bidi w:val="0"/>
      </w:pPr>
    </w:p>
    <w:p w:rsidR="003B0E5A">
      <w:pPr>
        <w:bidi w:val="0"/>
      </w:pPr>
    </w:p>
    <w:p w:rsidR="00D639CA" w:rsidRPr="00EA40F6" w:rsidP="00D639CA">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Tabuľka zhody</w:t>
      </w:r>
    </w:p>
    <w:p w:rsidR="00D639CA" w:rsidRPr="00EA40F6" w:rsidP="00D639CA">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právneho predpisu</w:t>
      </w:r>
    </w:p>
    <w:p w:rsidR="00D639CA" w:rsidRPr="00EA40F6" w:rsidP="00D639CA">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s  právom Európskej únie</w:t>
      </w:r>
    </w:p>
    <w:p w:rsidR="00D639CA" w:rsidP="00D639CA">
      <w:pPr>
        <w:bidi w:val="0"/>
      </w:pPr>
    </w:p>
    <w:tbl>
      <w:tblPr>
        <w:tblStyle w:val="TableNormal"/>
        <w:tblpPr w:leftFromText="141" w:rightFromText="141" w:vertAnchor="text" w:tblpY="1"/>
        <w:tblOverlap w:val="neve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
        <w:gridCol w:w="4621"/>
        <w:gridCol w:w="1070"/>
        <w:gridCol w:w="682"/>
        <w:gridCol w:w="957"/>
        <w:gridCol w:w="4602"/>
        <w:gridCol w:w="713"/>
        <w:gridCol w:w="1666"/>
      </w:tblGrid>
      <w:tr>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336" w:type="dxa"/>
            <w:gridSpan w:val="3"/>
            <w:tcBorders>
              <w:top w:val="single" w:sz="4" w:space="0" w:color="auto"/>
              <w:left w:val="single" w:sz="4" w:space="0" w:color="auto"/>
              <w:bottom w:val="single" w:sz="4" w:space="0" w:color="auto"/>
              <w:right w:val="single" w:sz="4" w:space="0" w:color="auto"/>
            </w:tcBorders>
            <w:textDirection w:val="lrTb"/>
            <w:vAlign w:val="top"/>
          </w:tcPr>
          <w:p w:rsidR="00D639CA" w:rsidRPr="00C667F3" w:rsidP="00C14603">
            <w:pPr>
              <w:autoSpaceDE w:val="0"/>
              <w:autoSpaceDN w:val="0"/>
              <w:bidi w:val="0"/>
              <w:adjustRightInd w:val="0"/>
              <w:spacing w:after="0" w:line="240" w:lineRule="auto"/>
              <w:suppressOverlap/>
              <w:jc w:val="both"/>
              <w:rPr>
                <w:rFonts w:ascii="Times New Roman" w:hAnsi="Times New Roman"/>
                <w:sz w:val="20"/>
                <w:szCs w:val="20"/>
                <w:lang w:eastAsia="sk-SK"/>
              </w:rPr>
            </w:pPr>
            <w:r>
              <w:rPr>
                <w:rFonts w:ascii="Times New Roman" w:hAnsi="Times New Roman"/>
                <w:sz w:val="20"/>
                <w:szCs w:val="20"/>
                <w:lang w:eastAsia="sk-SK"/>
              </w:rPr>
              <w:t>Nariadenie Európskeho parlamentu a Rady (EÚ) č. 421/2014 zo 16. apríla 2014, ktorým sa mení smernica 2003/87/ES o vytvorení systému obchodovania s emisnými kvótami skleníkových plynov v Spoločenstve s cieľom vykonať do roku 2020 medzinárodnú dohodu, ktorou sa na emisie z medzinárodnej leteckej dopravy uplatňuje jednotné globálne trhové opatrenie</w:t>
            </w:r>
          </w:p>
        </w:tc>
        <w:tc>
          <w:tcPr>
            <w:tcW w:w="9690" w:type="dxa"/>
            <w:gridSpan w:val="6"/>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rPr>
                <w:rFonts w:ascii="Times New Roman" w:hAnsi="Times New Roman"/>
                <w:sz w:val="20"/>
                <w:szCs w:val="20"/>
                <w:lang w:eastAsia="sk-SK"/>
              </w:rPr>
            </w:pPr>
            <w:r w:rsidRPr="00EA40F6">
              <w:rPr>
                <w:rFonts w:ascii="Times New Roman" w:hAnsi="Times New Roman"/>
                <w:sz w:val="20"/>
                <w:szCs w:val="20"/>
                <w:lang w:eastAsia="sk-SK"/>
              </w:rPr>
              <w:t>Právne predpisy Slovenskej republiky:</w:t>
            </w:r>
          </w:p>
          <w:p w:rsidR="00D639CA" w:rsidRPr="00EA40F6" w:rsidP="00C14603">
            <w:pPr>
              <w:bidi w:val="0"/>
              <w:spacing w:after="0" w:line="240" w:lineRule="auto"/>
              <w:suppressOverlap/>
              <w:rPr>
                <w:rFonts w:ascii="Times New Roman" w:hAnsi="Times New Roman"/>
                <w:sz w:val="20"/>
                <w:szCs w:val="20"/>
                <w:lang w:eastAsia="sk-SK"/>
              </w:rPr>
            </w:pPr>
            <w:r>
              <w:rPr>
                <w:rFonts w:ascii="Times New Roman" w:hAnsi="Times New Roman"/>
                <w:sz w:val="20"/>
                <w:szCs w:val="20"/>
                <w:lang w:eastAsia="sk-SK"/>
              </w:rPr>
              <w:t xml:space="preserve">Návrh zákona, ktorým sa mení a dopĺňa zákon č. 414/2012 Z. z. o obchodovaní s emisnými kvótami a o zmene a doplnení niektorých zákonov a ktorým sa menia a dopĺňajú niektoré zákony </w:t>
            </w:r>
          </w:p>
          <w:p w:rsidR="00D639CA" w:rsidRPr="00EA40F6" w:rsidP="00C14603">
            <w:pPr>
              <w:bidi w:val="0"/>
              <w:spacing w:after="0" w:line="240" w:lineRule="auto"/>
              <w:ind w:left="227" w:hanging="227"/>
              <w:suppressOverlap/>
              <w:rPr>
                <w:rFonts w:ascii="Times New Roman" w:hAnsi="Times New Roman"/>
                <w:bCs/>
                <w:sz w:val="18"/>
                <w:szCs w:val="18"/>
                <w:lang w:eastAsia="sk-SK"/>
              </w:rPr>
            </w:pPr>
          </w:p>
          <w:p w:rsidR="00D639CA" w:rsidRPr="00EA40F6" w:rsidP="00C14603">
            <w:pPr>
              <w:bidi w:val="0"/>
              <w:spacing w:after="0" w:line="240" w:lineRule="auto"/>
              <w:suppressOverlap/>
              <w:rPr>
                <w:rFonts w:ascii="Times New Roman" w:hAnsi="Times New Roman"/>
                <w:bCs/>
                <w:sz w:val="20"/>
                <w:szCs w:val="20"/>
                <w:lang w:eastAsia="sk-SK"/>
              </w:rPr>
            </w:pPr>
            <w:r w:rsidRPr="00EA40F6">
              <w:rPr>
                <w:rFonts w:ascii="Times New Roman" w:hAnsi="Times New Roman"/>
                <w:bCs/>
                <w:sz w:val="18"/>
                <w:szCs w:val="18"/>
                <w:lang w:eastAsia="sk-SK"/>
              </w:rPr>
              <w:t xml:space="preserve"> </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1</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3</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4</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5</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6</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7</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8</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O, V, P)</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Spôsob transpozície</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Číslo</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 O, V, P)</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Zhoda</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D639CA" w:rsidRPr="00EA40F6" w:rsidP="00C1460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Poznámky</w:t>
            </w: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NewRoman" w:hAnsi="TimesNewRoman" w:cs="TimesNewRoman"/>
                <w:sz w:val="19"/>
                <w:szCs w:val="19"/>
                <w:lang w:eastAsia="sk-SK"/>
              </w:rPr>
            </w:pPr>
            <w:r w:rsidRPr="00EA40F6">
              <w:rPr>
                <w:rFonts w:ascii="TimesNewRoman" w:hAnsi="TimesNewRoman" w:cs="TimesNewRoman"/>
                <w:sz w:val="19"/>
                <w:szCs w:val="19"/>
                <w:lang w:eastAsia="sk-SK"/>
              </w:rPr>
              <w:t>Č:1</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D639CA"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Smernica 2003/87/ES sa týmto mení takto: </w:t>
            </w:r>
          </w:p>
          <w:p w:rsidR="00D639CA"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D639CA" w:rsidP="00D639CA">
            <w:pPr>
              <w:numPr>
                <w:numId w:val="39"/>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Vkladá sa tento článok: </w:t>
            </w: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D639CA" w:rsidP="00C1460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w:t>
            </w:r>
            <w:r w:rsidRPr="0071522E">
              <w:rPr>
                <w:rFonts w:ascii="TimesNewRoman" w:hAnsi="TimesNewRoman" w:cs="TimesNewRoman"/>
                <w:i/>
                <w:sz w:val="19"/>
                <w:szCs w:val="19"/>
                <w:lang w:eastAsia="sk-SK"/>
              </w:rPr>
              <w:t>Článok 28a</w:t>
            </w:r>
            <w:r w:rsidRPr="0071522E">
              <w:rPr>
                <w:rFonts w:ascii="TimesNewRoman" w:hAnsi="TimesNewRoman" w:cs="TimesNewRoman"/>
                <w:sz w:val="19"/>
                <w:szCs w:val="19"/>
                <w:lang w:eastAsia="sk-SK"/>
              </w:rPr>
              <w:t xml:space="preserve"> </w:t>
            </w:r>
          </w:p>
          <w:p w:rsidR="00D639CA" w:rsidP="00C1460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D639CA" w:rsidRPr="0071522E" w:rsidP="00C14603">
            <w:pPr>
              <w:autoSpaceDE w:val="0"/>
              <w:autoSpaceDN w:val="0"/>
              <w:bidi w:val="0"/>
              <w:adjustRightInd w:val="0"/>
              <w:spacing w:after="0" w:line="240" w:lineRule="auto"/>
              <w:ind w:left="360"/>
              <w:suppressOverlap/>
              <w:jc w:val="both"/>
              <w:rPr>
                <w:rFonts w:ascii="TimesNewRoman" w:hAnsi="TimesNewRoman" w:cs="TimesNewRoman"/>
                <w:b/>
                <w:sz w:val="19"/>
                <w:szCs w:val="19"/>
                <w:lang w:eastAsia="sk-SK"/>
              </w:rPr>
            </w:pPr>
            <w:r w:rsidRPr="0071522E">
              <w:rPr>
                <w:rFonts w:ascii="TimesNewRoman" w:hAnsi="TimesNewRoman" w:cs="TimesNewRoman"/>
                <w:b/>
                <w:sz w:val="19"/>
                <w:szCs w:val="19"/>
                <w:lang w:eastAsia="sk-SK"/>
              </w:rPr>
              <w:t>Odchýlky uplatniteľné do roku 2020 do začiatku vykonávania medzinárodnej dohody o uplatňovaní jednotného globálneho trhového opatrenia</w:t>
            </w:r>
          </w:p>
          <w:p w:rsidR="00D639CA" w:rsidP="00C1460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12 ods. 2a, článku 14 ods. 3 a článku 16 považujú členské štáty požiadavky stanovené v uvedených ustanoveniach za splnené a neprijmú žiadne opatrenia proti prevádzkovateľom lietadiel, pokiaľ ide o: </w:t>
            </w: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D639CA" w:rsidP="00D639CA">
            <w:pPr>
              <w:numPr>
                <w:numId w:val="41"/>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všetky emisie z letov na letiská nachádzajúce sa v krajinách mimo Európskeho hospodárskeho priestoru (EHP) a z týchto letísk v každom kalendárnom roku od 1. januára 2013 do 31. decembra 2016; </w:t>
            </w:r>
          </w:p>
          <w:p w:rsidR="00D639CA" w:rsidP="00C14603">
            <w:pPr>
              <w:autoSpaceDE w:val="0"/>
              <w:autoSpaceDN w:val="0"/>
              <w:bidi w:val="0"/>
              <w:adjustRightInd w:val="0"/>
              <w:spacing w:after="0" w:line="240" w:lineRule="auto"/>
              <w:ind w:left="1080"/>
              <w:suppressOverlap/>
              <w:jc w:val="both"/>
              <w:rPr>
                <w:rFonts w:ascii="TimesNewRoman" w:hAnsi="TimesNewRoman" w:cs="TimesNewRoman"/>
                <w:sz w:val="19"/>
                <w:szCs w:val="19"/>
                <w:lang w:eastAsia="sk-SK"/>
              </w:rPr>
            </w:pPr>
          </w:p>
          <w:p w:rsidR="00D639CA" w:rsidP="00D639CA">
            <w:pPr>
              <w:numPr>
                <w:numId w:val="41"/>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všetky emisie z letov medzi letiskom nachádzajúcom sa v najvzdialenejšom regióne v zmysle článku 349 Zmluvy o fungovaní Európskej únie (ZFEÚ) a letiskom nachádzajúcom sa v inom regióne EHP v každom kalendárnom roku od 1. januára 2013 do 31. decembra 2016; </w:t>
            </w:r>
          </w:p>
          <w:p w:rsidR="00D639CA"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D639CA" w:rsidP="00D639CA">
            <w:pPr>
              <w:numPr>
                <w:numId w:val="41"/>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kvóty zodpovedajúce overeným emisiám z letov medzi letiskami nachádzajúcimi sa v štátoch EHP v roku 2013, ktoré sa odovzdali do 30. apríla 2015 namiesto 30. apríla 2014, a overeným emisiám z týchto letov v roku 2013 nahláseným do 31. marca 2015 namiesto 31. marca 2014. </w:t>
            </w:r>
          </w:p>
          <w:p w:rsidR="00D639CA"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Na účely článkov 11a, 12 a 14 sa overené emisie z iných letov než z letov uvedených v prvom pododseku považujú za overené emisie prevádzkovateľa lietadla. </w:t>
            </w: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3e ods. 5 a článku 3f sa prevádzkovateľovi lietadla, ktorý využíva výnimky stanovené v odseku 1 písm. a) a b) tohto článku vydá počet bezplatných kvót znížený v pomere k zníženiu povinne odovzdaných kvót uvedenému v uvedených písmenách. </w:t>
            </w: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3f ods. 8 sa kvóty, ktoré nie sú v dôsledku uplatňovania prvého pododseku tohto odseku pridelené, zrušia. </w:t>
            </w: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Pokiaľ ide o činnosť v období od 1. januára 2013 do 31. decembra 2016, členské štáty uverejnia množstvo bezplatných kvót pre leteckú dopravu pridelených jednotlivým prevádzkovateľom lietadiel do 1. augusta 2014.</w:t>
            </w:r>
          </w:p>
          <w:p w:rsidR="00D639CA" w:rsidP="00C1460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3d členské štáty prostredníctvom aukcie ponúknu na predaj počet kvót pre leteckú dopravu znížený v pomere k zníženiu celkového množstva vydaných kvót. </w:t>
            </w:r>
          </w:p>
          <w:p w:rsidR="00D639CA"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Odchylne od článku 3d ods. 3 sa množstvo kvót, s ktorými má každý členský štát obchodovať formou aukcie v období od 1. januára 2013 do 31. decembra 2016, znižuje tak, aby bolo v súlade s jeho podielom započítaných emisií z leteckej dopravy z letov, ktoré nepodliehajú odchýlkam stanoveným v odseku 1 písm. a) a b) tohto článku. 30.4.2014 L 129/3 Úradný vestník Európskej únie SK</w:t>
            </w:r>
          </w:p>
          <w:p w:rsidR="00D639CA" w:rsidRPr="0071522E"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3g nemajú prevádzkovatelia lietadiel povinnosť predkladať plány monitorovania stanovujúce opatrenia na monitorovanie a podávanie správ o emisiách v prípade letov, ktoré podliehajú odchýlkam stanoveným v odseku 1 písm. a) a b) tohto článku. </w:t>
            </w:r>
          </w:p>
          <w:p w:rsidR="00D639CA"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Odchylne od článkov 3g, 12, 15 a 18a sa v prípade, že sú celkové ročné emisie prevádzkovateľa lietadla nižšie ako 25 000 ton CO2, jeho emisie sa považujú za overené, ak boli určené prostredníctvom nástroja pre malých producentov emisií, ktorý bol schválený na základe nariadenia Komisie (EÚ) č. 606/2010 (*) a ktorý Eurocontrol naplnil údajmi zo svojho podporného nástroja ETS. Členské štáty môžu pre nekomerčných prevádzkovateľov lietadiel zaviesť zjednodušené postupy, pokiaľ takéto postupy neposkytujú nižšiu presnosť, než akú poskytuje nástroj pre malých producentov emisií.</w:t>
            </w:r>
          </w:p>
          <w:p w:rsidR="00D639CA" w:rsidP="00C14603">
            <w:pPr>
              <w:pStyle w:val="ListParagraph"/>
              <w:bidi w:val="0"/>
              <w:spacing w:after="0" w:line="240" w:lineRule="auto"/>
              <w:rPr>
                <w:rFonts w:ascii="TimesNewRoman" w:hAnsi="TimesNewRoman" w:cs="TimesNewRoman"/>
                <w:sz w:val="19"/>
                <w:szCs w:val="19"/>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Na účely tohto článku sa lety medzi letiskami nachádzajúcimi sa v štátoch EHP a krajinách, ktoré pristúpili k Únii v roku 2013, považujú za lety medzi letiskami nachádzajúcimi sa v štátoch EHP.</w:t>
            </w:r>
          </w:p>
          <w:p w:rsidR="00D639CA" w:rsidP="00C14603">
            <w:pPr>
              <w:pStyle w:val="ListParagraph"/>
              <w:bidi w:val="0"/>
              <w:spacing w:after="0" w:line="240" w:lineRule="auto"/>
              <w:rPr>
                <w:rFonts w:ascii="TimesNewRoman" w:hAnsi="TimesNewRoman" w:cs="TimesNewRoman"/>
                <w:sz w:val="19"/>
                <w:szCs w:val="19"/>
              </w:rPr>
            </w:pPr>
          </w:p>
          <w:p w:rsidR="00D639CA" w:rsidP="00D639CA">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Komisia pravidelne, a to aspoň raz ročne, informuje Európsky parlament a Radu o pokroku v rokovaniach v rámci Medzinárodnej organizácie pre civilné letectvo (ICAO), ako aj o svojom úsilí o presadenie medzinárodného prijatia trhových mechanizmov v tretích krajinách. Po zhromaždení ICAO v roku 2016 predloží Komisia Európskemu parlamentu a Rade správu o opatreniach na vykonanie medzinárodnej dohody o celosvetovom trhovom opatrení od roku 2020, ktoré zníži nediskriminačným spôsobom emisie skleníkových plynov z leteckej dopravy, a o informáciách týkajúcich sa využitia príjmov, ktoré členské štáty predkladajú v súlade s článkom 17 nariadenia (EÚ) č. 525/2013.</w:t>
            </w:r>
          </w:p>
          <w:p w:rsidR="00D639CA" w:rsidP="00C14603">
            <w:pPr>
              <w:pStyle w:val="ListParagraph"/>
              <w:bidi w:val="0"/>
              <w:spacing w:after="0" w:line="240" w:lineRule="auto"/>
              <w:rPr>
                <w:rFonts w:ascii="TimesNewRoman" w:hAnsi="TimesNewRoman" w:cs="TimesNewRoman"/>
                <w:sz w:val="19"/>
                <w:szCs w:val="19"/>
              </w:rPr>
            </w:pPr>
          </w:p>
          <w:p w:rsidR="00D639CA" w:rsidP="00C1460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Vo svojej správe Komisia zváži vhodný rozsah pokrytia emisií pochádzajúcich z vykonávania leteckej dopravy na letiská nachádzajúce sa v krajinách mimo EHP a z týchto letísk od 1. januára 2017 a v prípade potreby zahrnie návrhy reagujúce na tento vývoj. Komisia vo svojej správe zohľadní aj riešenia iných otázok, ktoré sa môžu objaviť v súvislosti s uplatňovaním odsekov 1 až 4 tohto článku, pričom zachová rovnaké zaobchádzanie so všetkými prevádzkovateľmi lietadiel na tej istej trase.</w:t>
            </w:r>
          </w:p>
          <w:p w:rsidR="00D639CA" w:rsidP="00C1460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D639CA" w:rsidP="00D639CA">
            <w:pPr>
              <w:numPr>
                <w:numId w:val="39"/>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 prílohe I sa v stĺpci „Činnosti“ tabuľky v nej uvedenej pod názvom „Letecká doprava“ dopĺňa toto písmeno: </w:t>
            </w:r>
          </w:p>
          <w:p w:rsidR="00D639CA" w:rsidP="00C1460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D639CA" w:rsidRPr="00EA40F6" w:rsidP="00C1460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„k)od 1. januára 2013 do 31. decembra 2020 lety, ktoré by inak patrili pod túto činnosť a ktoré vykonáva nekomerčný prevádzkovateľ lietadiel prevádzkujúci lety s celkovými ročnými emisiami nižšími ako 1 000 ton za rok.“</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p>
          <w:p w:rsidR="00D639CA" w:rsidP="00C1460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D639CA" w:rsidRPr="00EA40F6" w:rsidP="00C1460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§:38a</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P="00C14603">
            <w:pPr>
              <w:bidi w:val="0"/>
              <w:spacing w:after="0" w:line="240" w:lineRule="auto"/>
              <w:suppressOverlap/>
              <w:jc w:val="both"/>
              <w:rPr>
                <w:rFonts w:ascii="Times New Roman" w:hAnsi="Times New Roman"/>
                <w:sz w:val="18"/>
                <w:szCs w:val="18"/>
                <w:lang w:eastAsia="sk-SK"/>
              </w:rPr>
            </w:pPr>
          </w:p>
          <w:p w:rsidR="00D639CA" w:rsidRPr="00115FFE" w:rsidP="00D639CA">
            <w:pPr>
              <w:numPr>
                <w:numId w:val="43"/>
              </w:num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Požiadavky pre prevádz</w:t>
            </w:r>
            <w:r>
              <w:rPr>
                <w:rFonts w:ascii="Times New Roman" w:hAnsi="Times New Roman"/>
                <w:sz w:val="19"/>
                <w:szCs w:val="19"/>
                <w:lang w:eastAsia="sk-SK"/>
              </w:rPr>
              <w:t xml:space="preserve">kovateľa lietadla ustanovené v </w:t>
            </w:r>
            <w:r w:rsidRPr="00115FFE">
              <w:rPr>
                <w:rFonts w:ascii="Times New Roman" w:hAnsi="Times New Roman"/>
                <w:sz w:val="19"/>
                <w:szCs w:val="19"/>
                <w:lang w:eastAsia="sk-SK"/>
              </w:rPr>
              <w:t>§ 13 ods. 2 a</w:t>
            </w:r>
            <w:r>
              <w:rPr>
                <w:rFonts w:ascii="Times New Roman" w:hAnsi="Times New Roman"/>
                <w:sz w:val="19"/>
                <w:szCs w:val="19"/>
                <w:lang w:eastAsia="sk-SK"/>
              </w:rPr>
              <w:t xml:space="preserve"> </w:t>
            </w:r>
            <w:r w:rsidRPr="00115FFE">
              <w:rPr>
                <w:rFonts w:ascii="Times New Roman" w:hAnsi="Times New Roman"/>
                <w:sz w:val="19"/>
                <w:szCs w:val="19"/>
                <w:lang w:eastAsia="sk-SK"/>
              </w:rPr>
              <w:t>§ 20 ods. 7  pre obdobie od 1. januára 2013 do 31. decembra 2016 sa považujú za splnené, ak ide o</w:t>
            </w:r>
            <w:r>
              <w:rPr>
                <w:rFonts w:ascii="Times New Roman" w:hAnsi="Times New Roman"/>
                <w:sz w:val="19"/>
                <w:szCs w:val="19"/>
                <w:lang w:eastAsia="sk-SK"/>
              </w:rPr>
              <w:t> emisie z letov</w:t>
            </w:r>
          </w:p>
          <w:p w:rsidR="00D639CA" w:rsidRPr="00115FFE" w:rsidP="00D639CA">
            <w:pPr>
              <w:numPr>
                <w:numId w:val="42"/>
              </w:num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na letiská nachádzajúce sa v štátoch mimo Európskeho hospodárskeho priestoru a z týchto letísk,</w:t>
            </w:r>
          </w:p>
          <w:p w:rsidR="00D639CA" w:rsidRPr="00115FFE" w:rsidP="00D639CA">
            <w:pPr>
              <w:numPr>
                <w:numId w:val="42"/>
              </w:num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medzi letiskom nachádzajúcom sa v najvzdialenejšom regióne podľa osobitného predpisu</w:t>
            </w:r>
            <w:r w:rsidRPr="00115FFE">
              <w:rPr>
                <w:rFonts w:ascii="Times New Roman" w:hAnsi="Times New Roman"/>
                <w:sz w:val="19"/>
                <w:szCs w:val="19"/>
                <w:vertAlign w:val="superscript"/>
                <w:lang w:eastAsia="sk-SK"/>
              </w:rPr>
              <w:t>43a</w:t>
            </w:r>
            <w:r w:rsidRPr="00115FFE">
              <w:rPr>
                <w:rFonts w:ascii="Times New Roman" w:hAnsi="Times New Roman"/>
                <w:sz w:val="19"/>
                <w:szCs w:val="19"/>
                <w:lang w:eastAsia="sk-SK"/>
              </w:rPr>
              <w:t>) a letiskom nachádzajúcom sa v inom regióne Európskeho hospodárskeho priestoru.</w:t>
            </w: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D639CA">
            <w:pPr>
              <w:numPr>
                <w:numId w:val="43"/>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Prevádzkovateľ lietadla z letov medzi letiskami nachádzajúcimi sa v štátoch Európskeho hospodárskeho priestoru v roku 2013 a overenými emisiami z týchto letov je povinný splniť povinnosti podľa § 21 ods. 2 písm. a) do 1. marca 2015 a podľa § 21 ods. 2 písm. b) do 30. apríla 2015.</w:t>
            </w:r>
          </w:p>
          <w:p w:rsidR="00D639CA"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FB0FA2" w:rsidP="00D639CA">
            <w:pPr>
              <w:numPr>
                <w:numId w:val="43"/>
              </w:numPr>
              <w:bidi w:val="0"/>
              <w:spacing w:after="0" w:line="240" w:lineRule="auto"/>
              <w:jc w:val="both"/>
              <w:rPr>
                <w:rFonts w:ascii="Times New Roman" w:hAnsi="Times New Roman"/>
                <w:sz w:val="19"/>
                <w:szCs w:val="19"/>
                <w:lang w:eastAsia="sk-SK"/>
              </w:rPr>
            </w:pPr>
            <w:r w:rsidRPr="00FB0FA2">
              <w:rPr>
                <w:rFonts w:ascii="Times New Roman" w:hAnsi="Times New Roman"/>
                <w:sz w:val="19"/>
                <w:szCs w:val="19"/>
                <w:lang w:eastAsia="sk-SK"/>
              </w:rPr>
              <w:t>Na účely § 11, 13 a 20 sa overené emisie z iných letov ako z letov podľa odseku 1 považujú za overené emisie prevádzkovateľa lietadla.</w:t>
            </w: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D639CA">
            <w:pPr>
              <w:numPr>
                <w:numId w:val="46"/>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Prevádzkovateľovi lietadla, na ktorého sa vzťahuje odsek 1,  sa vydá počet bezodplatných kvót znížený v pomere k zníženiu povinne odovzdaných kvót podľa odseku 1.</w:t>
            </w: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P="00C14603">
            <w:pPr>
              <w:bidi w:val="0"/>
              <w:spacing w:after="0" w:line="240" w:lineRule="auto"/>
              <w:suppressOverlap/>
              <w:jc w:val="both"/>
              <w:rPr>
                <w:rFonts w:ascii="Times New Roman" w:hAnsi="Times New Roman"/>
                <w:sz w:val="19"/>
                <w:szCs w:val="19"/>
                <w:lang w:eastAsia="sk-SK"/>
              </w:rPr>
            </w:pPr>
          </w:p>
          <w:p w:rsidR="00D639CA" w:rsidP="00C14603">
            <w:pPr>
              <w:bidi w:val="0"/>
              <w:spacing w:after="0" w:line="240" w:lineRule="auto"/>
              <w:suppressOverlap/>
              <w:jc w:val="both"/>
              <w:rPr>
                <w:rFonts w:ascii="Times New Roman" w:hAnsi="Times New Roman"/>
                <w:sz w:val="19"/>
                <w:szCs w:val="19"/>
                <w:lang w:eastAsia="sk-SK"/>
              </w:rPr>
            </w:pPr>
          </w:p>
          <w:p w:rsidR="00D639CA"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D639CA">
            <w:pPr>
              <w:numPr>
                <w:numId w:val="44"/>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Prevádzkovateľ lietadla nemá povinnosť predkladať plány monitorovania určujúce opatrenia na monitorovanie a podávanie správ o emisiách,  ak ide o  lety, na ktoré sa vzťahuje odsek 1.</w:t>
            </w:r>
          </w:p>
          <w:p w:rsidR="00D639CA" w:rsidRPr="00115FFE" w:rsidP="00C14603">
            <w:pPr>
              <w:bidi w:val="0"/>
              <w:spacing w:after="0" w:line="240" w:lineRule="auto"/>
              <w:suppressOverlap/>
              <w:jc w:val="both"/>
              <w:rPr>
                <w:rFonts w:ascii="Times New Roman" w:hAnsi="Times New Roman"/>
                <w:sz w:val="19"/>
                <w:szCs w:val="19"/>
                <w:lang w:eastAsia="sk-SK"/>
              </w:rPr>
            </w:pPr>
          </w:p>
          <w:p w:rsidR="00D639CA" w:rsidP="00C14603">
            <w:pPr>
              <w:bidi w:val="0"/>
              <w:spacing w:after="0" w:line="240" w:lineRule="auto"/>
              <w:suppressOverlap/>
              <w:jc w:val="both"/>
              <w:rPr>
                <w:rFonts w:ascii="Times New Roman" w:hAnsi="Times New Roman"/>
                <w:sz w:val="19"/>
                <w:szCs w:val="19"/>
                <w:lang w:eastAsia="sk-SK"/>
              </w:rPr>
            </w:pPr>
          </w:p>
          <w:p w:rsidR="00D639CA"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D639CA">
            <w:pPr>
              <w:numPr>
                <w:numId w:val="45"/>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 xml:space="preserve">Ak  sú celkové ročné emisie prevádzkovateľa lietadla nižšie ako 25 000 ton CO2, jeho emisie sa považujú za overené, ak boli určené prostredníctvom nástroja na odhadovanie spotreby paliva pre leteckých prevádzkovateľov s nízkym množstvom emisií </w:t>
            </w:r>
            <w:r>
              <w:rPr>
                <w:rFonts w:ascii="Times New Roman" w:hAnsi="Times New Roman"/>
                <w:sz w:val="19"/>
                <w:szCs w:val="19"/>
                <w:lang w:eastAsia="sk-SK"/>
              </w:rPr>
              <w:t>podľa osobitného predpisu.</w:t>
            </w:r>
            <w:r w:rsidRPr="00FB0FA2">
              <w:rPr>
                <w:rFonts w:ascii="Times New Roman" w:hAnsi="Times New Roman"/>
                <w:sz w:val="19"/>
                <w:szCs w:val="19"/>
                <w:vertAlign w:val="superscript"/>
                <w:lang w:eastAsia="sk-SK"/>
              </w:rPr>
              <w:t>43b</w:t>
            </w:r>
            <w:r>
              <w:rPr>
                <w:rFonts w:ascii="Times New Roman" w:hAnsi="Times New Roman"/>
                <w:sz w:val="19"/>
                <w:szCs w:val="19"/>
                <w:lang w:eastAsia="sk-SK"/>
              </w:rPr>
              <w:t>)</w:t>
            </w: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Príloha č. 1 Tabuľka D sa dopĺňa písmenom k), ktoré znie:</w:t>
            </w:r>
          </w:p>
          <w:p w:rsidR="00D639CA" w:rsidRPr="00115FFE" w:rsidP="00C14603">
            <w:pPr>
              <w:bidi w:val="0"/>
              <w:spacing w:after="0" w:line="240" w:lineRule="auto"/>
              <w:suppressOverlap/>
              <w:jc w:val="both"/>
              <w:rPr>
                <w:rFonts w:ascii="Times New Roman" w:hAnsi="Times New Roman"/>
                <w:sz w:val="19"/>
                <w:szCs w:val="19"/>
                <w:lang w:eastAsia="sk-SK"/>
              </w:rPr>
            </w:pPr>
          </w:p>
          <w:p w:rsidR="00D639CA" w:rsidRPr="00115FFE" w:rsidP="00C14603">
            <w:p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 xml:space="preserve">„k) lety, ktoré by inak patrili pod túto činnosť a ktoré vykonáva nekomerčný prevádzkovateľ lietadiel prevádzkujúci lety s celkovými ročnými emisiami nižšími ako 1 000 ton za rok,  uskutočňované od 1. januára 2013 do 31. decembra 2020.“. </w:t>
            </w:r>
          </w:p>
          <w:p w:rsidR="00D639CA" w:rsidRPr="00EA40F6" w:rsidP="00C14603">
            <w:pPr>
              <w:bidi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D639CA"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5B38AF">
              <w:rPr>
                <w:rFonts w:ascii="TimesNewRoman" w:hAnsi="TimesNewRoman" w:cs="TimesNewRoman"/>
                <w:sz w:val="19"/>
                <w:szCs w:val="19"/>
                <w:lang w:eastAsia="sk-SK"/>
              </w:rPr>
              <w:t>Toto nariadenie nadobúda účinnosť dňom jeho uverejnenia v Úradnom vestníku Európskej únie.</w:t>
            </w:r>
          </w:p>
          <w:p w:rsidR="00D639CA" w:rsidRPr="00EA40F6" w:rsidP="00C14603">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5B38AF">
              <w:rPr>
                <w:rFonts w:ascii="TimesNewRoman" w:hAnsi="TimesNewRoman" w:cs="TimesNewRoman"/>
                <w:sz w:val="19"/>
                <w:szCs w:val="19"/>
                <w:lang w:eastAsia="sk-SK"/>
              </w:rPr>
              <w:t>Uplatňuje sa od 30. apríla 2014.</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tabs>
                <w:tab w:val="left" w:pos="235"/>
              </w:tabs>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D639CA" w:rsidRPr="00EA40F6" w:rsidP="00C14603">
            <w:pPr>
              <w:bidi w:val="0"/>
              <w:spacing w:after="0" w:line="240" w:lineRule="auto"/>
              <w:suppressOverlap/>
              <w:rPr>
                <w:rFonts w:ascii="Times New Roman" w:hAnsi="Times New Roman"/>
                <w:sz w:val="18"/>
                <w:szCs w:val="18"/>
                <w:lang w:eastAsia="sk-SK"/>
              </w:rPr>
            </w:pPr>
          </w:p>
        </w:tc>
      </w:tr>
    </w:tbl>
    <w:p w:rsidR="00D639CA" w:rsidP="00D639CA">
      <w:pPr>
        <w:bidi w:val="0"/>
        <w:spacing w:after="0" w:line="240" w:lineRule="auto"/>
        <w:jc w:val="both"/>
        <w:rPr>
          <w:rFonts w:ascii="Times New Roman" w:hAnsi="Times New Roman"/>
          <w:sz w:val="20"/>
          <w:szCs w:val="20"/>
          <w:lang w:eastAsia="sk-SK"/>
        </w:rPr>
      </w:pPr>
    </w:p>
    <w:p w:rsidR="00D639CA" w:rsidRPr="00EA40F6" w:rsidP="00D639CA">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LEGENDA:</w:t>
      </w:r>
    </w:p>
    <w:p w:rsidR="00D639CA" w:rsidRPr="00EA40F6" w:rsidP="00D639CA">
      <w:pPr>
        <w:bidi w:val="0"/>
        <w:spacing w:after="0" w:line="240" w:lineRule="auto"/>
        <w:jc w:val="both"/>
        <w:rPr>
          <w:rFonts w:ascii="Times New Roman" w:hAnsi="Times New Roman"/>
          <w:sz w:val="20"/>
          <w:szCs w:val="20"/>
          <w:u w:val="single"/>
          <w:lang w:eastAsia="sk-SK"/>
        </w:rPr>
      </w:pPr>
      <w:r w:rsidRPr="00EA40F6">
        <w:rPr>
          <w:rFonts w:ascii="Times New Roman" w:hAnsi="Times New Roman"/>
          <w:sz w:val="20"/>
          <w:szCs w:val="20"/>
          <w:u w:val="single"/>
          <w:lang w:eastAsia="sk-SK"/>
        </w:rPr>
        <w:t>V stĺpci (1):</w:t>
      </w:r>
      <w:r w:rsidRPr="00EA40F6">
        <w:rPr>
          <w:rFonts w:ascii="Times New Roman" w:hAnsi="Times New Roman"/>
          <w:sz w:val="20"/>
          <w:szCs w:val="20"/>
          <w:lang w:eastAsia="sk-SK"/>
        </w:rPr>
        <w:tab/>
        <w:tab/>
        <w:tab/>
      </w:r>
      <w:r w:rsidRPr="00EA40F6">
        <w:rPr>
          <w:rFonts w:ascii="Times New Roman" w:hAnsi="Times New Roman"/>
          <w:sz w:val="20"/>
          <w:szCs w:val="20"/>
          <w:u w:val="single"/>
          <w:lang w:eastAsia="sk-SK"/>
        </w:rPr>
        <w:t>V stĺpci (3):</w:t>
      </w:r>
      <w:r w:rsidRPr="00EA40F6">
        <w:rPr>
          <w:rFonts w:ascii="Times New Roman" w:hAnsi="Times New Roman"/>
          <w:sz w:val="20"/>
          <w:szCs w:val="20"/>
          <w:lang w:eastAsia="sk-SK"/>
        </w:rPr>
        <w:tab/>
        <w:tab/>
        <w:tab/>
        <w:tab/>
        <w:tab/>
      </w:r>
      <w:r w:rsidRPr="00EA40F6">
        <w:rPr>
          <w:rFonts w:ascii="Times New Roman" w:hAnsi="Times New Roman"/>
          <w:sz w:val="20"/>
          <w:szCs w:val="20"/>
          <w:u w:val="single"/>
          <w:lang w:eastAsia="sk-SK"/>
        </w:rPr>
        <w:t>V stĺpci (5):</w:t>
      </w:r>
      <w:r w:rsidRPr="00EA40F6">
        <w:rPr>
          <w:rFonts w:ascii="Times New Roman" w:hAnsi="Times New Roman"/>
          <w:sz w:val="20"/>
          <w:szCs w:val="20"/>
          <w:lang w:eastAsia="sk-SK"/>
        </w:rPr>
        <w:tab/>
        <w:tab/>
      </w:r>
      <w:r w:rsidRPr="00EA40F6">
        <w:rPr>
          <w:rFonts w:ascii="Times New Roman" w:hAnsi="Times New Roman"/>
          <w:sz w:val="20"/>
          <w:szCs w:val="20"/>
          <w:u w:val="single"/>
          <w:lang w:eastAsia="sk-SK"/>
        </w:rPr>
        <w:t>V stĺpci (7):</w:t>
      </w:r>
    </w:p>
    <w:p w:rsidR="00D639CA" w:rsidRPr="00EA40F6" w:rsidP="00D639CA">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Č – článok</w:t>
        <w:tab/>
        <w:tab/>
        <w:tab/>
        <w:t>N – bežná transpozícia</w:t>
        <w:tab/>
        <w:tab/>
        <w:tab/>
        <w:tab/>
        <w:t>Č – článok</w:t>
        <w:tab/>
        <w:tab/>
        <w:t>Ú – úplná zhoda</w:t>
      </w:r>
    </w:p>
    <w:p w:rsidR="00D639CA" w:rsidRPr="00EA40F6" w:rsidP="00D639CA">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O – odsek</w:t>
        <w:tab/>
        <w:tab/>
        <w:tab/>
        <w:t>O – transpozícia s možnosťou voľby</w:t>
        <w:tab/>
        <w:tab/>
        <w:t>§ - paragraf</w:t>
        <w:tab/>
        <w:tab/>
        <w:t>Č – čiastočná zhoda</w:t>
      </w:r>
    </w:p>
    <w:p w:rsidR="00D639CA" w:rsidRPr="00EA40F6" w:rsidP="00D639CA">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V – veta</w:t>
        <w:tab/>
        <w:tab/>
        <w:tab/>
        <w:tab/>
        <w:t>D – transpozícia podľa úvahy (dobrovoľná)</w:t>
        <w:tab/>
        <w:tab/>
        <w:t>O – odsek</w:t>
        <w:tab/>
        <w:tab/>
        <w:t xml:space="preserve">Ž – žiadna zhoda (ak nebola dosiahnutá ani čast. ani úplná </w:t>
      </w:r>
    </w:p>
    <w:p w:rsidR="00D639CA" w:rsidRPr="00EA40F6" w:rsidP="00D639CA">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ab/>
        <w:t>n.a. – transpozícia sa neuskutočňuje</w:t>
        <w:tab/>
        <w:tab/>
        <w:t>V – veta</w:t>
        <w:tab/>
        <w:tab/>
        <w:tab/>
        <w:t>zhoda alebo k prebratiu dôjde v budúcnosti)</w:t>
      </w:r>
    </w:p>
    <w:p w:rsidR="00D639CA" w:rsidRPr="00EA40F6" w:rsidP="00D639CA">
      <w:pPr>
        <w:bidi w:val="0"/>
        <w:spacing w:after="0" w:line="240" w:lineRule="auto"/>
        <w:ind w:left="9180" w:hanging="2100"/>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n.a. – neaplikovateľnosť (ak sa ustanovenie smernice netýka SR alebo nie je potrebné ho prebrať)</w:t>
      </w:r>
    </w:p>
    <w:p w:rsidR="00D639CA" w:rsidP="00D639CA">
      <w:pPr>
        <w:bidi w:val="0"/>
      </w:pPr>
    </w:p>
    <w:p w:rsidR="00D639CA">
      <w:pPr>
        <w:bidi w:val="0"/>
      </w:pPr>
    </w:p>
    <w:p w:rsidR="00D639CA">
      <w:pPr>
        <w:bidi w:val="0"/>
      </w:pPr>
    </w:p>
    <w:p w:rsidR="00D639CA">
      <w:pPr>
        <w:bidi w:val="0"/>
      </w:pPr>
    </w:p>
    <w:p w:rsidR="00D639CA">
      <w:pPr>
        <w:bidi w:val="0"/>
      </w:pPr>
    </w:p>
    <w:p w:rsidR="00F05711">
      <w:pPr>
        <w:bidi w:val="0"/>
      </w:pPr>
    </w:p>
    <w:p w:rsidR="00F05711">
      <w:pPr>
        <w:bidi w:val="0"/>
      </w:pPr>
    </w:p>
    <w:p w:rsidR="00F05711">
      <w:pPr>
        <w:bidi w:val="0"/>
      </w:pPr>
    </w:p>
    <w:p w:rsidR="00F05711">
      <w:pPr>
        <w:bidi w:val="0"/>
      </w:pPr>
    </w:p>
    <w:p w:rsidR="00F05711">
      <w:pPr>
        <w:bidi w:val="0"/>
      </w:pPr>
    </w:p>
    <w:p w:rsidR="00F05711">
      <w:pPr>
        <w:bidi w:val="0"/>
      </w:pPr>
    </w:p>
    <w:p w:rsidR="00F05711">
      <w:pPr>
        <w:bidi w:val="0"/>
      </w:pPr>
    </w:p>
    <w:p w:rsidR="00F05711">
      <w:pPr>
        <w:bidi w:val="0"/>
      </w:pPr>
    </w:p>
    <w:p w:rsidR="00F05711" w:rsidRPr="00EA40F6" w:rsidP="00F05711">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Tabuľka zhody</w:t>
      </w:r>
    </w:p>
    <w:p w:rsidR="00F05711" w:rsidRPr="00EA40F6" w:rsidP="00F05711">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právneho predpisu</w:t>
      </w:r>
    </w:p>
    <w:p w:rsidR="00F05711" w:rsidRPr="00EA40F6" w:rsidP="00F05711">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s  právom Európskej únie</w:t>
      </w:r>
    </w:p>
    <w:p w:rsidR="00F05711" w:rsidP="00F05711">
      <w:pPr>
        <w:bidi w:val="0"/>
      </w:pPr>
    </w:p>
    <w:tbl>
      <w:tblPr>
        <w:tblStyle w:val="TableNormal"/>
        <w:tblpPr w:leftFromText="141" w:rightFromText="141" w:vertAnchor="text" w:tblpY="1"/>
        <w:tblOverlap w:val="neve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
        <w:gridCol w:w="4621"/>
        <w:gridCol w:w="1070"/>
        <w:gridCol w:w="682"/>
        <w:gridCol w:w="957"/>
        <w:gridCol w:w="4602"/>
        <w:gridCol w:w="713"/>
        <w:gridCol w:w="1666"/>
      </w:tblGrid>
      <w:tr>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336" w:type="dxa"/>
            <w:gridSpan w:val="3"/>
            <w:tcBorders>
              <w:top w:val="single" w:sz="4" w:space="0" w:color="auto"/>
              <w:left w:val="single" w:sz="4" w:space="0" w:color="auto"/>
              <w:bottom w:val="single" w:sz="4" w:space="0" w:color="auto"/>
              <w:right w:val="single" w:sz="4" w:space="0" w:color="auto"/>
            </w:tcBorders>
            <w:textDirection w:val="lrTb"/>
            <w:vAlign w:val="top"/>
          </w:tcPr>
          <w:p w:rsidR="00F05711" w:rsidRPr="00C667F3" w:rsidP="00524433">
            <w:pPr>
              <w:autoSpaceDE w:val="0"/>
              <w:autoSpaceDN w:val="0"/>
              <w:bidi w:val="0"/>
              <w:adjustRightInd w:val="0"/>
              <w:spacing w:after="0" w:line="240" w:lineRule="auto"/>
              <w:suppressOverlap/>
              <w:jc w:val="both"/>
              <w:rPr>
                <w:rFonts w:ascii="Times New Roman" w:hAnsi="Times New Roman"/>
                <w:sz w:val="20"/>
                <w:szCs w:val="20"/>
                <w:lang w:eastAsia="sk-SK"/>
              </w:rPr>
            </w:pPr>
            <w:r>
              <w:rPr>
                <w:rFonts w:ascii="Times New Roman" w:hAnsi="Times New Roman"/>
                <w:sz w:val="20"/>
                <w:szCs w:val="20"/>
                <w:lang w:eastAsia="sk-SK"/>
              </w:rPr>
              <w:t>Nariadenie Európskeho parlamentu a Rady (EÚ) č. 421/2014 zo 16. apríla 2014, ktorým sa mení smernica 2003/87/ES o vytvorení systému obchodovania s emisnými kvótami skleníkových plynov v Spoločenstve s cieľom vykonať do roku 2020 medzinárodnú dohodu, ktorou sa na emisie z medzinárodnej leteckej dopravy uplatňuje jednotné globálne trhové opatrenie</w:t>
            </w:r>
          </w:p>
        </w:tc>
        <w:tc>
          <w:tcPr>
            <w:tcW w:w="9690" w:type="dxa"/>
            <w:gridSpan w:val="6"/>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rPr>
                <w:rFonts w:ascii="Times New Roman" w:hAnsi="Times New Roman"/>
                <w:sz w:val="20"/>
                <w:szCs w:val="20"/>
                <w:lang w:eastAsia="sk-SK"/>
              </w:rPr>
            </w:pPr>
            <w:r w:rsidRPr="00EA40F6">
              <w:rPr>
                <w:rFonts w:ascii="Times New Roman" w:hAnsi="Times New Roman"/>
                <w:sz w:val="20"/>
                <w:szCs w:val="20"/>
                <w:lang w:eastAsia="sk-SK"/>
              </w:rPr>
              <w:t>Právne predpisy Slovenskej republiky:</w:t>
            </w:r>
          </w:p>
          <w:p w:rsidR="00F05711" w:rsidRPr="00EA40F6" w:rsidP="00524433">
            <w:pPr>
              <w:bidi w:val="0"/>
              <w:spacing w:after="0" w:line="240" w:lineRule="auto"/>
              <w:suppressOverlap/>
              <w:rPr>
                <w:rFonts w:ascii="Times New Roman" w:hAnsi="Times New Roman"/>
                <w:sz w:val="20"/>
                <w:szCs w:val="20"/>
                <w:lang w:eastAsia="sk-SK"/>
              </w:rPr>
            </w:pPr>
            <w:r>
              <w:rPr>
                <w:rFonts w:ascii="Times New Roman" w:hAnsi="Times New Roman"/>
                <w:sz w:val="20"/>
                <w:szCs w:val="20"/>
                <w:lang w:eastAsia="sk-SK"/>
              </w:rPr>
              <w:t xml:space="preserve">Návrh zákona, ktorým sa mení a dopĺňa zákon č. 414/2012 Z. z. o obchodovaní s emisnými kvótami a o zmene a doplnení niektorých zákonov a ktorým sa menia a dopĺňajú niektoré zákony </w:t>
            </w:r>
          </w:p>
          <w:p w:rsidR="00F05711" w:rsidRPr="00EA40F6" w:rsidP="00524433">
            <w:pPr>
              <w:bidi w:val="0"/>
              <w:spacing w:after="0" w:line="240" w:lineRule="auto"/>
              <w:ind w:left="227" w:hanging="227"/>
              <w:suppressOverlap/>
              <w:rPr>
                <w:rFonts w:ascii="Times New Roman" w:hAnsi="Times New Roman"/>
                <w:bCs/>
                <w:sz w:val="18"/>
                <w:szCs w:val="18"/>
                <w:lang w:eastAsia="sk-SK"/>
              </w:rPr>
            </w:pPr>
          </w:p>
          <w:p w:rsidR="00F05711" w:rsidRPr="00EA40F6" w:rsidP="00524433">
            <w:pPr>
              <w:bidi w:val="0"/>
              <w:spacing w:after="0" w:line="240" w:lineRule="auto"/>
              <w:suppressOverlap/>
              <w:rPr>
                <w:rFonts w:ascii="Times New Roman" w:hAnsi="Times New Roman"/>
                <w:bCs/>
                <w:sz w:val="20"/>
                <w:szCs w:val="20"/>
                <w:lang w:eastAsia="sk-SK"/>
              </w:rPr>
            </w:pPr>
            <w:r w:rsidRPr="00EA40F6">
              <w:rPr>
                <w:rFonts w:ascii="Times New Roman" w:hAnsi="Times New Roman"/>
                <w:bCs/>
                <w:sz w:val="18"/>
                <w:szCs w:val="18"/>
                <w:lang w:eastAsia="sk-SK"/>
              </w:rPr>
              <w:t xml:space="preserve"> </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1</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3</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4</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5</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6</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7</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8</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O, V, P)</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Spôsob transpozície</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Číslo</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 O, V, P)</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Zhoda</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F05711" w:rsidRPr="00EA40F6" w:rsidP="00524433">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Poznámky</w:t>
            </w: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NewRoman" w:hAnsi="TimesNewRoman" w:cs="TimesNewRoman"/>
                <w:sz w:val="19"/>
                <w:szCs w:val="19"/>
                <w:lang w:eastAsia="sk-SK"/>
              </w:rPr>
            </w:pPr>
            <w:r w:rsidRPr="00EA40F6">
              <w:rPr>
                <w:rFonts w:ascii="TimesNewRoman" w:hAnsi="TimesNewRoman" w:cs="TimesNewRoman"/>
                <w:sz w:val="19"/>
                <w:szCs w:val="19"/>
                <w:lang w:eastAsia="sk-SK"/>
              </w:rPr>
              <w:t>Č:1</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F05711"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Smernica 2003/87/ES sa týmto mení takto: </w:t>
            </w:r>
          </w:p>
          <w:p w:rsidR="00F05711"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F05711" w:rsidP="00F05711">
            <w:pPr>
              <w:numPr>
                <w:numId w:val="39"/>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Vkladá sa tento článok: </w:t>
            </w: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F05711" w:rsidP="0052443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w:t>
            </w:r>
            <w:r w:rsidRPr="0071522E">
              <w:rPr>
                <w:rFonts w:ascii="TimesNewRoman" w:hAnsi="TimesNewRoman" w:cs="TimesNewRoman"/>
                <w:i/>
                <w:sz w:val="19"/>
                <w:szCs w:val="19"/>
                <w:lang w:eastAsia="sk-SK"/>
              </w:rPr>
              <w:t>Článok 28a</w:t>
            </w:r>
            <w:r w:rsidRPr="0071522E">
              <w:rPr>
                <w:rFonts w:ascii="TimesNewRoman" w:hAnsi="TimesNewRoman" w:cs="TimesNewRoman"/>
                <w:sz w:val="19"/>
                <w:szCs w:val="19"/>
                <w:lang w:eastAsia="sk-SK"/>
              </w:rPr>
              <w:t xml:space="preserve"> </w:t>
            </w:r>
          </w:p>
          <w:p w:rsidR="00F05711" w:rsidP="0052443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F05711" w:rsidRPr="0071522E" w:rsidP="00524433">
            <w:pPr>
              <w:autoSpaceDE w:val="0"/>
              <w:autoSpaceDN w:val="0"/>
              <w:bidi w:val="0"/>
              <w:adjustRightInd w:val="0"/>
              <w:spacing w:after="0" w:line="240" w:lineRule="auto"/>
              <w:ind w:left="360"/>
              <w:suppressOverlap/>
              <w:jc w:val="both"/>
              <w:rPr>
                <w:rFonts w:ascii="TimesNewRoman" w:hAnsi="TimesNewRoman" w:cs="TimesNewRoman"/>
                <w:b/>
                <w:sz w:val="19"/>
                <w:szCs w:val="19"/>
                <w:lang w:eastAsia="sk-SK"/>
              </w:rPr>
            </w:pPr>
            <w:r w:rsidRPr="0071522E">
              <w:rPr>
                <w:rFonts w:ascii="TimesNewRoman" w:hAnsi="TimesNewRoman" w:cs="TimesNewRoman"/>
                <w:b/>
                <w:sz w:val="19"/>
                <w:szCs w:val="19"/>
                <w:lang w:eastAsia="sk-SK"/>
              </w:rPr>
              <w:t>Odchýlky uplatniteľné do roku 2020 do začiatku vykonávania medzinárodnej dohody o uplatňovaní jednotného globálneho trhového opatrenia</w:t>
            </w:r>
          </w:p>
          <w:p w:rsidR="00F05711" w:rsidP="0052443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12 ods. 2a, článku 14 ods. 3 a článku 16 považujú členské štáty požiadavky stanovené v uvedených ustanoveniach za splnené a neprijmú žiadne opatrenia proti prevádzkovateľom lietadiel, pokiaľ ide o: </w:t>
            </w: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F05711" w:rsidP="00F05711">
            <w:pPr>
              <w:numPr>
                <w:numId w:val="41"/>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všetky emisie z letov na letiská nachádzajúce sa v krajinách mimo Európskeho hospodárskeho priestoru (EHP) a z týchto letísk v každom kalendárnom roku od 1. januára 2013 do 31. decembra 2016; </w:t>
            </w:r>
          </w:p>
          <w:p w:rsidR="00F05711" w:rsidP="00524433">
            <w:pPr>
              <w:autoSpaceDE w:val="0"/>
              <w:autoSpaceDN w:val="0"/>
              <w:bidi w:val="0"/>
              <w:adjustRightInd w:val="0"/>
              <w:spacing w:after="0" w:line="240" w:lineRule="auto"/>
              <w:ind w:left="1080"/>
              <w:suppressOverlap/>
              <w:jc w:val="both"/>
              <w:rPr>
                <w:rFonts w:ascii="TimesNewRoman" w:hAnsi="TimesNewRoman" w:cs="TimesNewRoman"/>
                <w:sz w:val="19"/>
                <w:szCs w:val="19"/>
                <w:lang w:eastAsia="sk-SK"/>
              </w:rPr>
            </w:pPr>
          </w:p>
          <w:p w:rsidR="00F05711" w:rsidP="00F05711">
            <w:pPr>
              <w:numPr>
                <w:numId w:val="41"/>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všetky emisie z letov medzi letiskom nachádzajúcom sa v najvzdialenejšom regióne v zmysle článku 349 Zmluvy o fungovaní Európskej únie (ZFEÚ) a letiskom nachádzajúcom sa v inom regióne EHP v každom kalendárnom roku od 1. januára 2013 do 31. decembra 2016; </w:t>
            </w:r>
          </w:p>
          <w:p w:rsidR="00F05711"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F05711" w:rsidP="00F05711">
            <w:pPr>
              <w:numPr>
                <w:numId w:val="41"/>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kvóty zodpovedajúce overeným emisiám z letov medzi letiskami nachádzajúcimi sa v štátoch EHP v roku 2013, ktoré sa odovzdali do 30. apríla 2015 namiesto 30. apríla 2014, a overeným emisiám z týchto letov v roku 2013 nahláseným do 31. marca 2015 namiesto 31. marca 2014. </w:t>
            </w:r>
          </w:p>
          <w:p w:rsidR="00F05711"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Na účely článkov 11a, 12 a 14 sa overené emisie z iných letov než z letov uvedených v prvom pododseku považujú za overené emisie prevádzkovateľa lietadla. </w:t>
            </w: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3e ods. 5 a článku 3f sa prevádzkovateľovi lietadla, ktorý využíva výnimky stanovené v odseku 1 písm. a) a b) tohto článku vydá počet bezplatných kvót znížený v pomere k zníženiu povinne odovzdaných kvót uvedenému v uvedených písmenách. </w:t>
            </w: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3f ods. 8 sa kvóty, ktoré nie sú v dôsledku uplatňovania prvého pododseku tohto odseku pridelené, zrušia. </w:t>
            </w: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Pokiaľ ide o činnosť v období od 1. januára 2013 do 31. decembra 2016, členské štáty uverejnia množstvo bezplatných kvót pre leteckú dopravu pridelených jednotlivým prevádzkovateľom lietadiel do 1. augusta 2014.</w:t>
            </w:r>
          </w:p>
          <w:p w:rsidR="00F05711" w:rsidP="00524433">
            <w:pPr>
              <w:autoSpaceDE w:val="0"/>
              <w:autoSpaceDN w:val="0"/>
              <w:bidi w:val="0"/>
              <w:adjustRightInd w:val="0"/>
              <w:spacing w:after="0" w:line="240" w:lineRule="auto"/>
              <w:ind w:left="720"/>
              <w:suppressOverlap/>
              <w:jc w:val="both"/>
              <w:rPr>
                <w:rFonts w:ascii="TimesNewRoman" w:hAnsi="TimesNewRoman" w:cs="TimesNewRoman"/>
                <w:sz w:val="19"/>
                <w:szCs w:val="19"/>
                <w:lang w:eastAsia="sk-SK"/>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3d členské štáty prostredníctvom aukcie ponúknu na predaj počet kvót pre leteckú dopravu znížený v pomere k zníženiu celkového množstva vydaných kvót. </w:t>
            </w:r>
          </w:p>
          <w:p w:rsidR="00F05711"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Odchylne od článku 3d ods. 3 sa množstvo kvót, s ktorými má každý členský štát obchodovať formou aukcie v období od 1. januára 2013 do 31. decembra 2016, znižuje tak, aby bolo v súlade s jeho podielom započítaných emisií z leteckej dopravy z letov, ktoré nepodliehajú odchýlkam stanoveným v odseku 1 písm. a) a b) tohto článku. 30.4.2014 L 129/3 Úradný vestník Európskej únie SK</w:t>
            </w:r>
          </w:p>
          <w:p w:rsidR="00F05711" w:rsidRPr="0071522E"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Odchylne od článku 3g nemajú prevádzkovatelia lietadiel povinnosť predkladať plány monitorovania stanovujúce opatrenia na monitorovanie a podávanie správ o emisiách v prípade letov, ktoré podliehajú odchýlkam stanoveným v odseku 1 písm. a) a b) tohto článku. </w:t>
            </w:r>
          </w:p>
          <w:p w:rsidR="00F05711"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Odchylne od článkov 3g, 12, 15 a 18a sa v prípade, že sú celkové ročné emisie prevádzkovateľa lietadla nižšie ako 25 000 ton CO2, jeho emisie sa považujú za overené, ak boli určené prostredníctvom nástroja pre malých producentov emisií, ktorý bol schválený na základe nariadenia Komisie (EÚ) č. 606/2010 (*) a ktorý Eurocontrol naplnil údajmi zo svojho podporného nástroja ETS. Členské štáty môžu pre nekomerčných prevádzkovateľov lietadiel zaviesť zjednodušené postupy, pokiaľ takéto postupy neposkytujú nižšiu presnosť, než akú poskytuje nástroj pre malých producentov emisií.</w:t>
            </w:r>
          </w:p>
          <w:p w:rsidR="00F05711" w:rsidP="00524433">
            <w:pPr>
              <w:pStyle w:val="ListParagraph"/>
              <w:bidi w:val="0"/>
              <w:spacing w:after="0" w:line="240" w:lineRule="auto"/>
              <w:rPr>
                <w:rFonts w:ascii="TimesNewRoman" w:hAnsi="TimesNewRoman" w:cs="TimesNewRoman"/>
                <w:sz w:val="19"/>
                <w:szCs w:val="19"/>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Na účely tohto článku sa lety medzi letiskami nachádzajúcimi sa v štátoch EHP a krajinách, ktoré pristúpili k Únii v roku 2013, považujú za lety medzi letiskami nachádzajúcimi sa v štátoch EHP.</w:t>
            </w:r>
          </w:p>
          <w:p w:rsidR="00F05711" w:rsidP="00524433">
            <w:pPr>
              <w:pStyle w:val="ListParagraph"/>
              <w:bidi w:val="0"/>
              <w:spacing w:after="0" w:line="240" w:lineRule="auto"/>
              <w:rPr>
                <w:rFonts w:ascii="TimesNewRoman" w:hAnsi="TimesNewRoman" w:cs="TimesNewRoman"/>
                <w:sz w:val="19"/>
                <w:szCs w:val="19"/>
              </w:rPr>
            </w:pPr>
          </w:p>
          <w:p w:rsidR="00F05711" w:rsidP="00F05711">
            <w:pPr>
              <w:numPr>
                <w:numId w:val="40"/>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Komisia pravidelne, a to aspoň raz ročne, informuje Európsky parlament a Radu o pokroku v rokovaniach v rámci Medzinárodnej organizácie pre civilné letectvo (ICAO), ako aj o svojom úsilí o presadenie medzinárodného prijatia trhových mechanizmov v tretích krajinách. Po zhromaždení ICAO v roku 2016 predloží Komisia Európskemu parlamentu a Rade správu o opatreniach na vykonanie medzinárodnej dohody o celosvetovom trhovom opatrení od roku 2020, ktoré zníži nediskriminačným spôsobom emisie skleníkových plynov z leteckej dopravy, a o informáciách týkajúcich sa využitia príjmov, ktoré členské štáty predkladajú v súlade s článkom 17 nariadenia (EÚ) č. 525/2013.</w:t>
            </w:r>
          </w:p>
          <w:p w:rsidR="00F05711" w:rsidP="00524433">
            <w:pPr>
              <w:pStyle w:val="ListParagraph"/>
              <w:bidi w:val="0"/>
              <w:spacing w:after="0" w:line="240" w:lineRule="auto"/>
              <w:rPr>
                <w:rFonts w:ascii="TimesNewRoman" w:hAnsi="TimesNewRoman" w:cs="TimesNewRoman"/>
                <w:sz w:val="19"/>
                <w:szCs w:val="19"/>
              </w:rPr>
            </w:pPr>
          </w:p>
          <w:p w:rsidR="00F05711" w:rsidP="0052443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Vo svojej správe Komisia zváži vhodný rozsah pokrytia emisií pochádzajúcich z vykonávania leteckej dopravy na letiská nachádzajúce sa v krajinách mimo EHP a z týchto letísk od 1. januára 2017 a v prípade potreby zahrnie návrhy reagujúce na tento vývoj. Komisia vo svojej správe zohľadní aj riešenia iných otázok, ktoré sa môžu objaviť v súvislosti s uplatňovaním odsekov 1 až 4 tohto článku, pričom zachová rovnaké zaobchádzanie so všetkými prevádzkovateľmi lietadiel na tej istej trase.</w:t>
            </w:r>
          </w:p>
          <w:p w:rsidR="00F05711" w:rsidP="0052443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F05711" w:rsidP="00F05711">
            <w:pPr>
              <w:numPr>
                <w:numId w:val="39"/>
              </w:num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 xml:space="preserve">V prílohe I sa v stĺpci „Činnosti“ tabuľky v nej uvedenej pod názvom „Letecká doprava“ dopĺňa toto písmeno: </w:t>
            </w:r>
          </w:p>
          <w:p w:rsidR="00F05711" w:rsidP="0052443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p>
          <w:p w:rsidR="00F05711" w:rsidRPr="00EA40F6" w:rsidP="00524433">
            <w:pPr>
              <w:autoSpaceDE w:val="0"/>
              <w:autoSpaceDN w:val="0"/>
              <w:bidi w:val="0"/>
              <w:adjustRightInd w:val="0"/>
              <w:spacing w:after="0" w:line="240" w:lineRule="auto"/>
              <w:ind w:left="360"/>
              <w:suppressOverlap/>
              <w:jc w:val="both"/>
              <w:rPr>
                <w:rFonts w:ascii="TimesNewRoman" w:hAnsi="TimesNewRoman" w:cs="TimesNewRoman"/>
                <w:sz w:val="19"/>
                <w:szCs w:val="19"/>
                <w:lang w:eastAsia="sk-SK"/>
              </w:rPr>
            </w:pPr>
            <w:r w:rsidRPr="0071522E">
              <w:rPr>
                <w:rFonts w:ascii="TimesNewRoman" w:hAnsi="TimesNewRoman" w:cs="TimesNewRoman"/>
                <w:sz w:val="19"/>
                <w:szCs w:val="19"/>
                <w:lang w:eastAsia="sk-SK"/>
              </w:rPr>
              <w:t>„k)od 1. januára 2013 do 31. decembra 2020 lety, ktoré by inak patrili pod túto činnosť a ktoré vykonáva nekomerčný prevádzkovateľ lietadiel prevádzkujúci lety s celkovými ročnými emisiami nižšími ako 1 000 ton za rok.“</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p>
          <w:p w:rsidR="00F05711" w:rsidP="0052443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F05711" w:rsidRPr="00EA40F6" w:rsidP="0052443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§:38a</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P="00524433">
            <w:pPr>
              <w:bidi w:val="0"/>
              <w:spacing w:after="0" w:line="240" w:lineRule="auto"/>
              <w:suppressOverlap/>
              <w:jc w:val="both"/>
              <w:rPr>
                <w:rFonts w:ascii="Times New Roman" w:hAnsi="Times New Roman"/>
                <w:sz w:val="18"/>
                <w:szCs w:val="18"/>
                <w:lang w:eastAsia="sk-SK"/>
              </w:rPr>
            </w:pPr>
          </w:p>
          <w:p w:rsidR="00F05711" w:rsidRPr="00115FFE" w:rsidP="00F05711">
            <w:pPr>
              <w:numPr>
                <w:numId w:val="43"/>
              </w:num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Požiadavky pre prevádz</w:t>
            </w:r>
            <w:r>
              <w:rPr>
                <w:rFonts w:ascii="Times New Roman" w:hAnsi="Times New Roman"/>
                <w:sz w:val="19"/>
                <w:szCs w:val="19"/>
                <w:lang w:eastAsia="sk-SK"/>
              </w:rPr>
              <w:t xml:space="preserve">kovateľa lietadla ustanovené v </w:t>
            </w:r>
            <w:r w:rsidRPr="00115FFE">
              <w:rPr>
                <w:rFonts w:ascii="Times New Roman" w:hAnsi="Times New Roman"/>
                <w:sz w:val="19"/>
                <w:szCs w:val="19"/>
                <w:lang w:eastAsia="sk-SK"/>
              </w:rPr>
              <w:t>§ 13 ods. 2 a</w:t>
            </w:r>
            <w:r>
              <w:rPr>
                <w:rFonts w:ascii="Times New Roman" w:hAnsi="Times New Roman"/>
                <w:sz w:val="19"/>
                <w:szCs w:val="19"/>
                <w:lang w:eastAsia="sk-SK"/>
              </w:rPr>
              <w:t xml:space="preserve"> </w:t>
            </w:r>
            <w:r w:rsidRPr="00115FFE">
              <w:rPr>
                <w:rFonts w:ascii="Times New Roman" w:hAnsi="Times New Roman"/>
                <w:sz w:val="19"/>
                <w:szCs w:val="19"/>
                <w:lang w:eastAsia="sk-SK"/>
              </w:rPr>
              <w:t>§ 20 ods. 7  pre obdobie od 1. januára 2013 do 31. decembra 2016 sa považujú za splnené, ak ide o</w:t>
            </w:r>
            <w:r>
              <w:rPr>
                <w:rFonts w:ascii="Times New Roman" w:hAnsi="Times New Roman"/>
                <w:sz w:val="19"/>
                <w:szCs w:val="19"/>
                <w:lang w:eastAsia="sk-SK"/>
              </w:rPr>
              <w:t> emisie z letov</w:t>
            </w:r>
          </w:p>
          <w:p w:rsidR="00F05711" w:rsidRPr="00115FFE" w:rsidP="00F05711">
            <w:pPr>
              <w:numPr>
                <w:numId w:val="42"/>
              </w:num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na letiská nachádzajúce sa v štátoch mimo Európskeho hospodárskeho priestoru a z týchto letísk,</w:t>
            </w:r>
          </w:p>
          <w:p w:rsidR="00F05711" w:rsidRPr="00115FFE" w:rsidP="00F05711">
            <w:pPr>
              <w:numPr>
                <w:numId w:val="42"/>
              </w:num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medzi letiskom nachádzajúcom sa v najvzdialenejšom regióne podľa osobitného predpisu</w:t>
            </w:r>
            <w:r w:rsidRPr="00115FFE">
              <w:rPr>
                <w:rFonts w:ascii="Times New Roman" w:hAnsi="Times New Roman"/>
                <w:sz w:val="19"/>
                <w:szCs w:val="19"/>
                <w:vertAlign w:val="superscript"/>
                <w:lang w:eastAsia="sk-SK"/>
              </w:rPr>
              <w:t>43a</w:t>
            </w:r>
            <w:r w:rsidRPr="00115FFE">
              <w:rPr>
                <w:rFonts w:ascii="Times New Roman" w:hAnsi="Times New Roman"/>
                <w:sz w:val="19"/>
                <w:szCs w:val="19"/>
                <w:lang w:eastAsia="sk-SK"/>
              </w:rPr>
              <w:t>) a letiskom nachádzajúcom sa v inom regióne Európskeho hospodárskeho priestoru.</w:t>
            </w: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F05711">
            <w:pPr>
              <w:numPr>
                <w:numId w:val="43"/>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Prevádzkovateľ lietadla z letov medzi letiskami nachádzajúcimi sa v štátoch Európskeho hospodárskeho priestoru v roku 2013 a overenými emisiami z týchto letov je povinný splniť povinnosti podľa § 21 ods. 2 písm. a) do 1. marca 2015 a podľa § 21 ods. 2 písm. b) do 30. apríla 2015.</w:t>
            </w:r>
          </w:p>
          <w:p w:rsidR="00F05711"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FB0FA2" w:rsidP="00F05711">
            <w:pPr>
              <w:numPr>
                <w:numId w:val="43"/>
              </w:numPr>
              <w:bidi w:val="0"/>
              <w:spacing w:after="0" w:line="240" w:lineRule="auto"/>
              <w:jc w:val="both"/>
              <w:rPr>
                <w:rFonts w:ascii="Times New Roman" w:hAnsi="Times New Roman"/>
                <w:sz w:val="19"/>
                <w:szCs w:val="19"/>
                <w:lang w:eastAsia="sk-SK"/>
              </w:rPr>
            </w:pPr>
            <w:r w:rsidRPr="00FB0FA2">
              <w:rPr>
                <w:rFonts w:ascii="Times New Roman" w:hAnsi="Times New Roman"/>
                <w:sz w:val="19"/>
                <w:szCs w:val="19"/>
                <w:lang w:eastAsia="sk-SK"/>
              </w:rPr>
              <w:t>Na účely § 11, 13 a 20 sa overené emisie z iných letov ako z letov podľa odseku 1 považujú za overené emisie prevádzkovateľa lietadla.</w:t>
            </w: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F05711">
            <w:pPr>
              <w:numPr>
                <w:numId w:val="46"/>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Prevádzkovateľovi lietadla, na ktorého sa vzťahuje odsek 1,  sa vydá počet bezodplatných kvót znížený v pomere k zníženiu povinne odovzdaných kvót podľa odseku 1.</w:t>
            </w: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P="00524433">
            <w:pPr>
              <w:bidi w:val="0"/>
              <w:spacing w:after="0" w:line="240" w:lineRule="auto"/>
              <w:suppressOverlap/>
              <w:jc w:val="both"/>
              <w:rPr>
                <w:rFonts w:ascii="Times New Roman" w:hAnsi="Times New Roman"/>
                <w:sz w:val="19"/>
                <w:szCs w:val="19"/>
                <w:lang w:eastAsia="sk-SK"/>
              </w:rPr>
            </w:pPr>
          </w:p>
          <w:p w:rsidR="00F05711" w:rsidP="00524433">
            <w:pPr>
              <w:bidi w:val="0"/>
              <w:spacing w:after="0" w:line="240" w:lineRule="auto"/>
              <w:suppressOverlap/>
              <w:jc w:val="both"/>
              <w:rPr>
                <w:rFonts w:ascii="Times New Roman" w:hAnsi="Times New Roman"/>
                <w:sz w:val="19"/>
                <w:szCs w:val="19"/>
                <w:lang w:eastAsia="sk-SK"/>
              </w:rPr>
            </w:pPr>
          </w:p>
          <w:p w:rsidR="00F05711"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F05711">
            <w:pPr>
              <w:numPr>
                <w:numId w:val="44"/>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Prevádzkovateľ lietadla nemá povinnosť predkladať plány monitorovania určujúce opatrenia na monitorovanie a podávanie správ o emisiách,  ak ide o  lety, na ktoré sa vzťahuje odsek 1.</w:t>
            </w:r>
          </w:p>
          <w:p w:rsidR="00F05711" w:rsidRPr="00115FFE" w:rsidP="00524433">
            <w:pPr>
              <w:bidi w:val="0"/>
              <w:spacing w:after="0" w:line="240" w:lineRule="auto"/>
              <w:suppressOverlap/>
              <w:jc w:val="both"/>
              <w:rPr>
                <w:rFonts w:ascii="Times New Roman" w:hAnsi="Times New Roman"/>
                <w:sz w:val="19"/>
                <w:szCs w:val="19"/>
                <w:lang w:eastAsia="sk-SK"/>
              </w:rPr>
            </w:pPr>
          </w:p>
          <w:p w:rsidR="00F05711" w:rsidP="00524433">
            <w:pPr>
              <w:bidi w:val="0"/>
              <w:spacing w:after="0" w:line="240" w:lineRule="auto"/>
              <w:suppressOverlap/>
              <w:jc w:val="both"/>
              <w:rPr>
                <w:rFonts w:ascii="Times New Roman" w:hAnsi="Times New Roman"/>
                <w:sz w:val="19"/>
                <w:szCs w:val="19"/>
                <w:lang w:eastAsia="sk-SK"/>
              </w:rPr>
            </w:pPr>
          </w:p>
          <w:p w:rsidR="00F05711"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F05711">
            <w:pPr>
              <w:numPr>
                <w:numId w:val="45"/>
              </w:numPr>
              <w:bidi w:val="0"/>
              <w:spacing w:after="0" w:line="240" w:lineRule="auto"/>
              <w:suppressOverlap/>
              <w:jc w:val="both"/>
              <w:rPr>
                <w:rFonts w:ascii="Times New Roman" w:hAnsi="Times New Roman"/>
                <w:sz w:val="19"/>
                <w:szCs w:val="19"/>
                <w:lang w:eastAsia="sk-SK"/>
              </w:rPr>
            </w:pPr>
            <w:r w:rsidRPr="00FB0FA2">
              <w:rPr>
                <w:rFonts w:ascii="Times New Roman" w:hAnsi="Times New Roman"/>
                <w:sz w:val="19"/>
                <w:szCs w:val="19"/>
                <w:lang w:eastAsia="sk-SK"/>
              </w:rPr>
              <w:t xml:space="preserve">Ak  sú celkové ročné emisie prevádzkovateľa lietadla nižšie ako 25 000 ton CO2, jeho emisie sa považujú za overené, ak boli určené prostredníctvom nástroja na odhadovanie spotreby paliva pre leteckých prevádzkovateľov s nízkym množstvom emisií </w:t>
            </w:r>
            <w:r>
              <w:rPr>
                <w:rFonts w:ascii="Times New Roman" w:hAnsi="Times New Roman"/>
                <w:sz w:val="19"/>
                <w:szCs w:val="19"/>
                <w:lang w:eastAsia="sk-SK"/>
              </w:rPr>
              <w:t>podľa osobitného predpisu.</w:t>
            </w:r>
            <w:r w:rsidRPr="00FB0FA2">
              <w:rPr>
                <w:rFonts w:ascii="Times New Roman" w:hAnsi="Times New Roman"/>
                <w:sz w:val="19"/>
                <w:szCs w:val="19"/>
                <w:vertAlign w:val="superscript"/>
                <w:lang w:eastAsia="sk-SK"/>
              </w:rPr>
              <w:t>43b</w:t>
            </w:r>
            <w:r>
              <w:rPr>
                <w:rFonts w:ascii="Times New Roman" w:hAnsi="Times New Roman"/>
                <w:sz w:val="19"/>
                <w:szCs w:val="19"/>
                <w:lang w:eastAsia="sk-SK"/>
              </w:rPr>
              <w:t>)</w:t>
            </w: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 xml:space="preserve">Príloha č. 1 </w:t>
            </w:r>
            <w:r>
              <w:rPr>
                <w:rFonts w:ascii="Times New Roman" w:hAnsi="Times New Roman"/>
                <w:sz w:val="19"/>
                <w:szCs w:val="19"/>
                <w:lang w:eastAsia="sk-SK"/>
              </w:rPr>
              <w:t xml:space="preserve">sa </w:t>
            </w:r>
            <w:r w:rsidRPr="00115FFE">
              <w:rPr>
                <w:rFonts w:ascii="Times New Roman" w:hAnsi="Times New Roman"/>
                <w:sz w:val="19"/>
                <w:szCs w:val="19"/>
                <w:lang w:eastAsia="sk-SK"/>
              </w:rPr>
              <w:t>Tabuľka D dopĺňa písmenom k), ktoré znie:</w:t>
            </w:r>
          </w:p>
          <w:p w:rsidR="00F05711" w:rsidRPr="00115FFE" w:rsidP="00524433">
            <w:pPr>
              <w:bidi w:val="0"/>
              <w:spacing w:after="0" w:line="240" w:lineRule="auto"/>
              <w:suppressOverlap/>
              <w:jc w:val="both"/>
              <w:rPr>
                <w:rFonts w:ascii="Times New Roman" w:hAnsi="Times New Roman"/>
                <w:sz w:val="19"/>
                <w:szCs w:val="19"/>
                <w:lang w:eastAsia="sk-SK"/>
              </w:rPr>
            </w:pPr>
          </w:p>
          <w:p w:rsidR="00F05711" w:rsidRPr="00115FFE" w:rsidP="00524433">
            <w:pPr>
              <w:bidi w:val="0"/>
              <w:spacing w:after="0" w:line="240" w:lineRule="auto"/>
              <w:suppressOverlap/>
              <w:jc w:val="both"/>
              <w:rPr>
                <w:rFonts w:ascii="Times New Roman" w:hAnsi="Times New Roman"/>
                <w:sz w:val="19"/>
                <w:szCs w:val="19"/>
                <w:lang w:eastAsia="sk-SK"/>
              </w:rPr>
            </w:pPr>
            <w:r w:rsidRPr="00115FFE">
              <w:rPr>
                <w:rFonts w:ascii="Times New Roman" w:hAnsi="Times New Roman"/>
                <w:sz w:val="19"/>
                <w:szCs w:val="19"/>
                <w:lang w:eastAsia="sk-SK"/>
              </w:rPr>
              <w:t xml:space="preserve">„k) lety, ktoré by inak patrili pod túto činnosť a ktoré vykonáva nekomerčný prevádzkovateľ lietadiel prevádzkujúci lety s celkovými ročnými emisiami nižšími ako 1 000 ton za rok,  uskutočňované od 1. januára 2013 do 31. decembra 2020.“. </w:t>
            </w:r>
          </w:p>
          <w:p w:rsidR="00F05711" w:rsidRPr="00EA40F6" w:rsidP="00524433">
            <w:pPr>
              <w:bidi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F05711"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5B38AF">
              <w:rPr>
                <w:rFonts w:ascii="TimesNewRoman" w:hAnsi="TimesNewRoman" w:cs="TimesNewRoman"/>
                <w:sz w:val="19"/>
                <w:szCs w:val="19"/>
                <w:lang w:eastAsia="sk-SK"/>
              </w:rPr>
              <w:t>Toto nariadenie nadobúda účinnosť dňom jeho uverejnenia v Úradnom vestníku Európskej únie.</w:t>
            </w:r>
          </w:p>
          <w:p w:rsidR="00F05711" w:rsidRPr="00EA40F6" w:rsidP="00524433">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5B38AF">
              <w:rPr>
                <w:rFonts w:ascii="TimesNewRoman" w:hAnsi="TimesNewRoman" w:cs="TimesNewRoman"/>
                <w:sz w:val="19"/>
                <w:szCs w:val="19"/>
                <w:lang w:eastAsia="sk-SK"/>
              </w:rPr>
              <w:t>Uplatňuje sa od 30. apríla 2014.</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tabs>
                <w:tab w:val="left" w:pos="235"/>
              </w:tabs>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F05711" w:rsidRPr="00EA40F6" w:rsidP="00524433">
            <w:pPr>
              <w:bidi w:val="0"/>
              <w:spacing w:after="0" w:line="240" w:lineRule="auto"/>
              <w:suppressOverlap/>
              <w:rPr>
                <w:rFonts w:ascii="Times New Roman" w:hAnsi="Times New Roman"/>
                <w:sz w:val="18"/>
                <w:szCs w:val="18"/>
                <w:lang w:eastAsia="sk-SK"/>
              </w:rPr>
            </w:pPr>
          </w:p>
        </w:tc>
      </w:tr>
    </w:tbl>
    <w:p w:rsidR="00F05711" w:rsidP="00F05711">
      <w:pPr>
        <w:bidi w:val="0"/>
        <w:spacing w:after="0" w:line="240" w:lineRule="auto"/>
        <w:jc w:val="both"/>
        <w:rPr>
          <w:rFonts w:ascii="Times New Roman" w:hAnsi="Times New Roman"/>
          <w:sz w:val="20"/>
          <w:szCs w:val="20"/>
          <w:lang w:eastAsia="sk-SK"/>
        </w:rPr>
      </w:pPr>
    </w:p>
    <w:p w:rsidR="00F05711" w:rsidRPr="00EA40F6" w:rsidP="00F05711">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LEGENDA:</w:t>
      </w:r>
    </w:p>
    <w:p w:rsidR="00F05711" w:rsidRPr="00EA40F6" w:rsidP="00F05711">
      <w:pPr>
        <w:bidi w:val="0"/>
        <w:spacing w:after="0" w:line="240" w:lineRule="auto"/>
        <w:jc w:val="both"/>
        <w:rPr>
          <w:rFonts w:ascii="Times New Roman" w:hAnsi="Times New Roman"/>
          <w:sz w:val="20"/>
          <w:szCs w:val="20"/>
          <w:u w:val="single"/>
          <w:lang w:eastAsia="sk-SK"/>
        </w:rPr>
      </w:pPr>
      <w:r w:rsidRPr="00EA40F6">
        <w:rPr>
          <w:rFonts w:ascii="Times New Roman" w:hAnsi="Times New Roman"/>
          <w:sz w:val="20"/>
          <w:szCs w:val="20"/>
          <w:u w:val="single"/>
          <w:lang w:eastAsia="sk-SK"/>
        </w:rPr>
        <w:t>V stĺpci (1):</w:t>
      </w:r>
      <w:r w:rsidRPr="00EA40F6">
        <w:rPr>
          <w:rFonts w:ascii="Times New Roman" w:hAnsi="Times New Roman"/>
          <w:sz w:val="20"/>
          <w:szCs w:val="20"/>
          <w:lang w:eastAsia="sk-SK"/>
        </w:rPr>
        <w:tab/>
        <w:tab/>
        <w:tab/>
      </w:r>
      <w:r w:rsidRPr="00EA40F6">
        <w:rPr>
          <w:rFonts w:ascii="Times New Roman" w:hAnsi="Times New Roman"/>
          <w:sz w:val="20"/>
          <w:szCs w:val="20"/>
          <w:u w:val="single"/>
          <w:lang w:eastAsia="sk-SK"/>
        </w:rPr>
        <w:t>V stĺpci (3):</w:t>
      </w:r>
      <w:r w:rsidRPr="00EA40F6">
        <w:rPr>
          <w:rFonts w:ascii="Times New Roman" w:hAnsi="Times New Roman"/>
          <w:sz w:val="20"/>
          <w:szCs w:val="20"/>
          <w:lang w:eastAsia="sk-SK"/>
        </w:rPr>
        <w:tab/>
        <w:tab/>
        <w:tab/>
        <w:tab/>
        <w:tab/>
      </w:r>
      <w:r w:rsidRPr="00EA40F6">
        <w:rPr>
          <w:rFonts w:ascii="Times New Roman" w:hAnsi="Times New Roman"/>
          <w:sz w:val="20"/>
          <w:szCs w:val="20"/>
          <w:u w:val="single"/>
          <w:lang w:eastAsia="sk-SK"/>
        </w:rPr>
        <w:t>V stĺpci (5):</w:t>
      </w:r>
      <w:r w:rsidRPr="00EA40F6">
        <w:rPr>
          <w:rFonts w:ascii="Times New Roman" w:hAnsi="Times New Roman"/>
          <w:sz w:val="20"/>
          <w:szCs w:val="20"/>
          <w:lang w:eastAsia="sk-SK"/>
        </w:rPr>
        <w:tab/>
        <w:tab/>
      </w:r>
      <w:r w:rsidRPr="00EA40F6">
        <w:rPr>
          <w:rFonts w:ascii="Times New Roman" w:hAnsi="Times New Roman"/>
          <w:sz w:val="20"/>
          <w:szCs w:val="20"/>
          <w:u w:val="single"/>
          <w:lang w:eastAsia="sk-SK"/>
        </w:rPr>
        <w:t>V stĺpci (7):</w:t>
      </w:r>
    </w:p>
    <w:p w:rsidR="00F05711" w:rsidRPr="00EA40F6" w:rsidP="00F05711">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Č – článok</w:t>
        <w:tab/>
        <w:tab/>
        <w:tab/>
        <w:t>N – bežná transpozícia</w:t>
        <w:tab/>
        <w:tab/>
        <w:tab/>
        <w:tab/>
        <w:t>Č – článok</w:t>
        <w:tab/>
        <w:tab/>
        <w:t>Ú – úplná zhoda</w:t>
      </w:r>
    </w:p>
    <w:p w:rsidR="00F05711" w:rsidRPr="00EA40F6" w:rsidP="00F05711">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O – odsek</w:t>
        <w:tab/>
        <w:tab/>
        <w:tab/>
        <w:t>O – transpozícia s možnosťou voľby</w:t>
        <w:tab/>
        <w:tab/>
        <w:t>§ - paragraf</w:t>
        <w:tab/>
        <w:tab/>
        <w:t>Č – čiastočná zhoda</w:t>
      </w:r>
    </w:p>
    <w:p w:rsidR="00F05711" w:rsidRPr="00EA40F6" w:rsidP="00F05711">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V – veta</w:t>
        <w:tab/>
        <w:tab/>
        <w:tab/>
        <w:tab/>
        <w:t>D – transpozícia podľa úvahy (dobrovoľná)</w:t>
        <w:tab/>
        <w:tab/>
        <w:t>O – odsek</w:t>
        <w:tab/>
        <w:tab/>
        <w:t xml:space="preserve">Ž – žiadna zhoda (ak nebola dosiahnutá ani čast. ani úplná </w:t>
      </w:r>
    </w:p>
    <w:p w:rsidR="00F05711" w:rsidRPr="00EA40F6" w:rsidP="00F05711">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ab/>
        <w:t>n.a. – transpozícia sa neuskutočňuje</w:t>
        <w:tab/>
        <w:tab/>
        <w:t>V – veta</w:t>
        <w:tab/>
        <w:tab/>
        <w:tab/>
        <w:t>zhoda alebo k prebratiu dôjde v budúcnosti)</w:t>
      </w:r>
    </w:p>
    <w:p w:rsidR="00F05711" w:rsidRPr="00EA40F6" w:rsidP="00F05711">
      <w:pPr>
        <w:bidi w:val="0"/>
        <w:spacing w:after="0" w:line="240" w:lineRule="auto"/>
        <w:ind w:left="9180" w:hanging="2100"/>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n.a. – neaplikovateľnosť (ak sa ustanovenie smernice netýka SR alebo nie je potrebné ho prebrať)</w:t>
      </w:r>
    </w:p>
    <w:p w:rsidR="00F05711" w:rsidP="00F05711">
      <w:pPr>
        <w:bidi w:val="0"/>
      </w:pPr>
    </w:p>
    <w:p w:rsidR="00F05711">
      <w:pPr>
        <w:bidi w:val="0"/>
      </w:pPr>
    </w:p>
    <w:p w:rsidR="00F05711">
      <w:pPr>
        <w:bidi w:val="0"/>
      </w:pPr>
    </w:p>
    <w:sectPr w:rsidSect="00EA40F6">
      <w:footerReference w:type="even" r:id="rId5"/>
      <w:footerReference w:type="default" r:id="rId6"/>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 Albertina">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TimesNewRoman+01">
    <w:panose1 w:val="00000000000000000000"/>
    <w:charset w:val="EE"/>
    <w:family w:val="auto"/>
    <w:pitch w:val="default"/>
    <w:sig w:usb0="00000000" w:usb1="00000000" w:usb2="00000000" w:usb3="00000000" w:csb0="00000002"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Italic">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F0" w:rsidP="001C78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D0CF0">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F0" w:rsidP="001C78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05711">
      <w:rPr>
        <w:rStyle w:val="PageNumber"/>
        <w:rFonts w:ascii="Times New Roman" w:hAnsi="Times New Roman"/>
        <w:noProof/>
      </w:rPr>
      <w:t>33</w:t>
    </w:r>
    <w:r>
      <w:rPr>
        <w:rStyle w:val="PageNumber"/>
        <w:rFonts w:ascii="Times New Roman" w:hAnsi="Times New Roman"/>
      </w:rPr>
      <w:fldChar w:fldCharType="end"/>
    </w:r>
  </w:p>
  <w:p w:rsidR="001D0CF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549"/>
    <w:multiLevelType w:val="hybridMultilevel"/>
    <w:tmpl w:val="7A0C94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5374A6D"/>
    <w:multiLevelType w:val="hybridMultilevel"/>
    <w:tmpl w:val="618A5C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AC077B"/>
    <w:multiLevelType w:val="hybridMultilevel"/>
    <w:tmpl w:val="4B80EDE6"/>
    <w:lvl w:ilvl="0">
      <w:start w:val="3"/>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BE34074"/>
    <w:multiLevelType w:val="multilevel"/>
    <w:tmpl w:val="1712750C"/>
    <w:lvl w:ilvl="0">
      <w:start w:val="1"/>
      <w:numFmt w:val="decimal"/>
      <w:lvlText w:val="%1."/>
      <w:lvlJc w:val="left"/>
      <w:pPr>
        <w:ind w:left="785" w:hanging="360"/>
      </w:pPr>
      <w:rPr>
        <w:rFonts w:cs="Times New Roman" w:hint="default"/>
        <w:rtl w:val="0"/>
        <w:cs w:val="0"/>
      </w:rPr>
    </w:lvl>
    <w:lvl w:ilvl="1">
      <w:start w:val="1"/>
      <w:numFmt w:val="decimal"/>
      <w:isLgl/>
      <w:lvlText w:val="%1.%2"/>
      <w:lvlJc w:val="left"/>
      <w:pPr>
        <w:ind w:left="1080" w:hanging="360"/>
      </w:pPr>
      <w:rPr>
        <w:rFonts w:cs="Times New Roman" w:hint="default"/>
        <w:rtl w:val="0"/>
        <w:cs w:val="0"/>
      </w:rPr>
    </w:lvl>
    <w:lvl w:ilvl="2">
      <w:start w:val="1"/>
      <w:numFmt w:val="decimal"/>
      <w:isLgl/>
      <w:lvlText w:val="%1.%2.%3"/>
      <w:lvlJc w:val="left"/>
      <w:pPr>
        <w:ind w:left="1800" w:hanging="720"/>
      </w:pPr>
      <w:rPr>
        <w:rFonts w:cs="Times New Roman" w:hint="default"/>
        <w:rtl w:val="0"/>
        <w:cs w:val="0"/>
      </w:rPr>
    </w:lvl>
    <w:lvl w:ilvl="3">
      <w:start w:val="1"/>
      <w:numFmt w:val="decimal"/>
      <w:isLgl/>
      <w:lvlText w:val="%1.%2.%3.%4"/>
      <w:lvlJc w:val="left"/>
      <w:pPr>
        <w:ind w:left="2160" w:hanging="720"/>
      </w:pPr>
      <w:rPr>
        <w:rFonts w:cs="Times New Roman" w:hint="default"/>
        <w:rtl w:val="0"/>
        <w:cs w:val="0"/>
      </w:rPr>
    </w:lvl>
    <w:lvl w:ilvl="4">
      <w:start w:val="1"/>
      <w:numFmt w:val="decimal"/>
      <w:isLgl/>
      <w:lvlText w:val="%1.%2.%3.%4.%5"/>
      <w:lvlJc w:val="left"/>
      <w:pPr>
        <w:ind w:left="2520" w:hanging="720"/>
      </w:pPr>
      <w:rPr>
        <w:rFonts w:cs="Times New Roman" w:hint="default"/>
        <w:rtl w:val="0"/>
        <w:cs w:val="0"/>
      </w:rPr>
    </w:lvl>
    <w:lvl w:ilvl="5">
      <w:start w:val="1"/>
      <w:numFmt w:val="decimal"/>
      <w:isLgl/>
      <w:lvlText w:val="%1.%2.%3.%4.%5.%6"/>
      <w:lvlJc w:val="left"/>
      <w:pPr>
        <w:ind w:left="3240" w:hanging="1080"/>
      </w:pPr>
      <w:rPr>
        <w:rFonts w:cs="Times New Roman" w:hint="default"/>
        <w:rtl w:val="0"/>
        <w:cs w:val="0"/>
      </w:rPr>
    </w:lvl>
    <w:lvl w:ilvl="6">
      <w:start w:val="1"/>
      <w:numFmt w:val="decimal"/>
      <w:isLgl/>
      <w:lvlText w:val="%1.%2.%3.%4.%5.%6.%7"/>
      <w:lvlJc w:val="left"/>
      <w:pPr>
        <w:ind w:left="3600" w:hanging="1080"/>
      </w:pPr>
      <w:rPr>
        <w:rFonts w:cs="Times New Roman" w:hint="default"/>
        <w:rtl w:val="0"/>
        <w:cs w:val="0"/>
      </w:rPr>
    </w:lvl>
    <w:lvl w:ilvl="7">
      <w:start w:val="1"/>
      <w:numFmt w:val="decimal"/>
      <w:isLgl/>
      <w:lvlText w:val="%1.%2.%3.%4.%5.%6.%7.%8"/>
      <w:lvlJc w:val="left"/>
      <w:pPr>
        <w:ind w:left="4320" w:hanging="1440"/>
      </w:pPr>
      <w:rPr>
        <w:rFonts w:cs="Times New Roman" w:hint="default"/>
        <w:rtl w:val="0"/>
        <w:cs w:val="0"/>
      </w:rPr>
    </w:lvl>
    <w:lvl w:ilvl="8">
      <w:start w:val="1"/>
      <w:numFmt w:val="decimal"/>
      <w:isLgl/>
      <w:lvlText w:val="%1.%2.%3.%4.%5.%6.%7.%8.%9"/>
      <w:lvlJc w:val="left"/>
      <w:pPr>
        <w:ind w:left="4680" w:hanging="1440"/>
      </w:pPr>
      <w:rPr>
        <w:rFonts w:cs="Times New Roman" w:hint="default"/>
        <w:rtl w:val="0"/>
        <w:cs w:val="0"/>
      </w:rPr>
    </w:lvl>
  </w:abstractNum>
  <w:abstractNum w:abstractNumId="4">
    <w:nsid w:val="1E264E5B"/>
    <w:multiLevelType w:val="hybridMultilevel"/>
    <w:tmpl w:val="9926EB6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FCB691C"/>
    <w:multiLevelType w:val="hybridMultilevel"/>
    <w:tmpl w:val="A98CD97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14" w:hanging="360"/>
      </w:pPr>
      <w:rPr>
        <w:rFonts w:cs="Times New Roman"/>
        <w:rtl w:val="0"/>
        <w:cs w:val="0"/>
      </w:rPr>
    </w:lvl>
    <w:lvl w:ilvl="2">
      <w:start w:val="1"/>
      <w:numFmt w:val="lowerRoman"/>
      <w:lvlText w:val="%3."/>
      <w:lvlJc w:val="right"/>
      <w:pPr>
        <w:ind w:left="1734" w:hanging="180"/>
      </w:pPr>
      <w:rPr>
        <w:rFonts w:cs="Times New Roman"/>
        <w:rtl w:val="0"/>
        <w:cs w:val="0"/>
      </w:rPr>
    </w:lvl>
    <w:lvl w:ilvl="3">
      <w:start w:val="1"/>
      <w:numFmt w:val="decimal"/>
      <w:lvlText w:val="%4."/>
      <w:lvlJc w:val="left"/>
      <w:pPr>
        <w:ind w:left="2454" w:hanging="360"/>
      </w:pPr>
      <w:rPr>
        <w:rFonts w:cs="Times New Roman"/>
        <w:rtl w:val="0"/>
        <w:cs w:val="0"/>
      </w:rPr>
    </w:lvl>
    <w:lvl w:ilvl="4">
      <w:start w:val="1"/>
      <w:numFmt w:val="lowerLetter"/>
      <w:lvlText w:val="%5."/>
      <w:lvlJc w:val="left"/>
      <w:pPr>
        <w:ind w:left="3174" w:hanging="360"/>
      </w:pPr>
      <w:rPr>
        <w:rFonts w:cs="Times New Roman"/>
        <w:rtl w:val="0"/>
        <w:cs w:val="0"/>
      </w:rPr>
    </w:lvl>
    <w:lvl w:ilvl="5">
      <w:start w:val="1"/>
      <w:numFmt w:val="lowerRoman"/>
      <w:lvlText w:val="%6."/>
      <w:lvlJc w:val="right"/>
      <w:pPr>
        <w:ind w:left="3894" w:hanging="180"/>
      </w:pPr>
      <w:rPr>
        <w:rFonts w:cs="Times New Roman"/>
        <w:rtl w:val="0"/>
        <w:cs w:val="0"/>
      </w:rPr>
    </w:lvl>
    <w:lvl w:ilvl="6">
      <w:start w:val="1"/>
      <w:numFmt w:val="decimal"/>
      <w:lvlText w:val="%7."/>
      <w:lvlJc w:val="left"/>
      <w:pPr>
        <w:ind w:left="4614" w:hanging="360"/>
      </w:pPr>
      <w:rPr>
        <w:rFonts w:cs="Times New Roman"/>
        <w:rtl w:val="0"/>
        <w:cs w:val="0"/>
      </w:rPr>
    </w:lvl>
    <w:lvl w:ilvl="7">
      <w:start w:val="1"/>
      <w:numFmt w:val="lowerLetter"/>
      <w:lvlText w:val="%8."/>
      <w:lvlJc w:val="left"/>
      <w:pPr>
        <w:ind w:left="5334" w:hanging="360"/>
      </w:pPr>
      <w:rPr>
        <w:rFonts w:cs="Times New Roman"/>
        <w:rtl w:val="0"/>
        <w:cs w:val="0"/>
      </w:rPr>
    </w:lvl>
    <w:lvl w:ilvl="8">
      <w:start w:val="1"/>
      <w:numFmt w:val="lowerRoman"/>
      <w:lvlText w:val="%9."/>
      <w:lvlJc w:val="right"/>
      <w:pPr>
        <w:ind w:left="6054" w:hanging="180"/>
      </w:pPr>
      <w:rPr>
        <w:rFonts w:cs="Times New Roman"/>
        <w:rtl w:val="0"/>
        <w:cs w:val="0"/>
      </w:rPr>
    </w:lvl>
  </w:abstractNum>
  <w:abstractNum w:abstractNumId="6">
    <w:nsid w:val="22166301"/>
    <w:multiLevelType w:val="multilevel"/>
    <w:tmpl w:val="041B001F"/>
    <w:lvl w:ilvl="0">
      <w:start w:val="1"/>
      <w:numFmt w:val="decimal"/>
      <w:lvlText w:val="%1."/>
      <w:lvlJc w:val="left"/>
      <w:pPr>
        <w:ind w:left="-3468" w:hanging="360"/>
      </w:pPr>
      <w:rPr>
        <w:rFonts w:cs="Times New Roman" w:hint="default"/>
        <w:rtl w:val="0"/>
        <w:cs w:val="0"/>
      </w:rPr>
    </w:lvl>
    <w:lvl w:ilvl="1">
      <w:start w:val="1"/>
      <w:numFmt w:val="decimal"/>
      <w:lvlText w:val="%1.%2."/>
      <w:lvlJc w:val="left"/>
      <w:pPr>
        <w:ind w:left="-3036" w:hanging="432"/>
      </w:pPr>
      <w:rPr>
        <w:rFonts w:cs="Times New Roman"/>
        <w:rtl w:val="0"/>
        <w:cs w:val="0"/>
      </w:rPr>
    </w:lvl>
    <w:lvl w:ilvl="2">
      <w:start w:val="1"/>
      <w:numFmt w:val="decimal"/>
      <w:lvlText w:val="%1.%2.%3."/>
      <w:lvlJc w:val="left"/>
      <w:pPr>
        <w:ind w:left="-2604" w:hanging="504"/>
      </w:pPr>
      <w:rPr>
        <w:rFonts w:cs="Times New Roman"/>
        <w:rtl w:val="0"/>
        <w:cs w:val="0"/>
      </w:rPr>
    </w:lvl>
    <w:lvl w:ilvl="3">
      <w:start w:val="1"/>
      <w:numFmt w:val="decimal"/>
      <w:lvlText w:val="%1.%2.%3.%4."/>
      <w:lvlJc w:val="left"/>
      <w:pPr>
        <w:ind w:left="-2100" w:hanging="648"/>
      </w:pPr>
      <w:rPr>
        <w:rFonts w:cs="Times New Roman"/>
        <w:rtl w:val="0"/>
        <w:cs w:val="0"/>
      </w:rPr>
    </w:lvl>
    <w:lvl w:ilvl="4">
      <w:start w:val="1"/>
      <w:numFmt w:val="decimal"/>
      <w:lvlText w:val="%1.%2.%3.%4.%5."/>
      <w:lvlJc w:val="left"/>
      <w:pPr>
        <w:ind w:left="-1596" w:hanging="792"/>
      </w:pPr>
      <w:rPr>
        <w:rFonts w:cs="Times New Roman"/>
        <w:rtl w:val="0"/>
        <w:cs w:val="0"/>
      </w:rPr>
    </w:lvl>
    <w:lvl w:ilvl="5">
      <w:start w:val="1"/>
      <w:numFmt w:val="decimal"/>
      <w:lvlText w:val="%1.%2.%3.%4.%5.%6."/>
      <w:lvlJc w:val="left"/>
      <w:pPr>
        <w:ind w:left="-1092" w:hanging="936"/>
      </w:pPr>
      <w:rPr>
        <w:rFonts w:cs="Times New Roman"/>
        <w:rtl w:val="0"/>
        <w:cs w:val="0"/>
      </w:rPr>
    </w:lvl>
    <w:lvl w:ilvl="6">
      <w:start w:val="1"/>
      <w:numFmt w:val="decimal"/>
      <w:lvlText w:val="%1.%2.%3.%4.%5.%6.%7."/>
      <w:lvlJc w:val="left"/>
      <w:pPr>
        <w:ind w:left="-588" w:hanging="1080"/>
      </w:pPr>
      <w:rPr>
        <w:rFonts w:cs="Times New Roman"/>
        <w:rtl w:val="0"/>
        <w:cs w:val="0"/>
      </w:rPr>
    </w:lvl>
    <w:lvl w:ilvl="7">
      <w:start w:val="1"/>
      <w:numFmt w:val="decimal"/>
      <w:lvlText w:val="%1.%2.%3.%4.%5.%6.%7.%8."/>
      <w:lvlJc w:val="left"/>
      <w:pPr>
        <w:ind w:left="-84" w:hanging="1224"/>
      </w:pPr>
      <w:rPr>
        <w:rFonts w:cs="Times New Roman"/>
        <w:rtl w:val="0"/>
        <w:cs w:val="0"/>
      </w:rPr>
    </w:lvl>
    <w:lvl w:ilvl="8">
      <w:start w:val="1"/>
      <w:numFmt w:val="decimal"/>
      <w:lvlText w:val="%1.%2.%3.%4.%5.%6.%7.%8.%9."/>
      <w:lvlJc w:val="left"/>
      <w:pPr>
        <w:ind w:left="492" w:hanging="1440"/>
      </w:pPr>
      <w:rPr>
        <w:rFonts w:cs="Times New Roman"/>
        <w:rtl w:val="0"/>
        <w:cs w:val="0"/>
      </w:rPr>
    </w:lvl>
  </w:abstractNum>
  <w:abstractNum w:abstractNumId="7">
    <w:nsid w:val="243D7312"/>
    <w:multiLevelType w:val="hybridMultilevel"/>
    <w:tmpl w:val="CA92DF2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25736893"/>
    <w:multiLevelType w:val="hybridMultilevel"/>
    <w:tmpl w:val="4BAC8BE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28FA3333"/>
    <w:multiLevelType w:val="multilevel"/>
    <w:tmpl w:val="E798712E"/>
    <w:lvl w:ilvl="0">
      <w:start w:val="1"/>
      <w:numFmt w:val="decimal"/>
      <w:lvlText w:val="%1."/>
      <w:lvlJc w:val="left"/>
      <w:pPr>
        <w:ind w:left="360" w:hanging="360"/>
      </w:pPr>
      <w:rPr>
        <w:rFonts w:cs="Times New Roman" w:hint="default"/>
        <w:rtl w:val="0"/>
        <w:cs w:val="0"/>
      </w:rPr>
    </w:lvl>
    <w:lvl w:ilvl="1">
      <w:start w:val="4"/>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10">
    <w:nsid w:val="295D0048"/>
    <w:multiLevelType w:val="multilevel"/>
    <w:tmpl w:val="0480EC7A"/>
    <w:lvl w:ilvl="0">
      <w:start w:val="3"/>
      <w:numFmt w:val="decimal"/>
      <w:lvlText w:val="%1"/>
      <w:lvlJc w:val="left"/>
      <w:pPr>
        <w:ind w:left="1080" w:hanging="360"/>
      </w:pPr>
      <w:rPr>
        <w:rFonts w:cs="Times New Roman" w:hint="default"/>
        <w:rtl w:val="0"/>
        <w:cs w:val="0"/>
      </w:rPr>
    </w:lvl>
    <w:lvl w:ilvl="1">
      <w:start w:val="1"/>
      <w:numFmt w:val="decimal"/>
      <w:lvlText w:val="%1.%2"/>
      <w:lvlJc w:val="left"/>
      <w:pPr>
        <w:ind w:left="12" w:hanging="360"/>
      </w:pPr>
      <w:rPr>
        <w:rFonts w:cs="Times New Roman" w:hint="default"/>
        <w:rtl w:val="0"/>
        <w:cs w:val="0"/>
      </w:rPr>
    </w:lvl>
    <w:lvl w:ilvl="2">
      <w:start w:val="1"/>
      <w:numFmt w:val="decimal"/>
      <w:lvlText w:val="%1.%2.%3"/>
      <w:lvlJc w:val="left"/>
      <w:pPr>
        <w:ind w:left="1440" w:hanging="720"/>
      </w:pPr>
      <w:rPr>
        <w:rFonts w:cs="Times New Roman" w:hint="default"/>
        <w:rtl w:val="0"/>
        <w:cs w:val="0"/>
      </w:rPr>
    </w:lvl>
    <w:lvl w:ilvl="3">
      <w:start w:val="1"/>
      <w:numFmt w:val="decimal"/>
      <w:lvlText w:val="%1.%2.%3.%4"/>
      <w:lvlJc w:val="left"/>
      <w:pPr>
        <w:ind w:left="1440" w:hanging="720"/>
      </w:pPr>
      <w:rPr>
        <w:rFonts w:cs="Times New Roman" w:hint="default"/>
        <w:rtl w:val="0"/>
        <w:cs w:val="0"/>
      </w:rPr>
    </w:lvl>
    <w:lvl w:ilvl="4">
      <w:start w:val="1"/>
      <w:numFmt w:val="decimal"/>
      <w:lvlText w:val="%1.%2.%3.%4.%5"/>
      <w:lvlJc w:val="left"/>
      <w:pPr>
        <w:ind w:left="1800" w:hanging="1080"/>
      </w:pPr>
      <w:rPr>
        <w:rFonts w:cs="Times New Roman" w:hint="default"/>
        <w:rtl w:val="0"/>
        <w:cs w:val="0"/>
      </w:rPr>
    </w:lvl>
    <w:lvl w:ilvl="5">
      <w:start w:val="1"/>
      <w:numFmt w:val="decimal"/>
      <w:lvlText w:val="%1.%2.%3.%4.%5.%6"/>
      <w:lvlJc w:val="left"/>
      <w:pPr>
        <w:ind w:left="1800" w:hanging="1080"/>
      </w:pPr>
      <w:rPr>
        <w:rFonts w:cs="Times New Roman" w:hint="default"/>
        <w:rtl w:val="0"/>
        <w:cs w:val="0"/>
      </w:rPr>
    </w:lvl>
    <w:lvl w:ilvl="6">
      <w:start w:val="1"/>
      <w:numFmt w:val="decimal"/>
      <w:lvlText w:val="%1.%2.%3.%4.%5.%6.%7"/>
      <w:lvlJc w:val="left"/>
      <w:pPr>
        <w:ind w:left="2160" w:hanging="1440"/>
      </w:pPr>
      <w:rPr>
        <w:rFonts w:cs="Times New Roman" w:hint="default"/>
        <w:rtl w:val="0"/>
        <w:cs w:val="0"/>
      </w:rPr>
    </w:lvl>
    <w:lvl w:ilvl="7">
      <w:start w:val="1"/>
      <w:numFmt w:val="decimal"/>
      <w:lvlText w:val="%1.%2.%3.%4.%5.%6.%7.%8"/>
      <w:lvlJc w:val="left"/>
      <w:pPr>
        <w:ind w:left="2160" w:hanging="1440"/>
      </w:pPr>
      <w:rPr>
        <w:rFonts w:cs="Times New Roman" w:hint="default"/>
        <w:rtl w:val="0"/>
        <w:cs w:val="0"/>
      </w:rPr>
    </w:lvl>
    <w:lvl w:ilvl="8">
      <w:start w:val="1"/>
      <w:numFmt w:val="decimal"/>
      <w:lvlText w:val="%1.%2.%3.%4.%5.%6.%7.%8.%9"/>
      <w:lvlJc w:val="left"/>
      <w:pPr>
        <w:ind w:left="2520" w:hanging="1800"/>
      </w:pPr>
      <w:rPr>
        <w:rFonts w:cs="Times New Roman" w:hint="default"/>
        <w:rtl w:val="0"/>
        <w:cs w:val="0"/>
      </w:rPr>
    </w:lvl>
  </w:abstractNum>
  <w:abstractNum w:abstractNumId="11">
    <w:nsid w:val="296E1050"/>
    <w:multiLevelType w:val="hybridMultilevel"/>
    <w:tmpl w:val="E814F676"/>
    <w:lvl w:ilvl="0">
      <w:start w:val="1"/>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310375D6"/>
    <w:multiLevelType w:val="multilevel"/>
    <w:tmpl w:val="1712750C"/>
    <w:lvl w:ilvl="0">
      <w:start w:val="1"/>
      <w:numFmt w:val="decimal"/>
      <w:lvlText w:val="%1."/>
      <w:lvlJc w:val="left"/>
      <w:pPr>
        <w:ind w:left="785" w:hanging="360"/>
      </w:pPr>
      <w:rPr>
        <w:rFonts w:cs="Times New Roman" w:hint="default"/>
        <w:rtl w:val="0"/>
        <w:cs w:val="0"/>
      </w:rPr>
    </w:lvl>
    <w:lvl w:ilvl="1">
      <w:start w:val="1"/>
      <w:numFmt w:val="decimal"/>
      <w:isLgl/>
      <w:lvlText w:val="%1.%2"/>
      <w:lvlJc w:val="left"/>
      <w:pPr>
        <w:ind w:left="1080" w:hanging="360"/>
      </w:pPr>
      <w:rPr>
        <w:rFonts w:cs="Times New Roman" w:hint="default"/>
        <w:rtl w:val="0"/>
        <w:cs w:val="0"/>
      </w:rPr>
    </w:lvl>
    <w:lvl w:ilvl="2">
      <w:start w:val="1"/>
      <w:numFmt w:val="decimal"/>
      <w:isLgl/>
      <w:lvlText w:val="%1.%2.%3"/>
      <w:lvlJc w:val="left"/>
      <w:pPr>
        <w:ind w:left="1800" w:hanging="720"/>
      </w:pPr>
      <w:rPr>
        <w:rFonts w:cs="Times New Roman" w:hint="default"/>
        <w:rtl w:val="0"/>
        <w:cs w:val="0"/>
      </w:rPr>
    </w:lvl>
    <w:lvl w:ilvl="3">
      <w:start w:val="1"/>
      <w:numFmt w:val="decimal"/>
      <w:isLgl/>
      <w:lvlText w:val="%1.%2.%3.%4"/>
      <w:lvlJc w:val="left"/>
      <w:pPr>
        <w:ind w:left="2160" w:hanging="720"/>
      </w:pPr>
      <w:rPr>
        <w:rFonts w:cs="Times New Roman" w:hint="default"/>
        <w:rtl w:val="0"/>
        <w:cs w:val="0"/>
      </w:rPr>
    </w:lvl>
    <w:lvl w:ilvl="4">
      <w:start w:val="1"/>
      <w:numFmt w:val="decimal"/>
      <w:isLgl/>
      <w:lvlText w:val="%1.%2.%3.%4.%5"/>
      <w:lvlJc w:val="left"/>
      <w:pPr>
        <w:ind w:left="2520" w:hanging="720"/>
      </w:pPr>
      <w:rPr>
        <w:rFonts w:cs="Times New Roman" w:hint="default"/>
        <w:rtl w:val="0"/>
        <w:cs w:val="0"/>
      </w:rPr>
    </w:lvl>
    <w:lvl w:ilvl="5">
      <w:start w:val="1"/>
      <w:numFmt w:val="decimal"/>
      <w:isLgl/>
      <w:lvlText w:val="%1.%2.%3.%4.%5.%6"/>
      <w:lvlJc w:val="left"/>
      <w:pPr>
        <w:ind w:left="3240" w:hanging="1080"/>
      </w:pPr>
      <w:rPr>
        <w:rFonts w:cs="Times New Roman" w:hint="default"/>
        <w:rtl w:val="0"/>
        <w:cs w:val="0"/>
      </w:rPr>
    </w:lvl>
    <w:lvl w:ilvl="6">
      <w:start w:val="1"/>
      <w:numFmt w:val="decimal"/>
      <w:isLgl/>
      <w:lvlText w:val="%1.%2.%3.%4.%5.%6.%7"/>
      <w:lvlJc w:val="left"/>
      <w:pPr>
        <w:ind w:left="3600" w:hanging="1080"/>
      </w:pPr>
      <w:rPr>
        <w:rFonts w:cs="Times New Roman" w:hint="default"/>
        <w:rtl w:val="0"/>
        <w:cs w:val="0"/>
      </w:rPr>
    </w:lvl>
    <w:lvl w:ilvl="7">
      <w:start w:val="1"/>
      <w:numFmt w:val="decimal"/>
      <w:isLgl/>
      <w:lvlText w:val="%1.%2.%3.%4.%5.%6.%7.%8"/>
      <w:lvlJc w:val="left"/>
      <w:pPr>
        <w:ind w:left="4320" w:hanging="1440"/>
      </w:pPr>
      <w:rPr>
        <w:rFonts w:cs="Times New Roman" w:hint="default"/>
        <w:rtl w:val="0"/>
        <w:cs w:val="0"/>
      </w:rPr>
    </w:lvl>
    <w:lvl w:ilvl="8">
      <w:start w:val="1"/>
      <w:numFmt w:val="decimal"/>
      <w:isLgl/>
      <w:lvlText w:val="%1.%2.%3.%4.%5.%6.%7.%8.%9"/>
      <w:lvlJc w:val="left"/>
      <w:pPr>
        <w:ind w:left="4680" w:hanging="1440"/>
      </w:pPr>
      <w:rPr>
        <w:rFonts w:cs="Times New Roman" w:hint="default"/>
        <w:rtl w:val="0"/>
        <w:cs w:val="0"/>
      </w:rPr>
    </w:lvl>
  </w:abstractNum>
  <w:abstractNum w:abstractNumId="13">
    <w:nsid w:val="32687A43"/>
    <w:multiLevelType w:val="multilevel"/>
    <w:tmpl w:val="0480EC7A"/>
    <w:lvl w:ilvl="0">
      <w:start w:val="3"/>
      <w:numFmt w:val="decimal"/>
      <w:lvlText w:val="%1"/>
      <w:lvlJc w:val="left"/>
      <w:pPr>
        <w:ind w:left="1428" w:hanging="360"/>
      </w:pPr>
      <w:rPr>
        <w:rFonts w:cs="Times New Roman" w:hint="default"/>
        <w:rtl w:val="0"/>
        <w:cs w:val="0"/>
      </w:rPr>
    </w:lvl>
    <w:lvl w:ilvl="1">
      <w:start w:val="1"/>
      <w:numFmt w:val="decimal"/>
      <w:lvlText w:val="%1.%2"/>
      <w:lvlJc w:val="left"/>
      <w:pPr>
        <w:ind w:left="1428" w:hanging="360"/>
      </w:pPr>
      <w:rPr>
        <w:rFonts w:cs="Times New Roman" w:hint="default"/>
        <w:rtl w:val="0"/>
        <w:cs w:val="0"/>
      </w:rPr>
    </w:lvl>
    <w:lvl w:ilvl="2">
      <w:start w:val="1"/>
      <w:numFmt w:val="decimal"/>
      <w:lvlText w:val="%1.%2.%3"/>
      <w:lvlJc w:val="left"/>
      <w:pPr>
        <w:ind w:left="1788" w:hanging="720"/>
      </w:pPr>
      <w:rPr>
        <w:rFonts w:cs="Times New Roman" w:hint="default"/>
        <w:rtl w:val="0"/>
        <w:cs w:val="0"/>
      </w:rPr>
    </w:lvl>
    <w:lvl w:ilvl="3">
      <w:start w:val="1"/>
      <w:numFmt w:val="decimal"/>
      <w:lvlText w:val="%1.%2.%3.%4"/>
      <w:lvlJc w:val="left"/>
      <w:pPr>
        <w:ind w:left="1788" w:hanging="720"/>
      </w:pPr>
      <w:rPr>
        <w:rFonts w:cs="Times New Roman" w:hint="default"/>
        <w:rtl w:val="0"/>
        <w:cs w:val="0"/>
      </w:rPr>
    </w:lvl>
    <w:lvl w:ilvl="4">
      <w:start w:val="1"/>
      <w:numFmt w:val="decimal"/>
      <w:lvlText w:val="%1.%2.%3.%4.%5"/>
      <w:lvlJc w:val="left"/>
      <w:pPr>
        <w:ind w:left="2148" w:hanging="1080"/>
      </w:pPr>
      <w:rPr>
        <w:rFonts w:cs="Times New Roman" w:hint="default"/>
        <w:rtl w:val="0"/>
        <w:cs w:val="0"/>
      </w:rPr>
    </w:lvl>
    <w:lvl w:ilvl="5">
      <w:start w:val="1"/>
      <w:numFmt w:val="decimal"/>
      <w:lvlText w:val="%1.%2.%3.%4.%5.%6"/>
      <w:lvlJc w:val="left"/>
      <w:pPr>
        <w:ind w:left="2148" w:hanging="1080"/>
      </w:pPr>
      <w:rPr>
        <w:rFonts w:cs="Times New Roman" w:hint="default"/>
        <w:rtl w:val="0"/>
        <w:cs w:val="0"/>
      </w:rPr>
    </w:lvl>
    <w:lvl w:ilvl="6">
      <w:start w:val="1"/>
      <w:numFmt w:val="decimal"/>
      <w:lvlText w:val="%1.%2.%3.%4.%5.%6.%7"/>
      <w:lvlJc w:val="left"/>
      <w:pPr>
        <w:ind w:left="2508" w:hanging="1440"/>
      </w:pPr>
      <w:rPr>
        <w:rFonts w:cs="Times New Roman" w:hint="default"/>
        <w:rtl w:val="0"/>
        <w:cs w:val="0"/>
      </w:rPr>
    </w:lvl>
    <w:lvl w:ilvl="7">
      <w:start w:val="1"/>
      <w:numFmt w:val="decimal"/>
      <w:lvlText w:val="%1.%2.%3.%4.%5.%6.%7.%8"/>
      <w:lvlJc w:val="left"/>
      <w:pPr>
        <w:ind w:left="2508" w:hanging="1440"/>
      </w:pPr>
      <w:rPr>
        <w:rFonts w:cs="Times New Roman" w:hint="default"/>
        <w:rtl w:val="0"/>
        <w:cs w:val="0"/>
      </w:rPr>
    </w:lvl>
    <w:lvl w:ilvl="8">
      <w:start w:val="1"/>
      <w:numFmt w:val="decimal"/>
      <w:lvlText w:val="%1.%2.%3.%4.%5.%6.%7.%8.%9"/>
      <w:lvlJc w:val="left"/>
      <w:pPr>
        <w:ind w:left="2868" w:hanging="1800"/>
      </w:pPr>
      <w:rPr>
        <w:rFonts w:cs="Times New Roman" w:hint="default"/>
        <w:rtl w:val="0"/>
        <w:cs w:val="0"/>
      </w:rPr>
    </w:lvl>
  </w:abstractNum>
  <w:abstractNum w:abstractNumId="14">
    <w:nsid w:val="345D7FC8"/>
    <w:multiLevelType w:val="multilevel"/>
    <w:tmpl w:val="BA5A929C"/>
    <w:lvl w:ilvl="0">
      <w:start w:val="2"/>
      <w:numFmt w:val="decimal"/>
      <w:lvlText w:val="%1"/>
      <w:lvlJc w:val="left"/>
      <w:pPr>
        <w:ind w:left="360" w:hanging="360"/>
      </w:pPr>
      <w:rPr>
        <w:rFonts w:cs="Times New Roman" w:hint="default"/>
        <w:rtl w:val="0"/>
        <w:cs w:val="0"/>
      </w:rPr>
    </w:lvl>
    <w:lvl w:ilvl="1">
      <w:start w:val="1"/>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720" w:hanging="72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080" w:hanging="108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440" w:hanging="1440"/>
      </w:pPr>
      <w:rPr>
        <w:rFonts w:cs="Times New Roman" w:hint="default"/>
        <w:rtl w:val="0"/>
        <w:cs w:val="0"/>
      </w:rPr>
    </w:lvl>
  </w:abstractNum>
  <w:abstractNum w:abstractNumId="15">
    <w:nsid w:val="34B139CA"/>
    <w:multiLevelType w:val="hybridMultilevel"/>
    <w:tmpl w:val="179633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8055D84"/>
    <w:multiLevelType w:val="singleLevel"/>
    <w:tmpl w:val="041B000F"/>
    <w:lvl w:ilvl="0">
      <w:start w:val="1"/>
      <w:numFmt w:val="decimal"/>
      <w:pStyle w:val="Head1"/>
      <w:lvlText w:val="%1."/>
      <w:lvlJc w:val="left"/>
      <w:pPr>
        <w:tabs>
          <w:tab w:val="num" w:pos="360"/>
        </w:tabs>
        <w:ind w:left="360" w:hanging="360"/>
      </w:pPr>
      <w:rPr>
        <w:rFonts w:cs="Times New Roman"/>
        <w:rtl w:val="0"/>
        <w:cs w:val="0"/>
      </w:rPr>
    </w:lvl>
  </w:abstractNum>
  <w:abstractNum w:abstractNumId="17">
    <w:nsid w:val="38572DF6"/>
    <w:multiLevelType w:val="multilevel"/>
    <w:tmpl w:val="1712750C"/>
    <w:lvl w:ilvl="0">
      <w:start w:val="1"/>
      <w:numFmt w:val="decimal"/>
      <w:lvlText w:val="%1."/>
      <w:lvlJc w:val="left"/>
      <w:pPr>
        <w:ind w:left="785" w:hanging="360"/>
      </w:pPr>
      <w:rPr>
        <w:rFonts w:cs="Times New Roman" w:hint="default"/>
        <w:rtl w:val="0"/>
        <w:cs w:val="0"/>
      </w:rPr>
    </w:lvl>
    <w:lvl w:ilvl="1">
      <w:start w:val="1"/>
      <w:numFmt w:val="decimal"/>
      <w:isLgl/>
      <w:lvlText w:val="%1.%2"/>
      <w:lvlJc w:val="left"/>
      <w:pPr>
        <w:ind w:left="1080" w:hanging="360"/>
      </w:pPr>
      <w:rPr>
        <w:rFonts w:cs="Times New Roman" w:hint="default"/>
        <w:rtl w:val="0"/>
        <w:cs w:val="0"/>
      </w:rPr>
    </w:lvl>
    <w:lvl w:ilvl="2">
      <w:start w:val="1"/>
      <w:numFmt w:val="decimal"/>
      <w:isLgl/>
      <w:lvlText w:val="%1.%2.%3"/>
      <w:lvlJc w:val="left"/>
      <w:pPr>
        <w:ind w:left="1800" w:hanging="720"/>
      </w:pPr>
      <w:rPr>
        <w:rFonts w:cs="Times New Roman" w:hint="default"/>
        <w:rtl w:val="0"/>
        <w:cs w:val="0"/>
      </w:rPr>
    </w:lvl>
    <w:lvl w:ilvl="3">
      <w:start w:val="1"/>
      <w:numFmt w:val="decimal"/>
      <w:isLgl/>
      <w:lvlText w:val="%1.%2.%3.%4"/>
      <w:lvlJc w:val="left"/>
      <w:pPr>
        <w:ind w:left="2160" w:hanging="720"/>
      </w:pPr>
      <w:rPr>
        <w:rFonts w:cs="Times New Roman" w:hint="default"/>
        <w:rtl w:val="0"/>
        <w:cs w:val="0"/>
      </w:rPr>
    </w:lvl>
    <w:lvl w:ilvl="4">
      <w:start w:val="1"/>
      <w:numFmt w:val="decimal"/>
      <w:isLgl/>
      <w:lvlText w:val="%1.%2.%3.%4.%5"/>
      <w:lvlJc w:val="left"/>
      <w:pPr>
        <w:ind w:left="2520" w:hanging="720"/>
      </w:pPr>
      <w:rPr>
        <w:rFonts w:cs="Times New Roman" w:hint="default"/>
        <w:rtl w:val="0"/>
        <w:cs w:val="0"/>
      </w:rPr>
    </w:lvl>
    <w:lvl w:ilvl="5">
      <w:start w:val="1"/>
      <w:numFmt w:val="decimal"/>
      <w:isLgl/>
      <w:lvlText w:val="%1.%2.%3.%4.%5.%6"/>
      <w:lvlJc w:val="left"/>
      <w:pPr>
        <w:ind w:left="3240" w:hanging="1080"/>
      </w:pPr>
      <w:rPr>
        <w:rFonts w:cs="Times New Roman" w:hint="default"/>
        <w:rtl w:val="0"/>
        <w:cs w:val="0"/>
      </w:rPr>
    </w:lvl>
    <w:lvl w:ilvl="6">
      <w:start w:val="1"/>
      <w:numFmt w:val="decimal"/>
      <w:isLgl/>
      <w:lvlText w:val="%1.%2.%3.%4.%5.%6.%7"/>
      <w:lvlJc w:val="left"/>
      <w:pPr>
        <w:ind w:left="3600" w:hanging="1080"/>
      </w:pPr>
      <w:rPr>
        <w:rFonts w:cs="Times New Roman" w:hint="default"/>
        <w:rtl w:val="0"/>
        <w:cs w:val="0"/>
      </w:rPr>
    </w:lvl>
    <w:lvl w:ilvl="7">
      <w:start w:val="1"/>
      <w:numFmt w:val="decimal"/>
      <w:isLgl/>
      <w:lvlText w:val="%1.%2.%3.%4.%5.%6.%7.%8"/>
      <w:lvlJc w:val="left"/>
      <w:pPr>
        <w:ind w:left="4320" w:hanging="1440"/>
      </w:pPr>
      <w:rPr>
        <w:rFonts w:cs="Times New Roman" w:hint="default"/>
        <w:rtl w:val="0"/>
        <w:cs w:val="0"/>
      </w:rPr>
    </w:lvl>
    <w:lvl w:ilvl="8">
      <w:start w:val="1"/>
      <w:numFmt w:val="decimal"/>
      <w:isLgl/>
      <w:lvlText w:val="%1.%2.%3.%4.%5.%6.%7.%8.%9"/>
      <w:lvlJc w:val="left"/>
      <w:pPr>
        <w:ind w:left="4680" w:hanging="1440"/>
      </w:pPr>
      <w:rPr>
        <w:rFonts w:cs="Times New Roman" w:hint="default"/>
        <w:rtl w:val="0"/>
        <w:cs w:val="0"/>
      </w:rPr>
    </w:lvl>
  </w:abstractNum>
  <w:abstractNum w:abstractNumId="18">
    <w:nsid w:val="39861B50"/>
    <w:multiLevelType w:val="hybridMultilevel"/>
    <w:tmpl w:val="235E4972"/>
    <w:lvl w:ilvl="0">
      <w:start w:val="1"/>
      <w:numFmt w:val="upperLetter"/>
      <w:lvlText w:val="%1."/>
      <w:lvlJc w:val="left"/>
      <w:pPr>
        <w:ind w:left="-4680" w:hanging="360"/>
      </w:pPr>
      <w:rPr>
        <w:rFonts w:cs="Times New Roman" w:hint="default"/>
        <w:rtl w:val="0"/>
        <w:cs w:val="0"/>
      </w:rPr>
    </w:lvl>
    <w:lvl w:ilvl="1">
      <w:start w:val="1"/>
      <w:numFmt w:val="lowerLetter"/>
      <w:lvlText w:val="%2."/>
      <w:lvlJc w:val="left"/>
      <w:pPr>
        <w:ind w:left="-396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right"/>
      <w:pPr>
        <w:ind w:left="-1080" w:hanging="180"/>
      </w:pPr>
      <w:rPr>
        <w:rFonts w:cs="Times New Roman"/>
        <w:rtl w:val="0"/>
        <w:cs w:val="0"/>
      </w:rPr>
    </w:lvl>
    <w:lvl w:ilvl="6">
      <w:start w:val="1"/>
      <w:numFmt w:val="decimal"/>
      <w:lvlText w:val="%7."/>
      <w:lvlJc w:val="left"/>
      <w:pPr>
        <w:ind w:left="-360" w:hanging="360"/>
      </w:pPr>
      <w:rPr>
        <w:rFonts w:cs="Times New Roman"/>
        <w:rtl w:val="0"/>
        <w:cs w:val="0"/>
      </w:rPr>
    </w:lvl>
    <w:lvl w:ilvl="7">
      <w:start w:val="1"/>
      <w:numFmt w:val="lowerLetter"/>
      <w:lvlText w:val="%8."/>
      <w:lvlJc w:val="left"/>
      <w:pPr>
        <w:ind w:left="360" w:hanging="360"/>
      </w:pPr>
      <w:rPr>
        <w:rFonts w:cs="Times New Roman"/>
        <w:rtl w:val="0"/>
        <w:cs w:val="0"/>
      </w:rPr>
    </w:lvl>
    <w:lvl w:ilvl="8">
      <w:start w:val="1"/>
      <w:numFmt w:val="lowerRoman"/>
      <w:lvlText w:val="%9."/>
      <w:lvlJc w:val="right"/>
      <w:pPr>
        <w:ind w:left="1080" w:hanging="180"/>
      </w:pPr>
      <w:rPr>
        <w:rFonts w:cs="Times New Roman"/>
        <w:rtl w:val="0"/>
        <w:cs w:val="0"/>
      </w:rPr>
    </w:lvl>
  </w:abstractNum>
  <w:abstractNum w:abstractNumId="19">
    <w:nsid w:val="39CB718E"/>
    <w:multiLevelType w:val="multilevel"/>
    <w:tmpl w:val="1712750C"/>
    <w:lvl w:ilvl="0">
      <w:start w:val="1"/>
      <w:numFmt w:val="decimal"/>
      <w:lvlText w:val="%1."/>
      <w:lvlJc w:val="left"/>
      <w:pPr>
        <w:ind w:left="785" w:hanging="360"/>
      </w:pPr>
      <w:rPr>
        <w:rFonts w:cs="Times New Roman" w:hint="default"/>
        <w:rtl w:val="0"/>
        <w:cs w:val="0"/>
      </w:rPr>
    </w:lvl>
    <w:lvl w:ilvl="1">
      <w:start w:val="1"/>
      <w:numFmt w:val="decimal"/>
      <w:isLgl/>
      <w:lvlText w:val="%1.%2"/>
      <w:lvlJc w:val="left"/>
      <w:pPr>
        <w:ind w:left="1080" w:hanging="360"/>
      </w:pPr>
      <w:rPr>
        <w:rFonts w:cs="Times New Roman" w:hint="default"/>
        <w:rtl w:val="0"/>
        <w:cs w:val="0"/>
      </w:rPr>
    </w:lvl>
    <w:lvl w:ilvl="2">
      <w:start w:val="1"/>
      <w:numFmt w:val="decimal"/>
      <w:isLgl/>
      <w:lvlText w:val="%1.%2.%3"/>
      <w:lvlJc w:val="left"/>
      <w:pPr>
        <w:ind w:left="1800" w:hanging="720"/>
      </w:pPr>
      <w:rPr>
        <w:rFonts w:cs="Times New Roman" w:hint="default"/>
        <w:rtl w:val="0"/>
        <w:cs w:val="0"/>
      </w:rPr>
    </w:lvl>
    <w:lvl w:ilvl="3">
      <w:start w:val="1"/>
      <w:numFmt w:val="decimal"/>
      <w:isLgl/>
      <w:lvlText w:val="%1.%2.%3.%4"/>
      <w:lvlJc w:val="left"/>
      <w:pPr>
        <w:ind w:left="2160" w:hanging="720"/>
      </w:pPr>
      <w:rPr>
        <w:rFonts w:cs="Times New Roman" w:hint="default"/>
        <w:rtl w:val="0"/>
        <w:cs w:val="0"/>
      </w:rPr>
    </w:lvl>
    <w:lvl w:ilvl="4">
      <w:start w:val="1"/>
      <w:numFmt w:val="decimal"/>
      <w:isLgl/>
      <w:lvlText w:val="%1.%2.%3.%4.%5"/>
      <w:lvlJc w:val="left"/>
      <w:pPr>
        <w:ind w:left="2520" w:hanging="720"/>
      </w:pPr>
      <w:rPr>
        <w:rFonts w:cs="Times New Roman" w:hint="default"/>
        <w:rtl w:val="0"/>
        <w:cs w:val="0"/>
      </w:rPr>
    </w:lvl>
    <w:lvl w:ilvl="5">
      <w:start w:val="1"/>
      <w:numFmt w:val="decimal"/>
      <w:isLgl/>
      <w:lvlText w:val="%1.%2.%3.%4.%5.%6"/>
      <w:lvlJc w:val="left"/>
      <w:pPr>
        <w:ind w:left="3240" w:hanging="1080"/>
      </w:pPr>
      <w:rPr>
        <w:rFonts w:cs="Times New Roman" w:hint="default"/>
        <w:rtl w:val="0"/>
        <w:cs w:val="0"/>
      </w:rPr>
    </w:lvl>
    <w:lvl w:ilvl="6">
      <w:start w:val="1"/>
      <w:numFmt w:val="decimal"/>
      <w:isLgl/>
      <w:lvlText w:val="%1.%2.%3.%4.%5.%6.%7"/>
      <w:lvlJc w:val="left"/>
      <w:pPr>
        <w:ind w:left="3600" w:hanging="1080"/>
      </w:pPr>
      <w:rPr>
        <w:rFonts w:cs="Times New Roman" w:hint="default"/>
        <w:rtl w:val="0"/>
        <w:cs w:val="0"/>
      </w:rPr>
    </w:lvl>
    <w:lvl w:ilvl="7">
      <w:start w:val="1"/>
      <w:numFmt w:val="decimal"/>
      <w:isLgl/>
      <w:lvlText w:val="%1.%2.%3.%4.%5.%6.%7.%8"/>
      <w:lvlJc w:val="left"/>
      <w:pPr>
        <w:ind w:left="4320" w:hanging="1440"/>
      </w:pPr>
      <w:rPr>
        <w:rFonts w:cs="Times New Roman" w:hint="default"/>
        <w:rtl w:val="0"/>
        <w:cs w:val="0"/>
      </w:rPr>
    </w:lvl>
    <w:lvl w:ilvl="8">
      <w:start w:val="1"/>
      <w:numFmt w:val="decimal"/>
      <w:isLgl/>
      <w:lvlText w:val="%1.%2.%3.%4.%5.%6.%7.%8.%9"/>
      <w:lvlJc w:val="left"/>
      <w:pPr>
        <w:ind w:left="4680" w:hanging="1440"/>
      </w:pPr>
      <w:rPr>
        <w:rFonts w:cs="Times New Roman" w:hint="default"/>
        <w:rtl w:val="0"/>
        <w:cs w:val="0"/>
      </w:rPr>
    </w:lvl>
  </w:abstractNum>
  <w:abstractNum w:abstractNumId="20">
    <w:nsid w:val="3D2D17DF"/>
    <w:multiLevelType w:val="hybridMultilevel"/>
    <w:tmpl w:val="5A225C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F142969"/>
    <w:multiLevelType w:val="hybridMultilevel"/>
    <w:tmpl w:val="C3400F44"/>
    <w:lvl w:ilvl="0">
      <w:start w:val="4"/>
      <w:numFmt w:val="decimal"/>
      <w:lvlText w:val="(%1)"/>
      <w:lvlJc w:val="left"/>
      <w:pPr>
        <w:ind w:left="42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111CF5"/>
    <w:multiLevelType w:val="hybridMultilevel"/>
    <w:tmpl w:val="A4500F2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4CAB03BB"/>
    <w:multiLevelType w:val="hybridMultilevel"/>
    <w:tmpl w:val="00AE6DF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E305E37"/>
    <w:multiLevelType w:val="multilevel"/>
    <w:tmpl w:val="49800BEE"/>
    <w:lvl w:ilvl="0">
      <w:start w:val="4"/>
      <w:numFmt w:val="decimal"/>
      <w:lvlText w:val="%1"/>
      <w:lvlJc w:val="left"/>
      <w:pPr>
        <w:ind w:left="360" w:hanging="360"/>
      </w:pPr>
      <w:rPr>
        <w:rFonts w:cs="Times New Roman" w:hint="default"/>
        <w:rtl w:val="0"/>
        <w:cs w:val="0"/>
      </w:rPr>
    </w:lvl>
    <w:lvl w:ilvl="1">
      <w:start w:val="1"/>
      <w:numFmt w:val="decimal"/>
      <w:lvlText w:val="%1.%2"/>
      <w:lvlJc w:val="left"/>
      <w:pPr>
        <w:ind w:left="1080" w:hanging="360"/>
      </w:pPr>
      <w:rPr>
        <w:rFonts w:cs="Times New Roman" w:hint="default"/>
        <w:rtl w:val="0"/>
        <w:cs w:val="0"/>
      </w:rPr>
    </w:lvl>
    <w:lvl w:ilvl="2">
      <w:start w:val="1"/>
      <w:numFmt w:val="decimal"/>
      <w:lvlText w:val="%1.%2.%3"/>
      <w:lvlJc w:val="left"/>
      <w:pPr>
        <w:ind w:left="2160" w:hanging="720"/>
      </w:pPr>
      <w:rPr>
        <w:rFonts w:cs="Times New Roman" w:hint="default"/>
        <w:rtl w:val="0"/>
        <w:cs w:val="0"/>
      </w:rPr>
    </w:lvl>
    <w:lvl w:ilvl="3">
      <w:start w:val="1"/>
      <w:numFmt w:val="decimal"/>
      <w:lvlText w:val="%1.%2.%3.%4"/>
      <w:lvlJc w:val="left"/>
      <w:pPr>
        <w:ind w:left="2880" w:hanging="720"/>
      </w:pPr>
      <w:rPr>
        <w:rFonts w:cs="Times New Roman" w:hint="default"/>
        <w:rtl w:val="0"/>
        <w:cs w:val="0"/>
      </w:rPr>
    </w:lvl>
    <w:lvl w:ilvl="4">
      <w:start w:val="1"/>
      <w:numFmt w:val="decimal"/>
      <w:lvlText w:val="%1.%2.%3.%4.%5"/>
      <w:lvlJc w:val="left"/>
      <w:pPr>
        <w:ind w:left="3600" w:hanging="720"/>
      </w:pPr>
      <w:rPr>
        <w:rFonts w:cs="Times New Roman" w:hint="default"/>
        <w:rtl w:val="0"/>
        <w:cs w:val="0"/>
      </w:rPr>
    </w:lvl>
    <w:lvl w:ilvl="5">
      <w:start w:val="1"/>
      <w:numFmt w:val="decimal"/>
      <w:lvlText w:val="%1.%2.%3.%4.%5.%6"/>
      <w:lvlJc w:val="left"/>
      <w:pPr>
        <w:ind w:left="4680" w:hanging="1080"/>
      </w:pPr>
      <w:rPr>
        <w:rFonts w:cs="Times New Roman" w:hint="default"/>
        <w:rtl w:val="0"/>
        <w:cs w:val="0"/>
      </w:rPr>
    </w:lvl>
    <w:lvl w:ilvl="6">
      <w:start w:val="1"/>
      <w:numFmt w:val="decimal"/>
      <w:lvlText w:val="%1.%2.%3.%4.%5.%6.%7"/>
      <w:lvlJc w:val="left"/>
      <w:pPr>
        <w:ind w:left="5400" w:hanging="1080"/>
      </w:pPr>
      <w:rPr>
        <w:rFonts w:cs="Times New Roman" w:hint="default"/>
        <w:rtl w:val="0"/>
        <w:cs w:val="0"/>
      </w:rPr>
    </w:lvl>
    <w:lvl w:ilvl="7">
      <w:start w:val="1"/>
      <w:numFmt w:val="decimal"/>
      <w:lvlText w:val="%1.%2.%3.%4.%5.%6.%7.%8"/>
      <w:lvlJc w:val="left"/>
      <w:pPr>
        <w:ind w:left="6480" w:hanging="1440"/>
      </w:pPr>
      <w:rPr>
        <w:rFonts w:cs="Times New Roman" w:hint="default"/>
        <w:rtl w:val="0"/>
        <w:cs w:val="0"/>
      </w:rPr>
    </w:lvl>
    <w:lvl w:ilvl="8">
      <w:start w:val="1"/>
      <w:numFmt w:val="decimal"/>
      <w:lvlText w:val="%1.%2.%3.%4.%5.%6.%7.%8.%9"/>
      <w:lvlJc w:val="left"/>
      <w:pPr>
        <w:ind w:left="7200" w:hanging="1440"/>
      </w:pPr>
      <w:rPr>
        <w:rFonts w:cs="Times New Roman" w:hint="default"/>
        <w:rtl w:val="0"/>
        <w:cs w:val="0"/>
      </w:rPr>
    </w:lvl>
  </w:abstractNum>
  <w:abstractNum w:abstractNumId="25">
    <w:nsid w:val="4E710C5D"/>
    <w:multiLevelType w:val="hybridMultilevel"/>
    <w:tmpl w:val="0694AF18"/>
    <w:lvl w:ilvl="0">
      <w:start w:val="1"/>
      <w:numFmt w:val="upperLetter"/>
      <w:lvlText w:val="%1."/>
      <w:lvlJc w:val="left"/>
      <w:pPr>
        <w:ind w:left="-288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720" w:hanging="360"/>
      </w:pPr>
      <w:rPr>
        <w:rFonts w:cs="Times New Roman"/>
        <w:rtl w:val="0"/>
        <w:cs w:val="0"/>
      </w:rPr>
    </w:lvl>
    <w:lvl w:ilvl="4">
      <w:start w:val="1"/>
      <w:numFmt w:val="lowerLetter"/>
      <w:lvlText w:val="%5."/>
      <w:lvlJc w:val="left"/>
      <w:pPr>
        <w:ind w:hanging="360"/>
      </w:pPr>
      <w:rPr>
        <w:rFonts w:cs="Times New Roman"/>
        <w:rtl w:val="0"/>
        <w:cs w:val="0"/>
      </w:rPr>
    </w:lvl>
    <w:lvl w:ilvl="5">
      <w:start w:val="1"/>
      <w:numFmt w:val="lowerRoman"/>
      <w:lvlText w:val="%6."/>
      <w:lvlJc w:val="right"/>
      <w:pPr>
        <w:ind w:left="720" w:hanging="180"/>
      </w:pPr>
      <w:rPr>
        <w:rFonts w:cs="Times New Roman"/>
        <w:rtl w:val="0"/>
        <w:cs w:val="0"/>
      </w:rPr>
    </w:lvl>
    <w:lvl w:ilvl="6">
      <w:start w:val="1"/>
      <w:numFmt w:val="decimal"/>
      <w:lvlText w:val="%7."/>
      <w:lvlJc w:val="left"/>
      <w:pPr>
        <w:ind w:left="1440" w:hanging="360"/>
      </w:pPr>
      <w:rPr>
        <w:rFonts w:cs="Times New Roman"/>
        <w:rtl w:val="0"/>
        <w:cs w:val="0"/>
      </w:rPr>
    </w:lvl>
    <w:lvl w:ilvl="7">
      <w:start w:val="1"/>
      <w:numFmt w:val="lowerLetter"/>
      <w:lvlText w:val="%8."/>
      <w:lvlJc w:val="left"/>
      <w:pPr>
        <w:ind w:left="2160" w:hanging="360"/>
      </w:pPr>
      <w:rPr>
        <w:rFonts w:cs="Times New Roman"/>
        <w:rtl w:val="0"/>
        <w:cs w:val="0"/>
      </w:rPr>
    </w:lvl>
    <w:lvl w:ilvl="8">
      <w:start w:val="1"/>
      <w:numFmt w:val="lowerRoman"/>
      <w:lvlText w:val="%9."/>
      <w:lvlJc w:val="right"/>
      <w:pPr>
        <w:ind w:left="2880" w:hanging="180"/>
      </w:pPr>
      <w:rPr>
        <w:rFonts w:cs="Times New Roman"/>
        <w:rtl w:val="0"/>
        <w:cs w:val="0"/>
      </w:rPr>
    </w:lvl>
  </w:abstractNum>
  <w:abstractNum w:abstractNumId="26">
    <w:nsid w:val="512A0928"/>
    <w:multiLevelType w:val="hybridMultilevel"/>
    <w:tmpl w:val="EF6E02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2B52FBF"/>
    <w:multiLevelType w:val="hybridMultilevel"/>
    <w:tmpl w:val="C38AFB06"/>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8">
    <w:nsid w:val="557E79FD"/>
    <w:multiLevelType w:val="hybridMultilevel"/>
    <w:tmpl w:val="85EAC092"/>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57BD398C"/>
    <w:multiLevelType w:val="hybridMultilevel"/>
    <w:tmpl w:val="EF0E9BEE"/>
    <w:lvl w:ilvl="0">
      <w:start w:val="5"/>
      <w:numFmt w:val="decimal"/>
      <w:lvlText w:val="(%1)"/>
      <w:lvlJc w:val="left"/>
      <w:pPr>
        <w:ind w:left="42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15835F3"/>
    <w:multiLevelType w:val="hybridMultilevel"/>
    <w:tmpl w:val="C150B1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58203D2"/>
    <w:multiLevelType w:val="hybridMultilevel"/>
    <w:tmpl w:val="7EA4E37C"/>
    <w:lvl w:ilvl="0">
      <w:start w:val="6"/>
      <w:numFmt w:val="decimal"/>
      <w:lvlText w:val="(%1)"/>
      <w:lvlJc w:val="left"/>
      <w:pPr>
        <w:ind w:left="42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6CD017F"/>
    <w:multiLevelType w:val="hybridMultilevel"/>
    <w:tmpl w:val="1CBA8AC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9676DDF"/>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34">
    <w:nsid w:val="6BDC1300"/>
    <w:multiLevelType w:val="hybridMultilevel"/>
    <w:tmpl w:val="2F26526C"/>
    <w:lvl w:ilvl="0">
      <w:start w:val="1"/>
      <w:numFmt w:val="lowerLetter"/>
      <w:lvlText w:val="%1)"/>
      <w:lvlJc w:val="left"/>
      <w:pPr>
        <w:ind w:left="720" w:hanging="360"/>
      </w:pPr>
      <w:rPr>
        <w:rFonts w:cs="Times New Roman" w:hint="default"/>
        <w:sz w:val="1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CD50625"/>
    <w:multiLevelType w:val="hybridMultilevel"/>
    <w:tmpl w:val="9B84C20A"/>
    <w:lvl w:ilvl="0">
      <w:start w:val="1"/>
      <w:numFmt w:val="lowerLetter"/>
      <w:lvlText w:val="%1)"/>
      <w:lvlJc w:val="left"/>
      <w:pPr>
        <w:ind w:left="720" w:hanging="360"/>
      </w:pPr>
      <w:rPr>
        <w:rFonts w:cs="Times New Roman" w:hint="default"/>
        <w:sz w:val="1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20178D"/>
    <w:multiLevelType w:val="hybridMultilevel"/>
    <w:tmpl w:val="174E76AE"/>
    <w:lvl w:ilvl="0">
      <w:start w:val="1"/>
      <w:numFmt w:val="decimal"/>
      <w:lvlText w:val="(%1)"/>
      <w:lvlJc w:val="left"/>
      <w:pPr>
        <w:ind w:left="420" w:hanging="42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6E255661"/>
    <w:multiLevelType w:val="hybridMultilevel"/>
    <w:tmpl w:val="F4E0E4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03B54BD"/>
    <w:multiLevelType w:val="multilevel"/>
    <w:tmpl w:val="1712750C"/>
    <w:lvl w:ilvl="0">
      <w:start w:val="1"/>
      <w:numFmt w:val="decimal"/>
      <w:lvlText w:val="%1."/>
      <w:lvlJc w:val="left"/>
      <w:pPr>
        <w:ind w:left="785" w:hanging="360"/>
      </w:pPr>
      <w:rPr>
        <w:rFonts w:cs="Times New Roman" w:hint="default"/>
        <w:rtl w:val="0"/>
        <w:cs w:val="0"/>
      </w:rPr>
    </w:lvl>
    <w:lvl w:ilvl="1">
      <w:start w:val="1"/>
      <w:numFmt w:val="decimal"/>
      <w:isLgl/>
      <w:lvlText w:val="%1.%2"/>
      <w:lvlJc w:val="left"/>
      <w:pPr>
        <w:ind w:left="1080" w:hanging="360"/>
      </w:pPr>
      <w:rPr>
        <w:rFonts w:cs="Times New Roman" w:hint="default"/>
        <w:rtl w:val="0"/>
        <w:cs w:val="0"/>
      </w:rPr>
    </w:lvl>
    <w:lvl w:ilvl="2">
      <w:start w:val="1"/>
      <w:numFmt w:val="decimal"/>
      <w:isLgl/>
      <w:lvlText w:val="%1.%2.%3"/>
      <w:lvlJc w:val="left"/>
      <w:pPr>
        <w:ind w:left="1800" w:hanging="720"/>
      </w:pPr>
      <w:rPr>
        <w:rFonts w:cs="Times New Roman" w:hint="default"/>
        <w:rtl w:val="0"/>
        <w:cs w:val="0"/>
      </w:rPr>
    </w:lvl>
    <w:lvl w:ilvl="3">
      <w:start w:val="1"/>
      <w:numFmt w:val="decimal"/>
      <w:isLgl/>
      <w:lvlText w:val="%1.%2.%3.%4"/>
      <w:lvlJc w:val="left"/>
      <w:pPr>
        <w:ind w:left="2160" w:hanging="720"/>
      </w:pPr>
      <w:rPr>
        <w:rFonts w:cs="Times New Roman" w:hint="default"/>
        <w:rtl w:val="0"/>
        <w:cs w:val="0"/>
      </w:rPr>
    </w:lvl>
    <w:lvl w:ilvl="4">
      <w:start w:val="1"/>
      <w:numFmt w:val="decimal"/>
      <w:isLgl/>
      <w:lvlText w:val="%1.%2.%3.%4.%5"/>
      <w:lvlJc w:val="left"/>
      <w:pPr>
        <w:ind w:left="2520" w:hanging="720"/>
      </w:pPr>
      <w:rPr>
        <w:rFonts w:cs="Times New Roman" w:hint="default"/>
        <w:rtl w:val="0"/>
        <w:cs w:val="0"/>
      </w:rPr>
    </w:lvl>
    <w:lvl w:ilvl="5">
      <w:start w:val="1"/>
      <w:numFmt w:val="decimal"/>
      <w:isLgl/>
      <w:lvlText w:val="%1.%2.%3.%4.%5.%6"/>
      <w:lvlJc w:val="left"/>
      <w:pPr>
        <w:ind w:left="3240" w:hanging="1080"/>
      </w:pPr>
      <w:rPr>
        <w:rFonts w:cs="Times New Roman" w:hint="default"/>
        <w:rtl w:val="0"/>
        <w:cs w:val="0"/>
      </w:rPr>
    </w:lvl>
    <w:lvl w:ilvl="6">
      <w:start w:val="1"/>
      <w:numFmt w:val="decimal"/>
      <w:isLgl/>
      <w:lvlText w:val="%1.%2.%3.%4.%5.%6.%7"/>
      <w:lvlJc w:val="left"/>
      <w:pPr>
        <w:ind w:left="3600" w:hanging="1080"/>
      </w:pPr>
      <w:rPr>
        <w:rFonts w:cs="Times New Roman" w:hint="default"/>
        <w:rtl w:val="0"/>
        <w:cs w:val="0"/>
      </w:rPr>
    </w:lvl>
    <w:lvl w:ilvl="7">
      <w:start w:val="1"/>
      <w:numFmt w:val="decimal"/>
      <w:isLgl/>
      <w:lvlText w:val="%1.%2.%3.%4.%5.%6.%7.%8"/>
      <w:lvlJc w:val="left"/>
      <w:pPr>
        <w:ind w:left="4320" w:hanging="1440"/>
      </w:pPr>
      <w:rPr>
        <w:rFonts w:cs="Times New Roman" w:hint="default"/>
        <w:rtl w:val="0"/>
        <w:cs w:val="0"/>
      </w:rPr>
    </w:lvl>
    <w:lvl w:ilvl="8">
      <w:start w:val="1"/>
      <w:numFmt w:val="decimal"/>
      <w:isLgl/>
      <w:lvlText w:val="%1.%2.%3.%4.%5.%6.%7.%8.%9"/>
      <w:lvlJc w:val="left"/>
      <w:pPr>
        <w:ind w:left="4680" w:hanging="1440"/>
      </w:pPr>
      <w:rPr>
        <w:rFonts w:cs="Times New Roman" w:hint="default"/>
        <w:rtl w:val="0"/>
        <w:cs w:val="0"/>
      </w:rPr>
    </w:lvl>
  </w:abstractNum>
  <w:abstractNum w:abstractNumId="39">
    <w:nsid w:val="71366954"/>
    <w:multiLevelType w:val="hybridMultilevel"/>
    <w:tmpl w:val="3C342826"/>
    <w:lvl w:ilvl="0">
      <w:start w:val="1"/>
      <w:numFmt w:val="lowerLetter"/>
      <w:lvlText w:val="%1)"/>
      <w:lvlJc w:val="left"/>
      <w:pPr>
        <w:ind w:left="414" w:hanging="360"/>
      </w:pPr>
      <w:rPr>
        <w:rFonts w:cs="Times New Roman" w:hint="default"/>
        <w:rtl w:val="0"/>
        <w:cs w:val="0"/>
      </w:rPr>
    </w:lvl>
    <w:lvl w:ilvl="1">
      <w:start w:val="1"/>
      <w:numFmt w:val="lowerLetter"/>
      <w:lvlText w:val="%2."/>
      <w:lvlJc w:val="left"/>
      <w:pPr>
        <w:ind w:left="1134" w:hanging="360"/>
      </w:pPr>
      <w:rPr>
        <w:rFonts w:cs="Times New Roman"/>
        <w:rtl w:val="0"/>
        <w:cs w:val="0"/>
      </w:rPr>
    </w:lvl>
    <w:lvl w:ilvl="2">
      <w:start w:val="1"/>
      <w:numFmt w:val="lowerRoman"/>
      <w:lvlText w:val="%3."/>
      <w:lvlJc w:val="right"/>
      <w:pPr>
        <w:ind w:left="1854" w:hanging="180"/>
      </w:pPr>
      <w:rPr>
        <w:rFonts w:cs="Times New Roman"/>
        <w:rtl w:val="0"/>
        <w:cs w:val="0"/>
      </w:rPr>
    </w:lvl>
    <w:lvl w:ilvl="3">
      <w:start w:val="1"/>
      <w:numFmt w:val="decimal"/>
      <w:lvlText w:val="%4."/>
      <w:lvlJc w:val="left"/>
      <w:pPr>
        <w:ind w:left="2574" w:hanging="360"/>
      </w:pPr>
      <w:rPr>
        <w:rFonts w:cs="Times New Roman"/>
        <w:rtl w:val="0"/>
        <w:cs w:val="0"/>
      </w:rPr>
    </w:lvl>
    <w:lvl w:ilvl="4">
      <w:start w:val="1"/>
      <w:numFmt w:val="lowerLetter"/>
      <w:lvlText w:val="%5."/>
      <w:lvlJc w:val="left"/>
      <w:pPr>
        <w:ind w:left="3294" w:hanging="360"/>
      </w:pPr>
      <w:rPr>
        <w:rFonts w:cs="Times New Roman"/>
        <w:rtl w:val="0"/>
        <w:cs w:val="0"/>
      </w:rPr>
    </w:lvl>
    <w:lvl w:ilvl="5">
      <w:start w:val="1"/>
      <w:numFmt w:val="lowerRoman"/>
      <w:lvlText w:val="%6."/>
      <w:lvlJc w:val="right"/>
      <w:pPr>
        <w:ind w:left="4014" w:hanging="180"/>
      </w:pPr>
      <w:rPr>
        <w:rFonts w:cs="Times New Roman"/>
        <w:rtl w:val="0"/>
        <w:cs w:val="0"/>
      </w:rPr>
    </w:lvl>
    <w:lvl w:ilvl="6">
      <w:start w:val="1"/>
      <w:numFmt w:val="decimal"/>
      <w:lvlText w:val="%7."/>
      <w:lvlJc w:val="left"/>
      <w:pPr>
        <w:ind w:left="4734" w:hanging="360"/>
      </w:pPr>
      <w:rPr>
        <w:rFonts w:cs="Times New Roman"/>
        <w:rtl w:val="0"/>
        <w:cs w:val="0"/>
      </w:rPr>
    </w:lvl>
    <w:lvl w:ilvl="7">
      <w:start w:val="1"/>
      <w:numFmt w:val="lowerLetter"/>
      <w:lvlText w:val="%8."/>
      <w:lvlJc w:val="left"/>
      <w:pPr>
        <w:ind w:left="5454" w:hanging="360"/>
      </w:pPr>
      <w:rPr>
        <w:rFonts w:cs="Times New Roman"/>
        <w:rtl w:val="0"/>
        <w:cs w:val="0"/>
      </w:rPr>
    </w:lvl>
    <w:lvl w:ilvl="8">
      <w:start w:val="1"/>
      <w:numFmt w:val="lowerRoman"/>
      <w:lvlText w:val="%9."/>
      <w:lvlJc w:val="right"/>
      <w:pPr>
        <w:ind w:left="6174" w:hanging="180"/>
      </w:pPr>
      <w:rPr>
        <w:rFonts w:cs="Times New Roman"/>
        <w:rtl w:val="0"/>
        <w:cs w:val="0"/>
      </w:rPr>
    </w:lvl>
  </w:abstractNum>
  <w:abstractNum w:abstractNumId="40">
    <w:nsid w:val="72CE20CF"/>
    <w:multiLevelType w:val="hybridMultilevel"/>
    <w:tmpl w:val="5A225C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1">
    <w:nsid w:val="77182860"/>
    <w:multiLevelType w:val="hybridMultilevel"/>
    <w:tmpl w:val="ABAC6CDE"/>
    <w:lvl w:ilvl="0">
      <w:start w:val="13"/>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77624A0D"/>
    <w:multiLevelType w:val="hybridMultilevel"/>
    <w:tmpl w:val="EA4CE8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85A5E04"/>
    <w:multiLevelType w:val="hybridMultilevel"/>
    <w:tmpl w:val="D0FE1A0E"/>
    <w:lvl w:ilvl="0">
      <w:start w:val="1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792675D2"/>
    <w:multiLevelType w:val="hybridMultilevel"/>
    <w:tmpl w:val="F57AD1B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5">
    <w:nsid w:val="7B082C5B"/>
    <w:multiLevelType w:val="hybridMultilevel"/>
    <w:tmpl w:val="C040E788"/>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45"/>
  </w:num>
  <w:num w:numId="4">
    <w:abstractNumId w:val="7"/>
  </w:num>
  <w:num w:numId="5">
    <w:abstractNumId w:val="30"/>
  </w:num>
  <w:num w:numId="6">
    <w:abstractNumId w:val="28"/>
  </w:num>
  <w:num w:numId="7">
    <w:abstractNumId w:val="25"/>
  </w:num>
  <w:num w:numId="8">
    <w:abstractNumId w:val="27"/>
  </w:num>
  <w:num w:numId="9">
    <w:abstractNumId w:val="1"/>
  </w:num>
  <w:num w:numId="10">
    <w:abstractNumId w:val="3"/>
  </w:num>
  <w:num w:numId="11">
    <w:abstractNumId w:val="0"/>
  </w:num>
  <w:num w:numId="12">
    <w:abstractNumId w:val="44"/>
  </w:num>
  <w:num w:numId="13">
    <w:abstractNumId w:val="14"/>
  </w:num>
  <w:num w:numId="14">
    <w:abstractNumId w:val="2"/>
  </w:num>
  <w:num w:numId="15">
    <w:abstractNumId w:val="32"/>
  </w:num>
  <w:num w:numId="16">
    <w:abstractNumId w:val="41"/>
  </w:num>
  <w:num w:numId="17">
    <w:abstractNumId w:val="43"/>
  </w:num>
  <w:num w:numId="18">
    <w:abstractNumId w:val="11"/>
  </w:num>
  <w:num w:numId="19">
    <w:abstractNumId w:val="4"/>
  </w:num>
  <w:num w:numId="20">
    <w:abstractNumId w:val="39"/>
  </w:num>
  <w:num w:numId="21">
    <w:abstractNumId w:val="34"/>
  </w:num>
  <w:num w:numId="22">
    <w:abstractNumId w:val="35"/>
  </w:num>
  <w:num w:numId="23">
    <w:abstractNumId w:val="37"/>
  </w:num>
  <w:num w:numId="24">
    <w:abstractNumId w:val="6"/>
  </w:num>
  <w:num w:numId="25">
    <w:abstractNumId w:val="5"/>
  </w:num>
  <w:num w:numId="26">
    <w:abstractNumId w:val="40"/>
  </w:num>
  <w:num w:numId="27">
    <w:abstractNumId w:val="13"/>
  </w:num>
  <w:num w:numId="28">
    <w:abstractNumId w:val="10"/>
  </w:num>
  <w:num w:numId="29">
    <w:abstractNumId w:val="20"/>
  </w:num>
  <w:num w:numId="30">
    <w:abstractNumId w:val="26"/>
  </w:num>
  <w:num w:numId="31">
    <w:abstractNumId w:val="33"/>
  </w:num>
  <w:num w:numId="32">
    <w:abstractNumId w:val="24"/>
  </w:num>
  <w:num w:numId="33">
    <w:abstractNumId w:val="22"/>
  </w:num>
  <w:num w:numId="34">
    <w:abstractNumId w:val="38"/>
  </w:num>
  <w:num w:numId="35">
    <w:abstractNumId w:val="12"/>
  </w:num>
  <w:num w:numId="36">
    <w:abstractNumId w:val="17"/>
  </w:num>
  <w:num w:numId="37">
    <w:abstractNumId w:val="19"/>
  </w:num>
  <w:num w:numId="38">
    <w:abstractNumId w:val="9"/>
  </w:num>
  <w:num w:numId="39">
    <w:abstractNumId w:val="23"/>
  </w:num>
  <w:num w:numId="40">
    <w:abstractNumId w:val="42"/>
  </w:num>
  <w:num w:numId="41">
    <w:abstractNumId w:val="8"/>
  </w:num>
  <w:num w:numId="42">
    <w:abstractNumId w:val="15"/>
  </w:num>
  <w:num w:numId="43">
    <w:abstractNumId w:val="36"/>
  </w:num>
  <w:num w:numId="44">
    <w:abstractNumId w:val="21"/>
  </w:num>
  <w:num w:numId="45">
    <w:abstractNumId w:val="31"/>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115116"/>
    <w:rsid w:val="00042BD8"/>
    <w:rsid w:val="0005372E"/>
    <w:rsid w:val="00065102"/>
    <w:rsid w:val="0009673D"/>
    <w:rsid w:val="000B458F"/>
    <w:rsid w:val="000D480A"/>
    <w:rsid w:val="000F2BF1"/>
    <w:rsid w:val="00115116"/>
    <w:rsid w:val="00115FFE"/>
    <w:rsid w:val="00135DE3"/>
    <w:rsid w:val="001410B6"/>
    <w:rsid w:val="00142263"/>
    <w:rsid w:val="001603CA"/>
    <w:rsid w:val="001C7851"/>
    <w:rsid w:val="001D0836"/>
    <w:rsid w:val="001D0CF0"/>
    <w:rsid w:val="001D2265"/>
    <w:rsid w:val="00216FC3"/>
    <w:rsid w:val="002728EB"/>
    <w:rsid w:val="00280E76"/>
    <w:rsid w:val="002C0302"/>
    <w:rsid w:val="002D413F"/>
    <w:rsid w:val="002D4A52"/>
    <w:rsid w:val="00324F40"/>
    <w:rsid w:val="00392101"/>
    <w:rsid w:val="003B0E5A"/>
    <w:rsid w:val="003B6108"/>
    <w:rsid w:val="003C5100"/>
    <w:rsid w:val="00407C08"/>
    <w:rsid w:val="00430FF1"/>
    <w:rsid w:val="0044147D"/>
    <w:rsid w:val="00491C95"/>
    <w:rsid w:val="00492FC0"/>
    <w:rsid w:val="004C75FF"/>
    <w:rsid w:val="004D08E9"/>
    <w:rsid w:val="004D2F1E"/>
    <w:rsid w:val="004E354B"/>
    <w:rsid w:val="00524433"/>
    <w:rsid w:val="0056669E"/>
    <w:rsid w:val="00590528"/>
    <w:rsid w:val="005B38AF"/>
    <w:rsid w:val="005B6416"/>
    <w:rsid w:val="005D0EFE"/>
    <w:rsid w:val="005D36F2"/>
    <w:rsid w:val="005D3876"/>
    <w:rsid w:val="005D72C8"/>
    <w:rsid w:val="00600EF1"/>
    <w:rsid w:val="00642D8E"/>
    <w:rsid w:val="00671CC7"/>
    <w:rsid w:val="00671FF0"/>
    <w:rsid w:val="00677DE9"/>
    <w:rsid w:val="00692C0C"/>
    <w:rsid w:val="006A2CC3"/>
    <w:rsid w:val="006A5625"/>
    <w:rsid w:val="006A6E34"/>
    <w:rsid w:val="006F65AF"/>
    <w:rsid w:val="0071522E"/>
    <w:rsid w:val="0071577E"/>
    <w:rsid w:val="007271D5"/>
    <w:rsid w:val="00734748"/>
    <w:rsid w:val="0074612A"/>
    <w:rsid w:val="007566CB"/>
    <w:rsid w:val="00787223"/>
    <w:rsid w:val="00796197"/>
    <w:rsid w:val="007A3010"/>
    <w:rsid w:val="007B69CC"/>
    <w:rsid w:val="007E1C74"/>
    <w:rsid w:val="007F54BB"/>
    <w:rsid w:val="00802D4B"/>
    <w:rsid w:val="00822F63"/>
    <w:rsid w:val="008231F6"/>
    <w:rsid w:val="0082368B"/>
    <w:rsid w:val="0082731E"/>
    <w:rsid w:val="00835700"/>
    <w:rsid w:val="00836B40"/>
    <w:rsid w:val="00844178"/>
    <w:rsid w:val="0087354B"/>
    <w:rsid w:val="008C711D"/>
    <w:rsid w:val="008F4214"/>
    <w:rsid w:val="00925F87"/>
    <w:rsid w:val="00955938"/>
    <w:rsid w:val="009A3490"/>
    <w:rsid w:val="009A40AA"/>
    <w:rsid w:val="009A6C26"/>
    <w:rsid w:val="009B66EC"/>
    <w:rsid w:val="009C5563"/>
    <w:rsid w:val="00A071E6"/>
    <w:rsid w:val="00A21673"/>
    <w:rsid w:val="00A2218D"/>
    <w:rsid w:val="00A2385C"/>
    <w:rsid w:val="00A26076"/>
    <w:rsid w:val="00A4130B"/>
    <w:rsid w:val="00A453A6"/>
    <w:rsid w:val="00A67C8A"/>
    <w:rsid w:val="00A7102D"/>
    <w:rsid w:val="00A71A19"/>
    <w:rsid w:val="00AA52D3"/>
    <w:rsid w:val="00AB5C58"/>
    <w:rsid w:val="00B17C67"/>
    <w:rsid w:val="00B977D7"/>
    <w:rsid w:val="00BA04C3"/>
    <w:rsid w:val="00BC3CE7"/>
    <w:rsid w:val="00C14603"/>
    <w:rsid w:val="00C667F3"/>
    <w:rsid w:val="00CC4138"/>
    <w:rsid w:val="00CD147A"/>
    <w:rsid w:val="00CE1CA0"/>
    <w:rsid w:val="00CF2891"/>
    <w:rsid w:val="00D13AFD"/>
    <w:rsid w:val="00D17B39"/>
    <w:rsid w:val="00D41168"/>
    <w:rsid w:val="00D44ABA"/>
    <w:rsid w:val="00D453C1"/>
    <w:rsid w:val="00D45A3C"/>
    <w:rsid w:val="00D639CA"/>
    <w:rsid w:val="00D82815"/>
    <w:rsid w:val="00DC102D"/>
    <w:rsid w:val="00DE06AB"/>
    <w:rsid w:val="00DE550E"/>
    <w:rsid w:val="00E06FB5"/>
    <w:rsid w:val="00E26B92"/>
    <w:rsid w:val="00E3212B"/>
    <w:rsid w:val="00E41A87"/>
    <w:rsid w:val="00E575C5"/>
    <w:rsid w:val="00E70559"/>
    <w:rsid w:val="00E76032"/>
    <w:rsid w:val="00E92865"/>
    <w:rsid w:val="00E95074"/>
    <w:rsid w:val="00EA40F6"/>
    <w:rsid w:val="00EE755C"/>
    <w:rsid w:val="00EF1E85"/>
    <w:rsid w:val="00F05711"/>
    <w:rsid w:val="00F26616"/>
    <w:rsid w:val="00F534B7"/>
    <w:rsid w:val="00F56F20"/>
    <w:rsid w:val="00F6023F"/>
    <w:rsid w:val="00F6156F"/>
    <w:rsid w:val="00F6703E"/>
    <w:rsid w:val="00F7402E"/>
    <w:rsid w:val="00F87035"/>
    <w:rsid w:val="00F917DB"/>
    <w:rsid w:val="00FA7211"/>
    <w:rsid w:val="00FB0FA2"/>
    <w:rsid w:val="00FC286C"/>
    <w:rsid w:val="00FC4077"/>
    <w:rsid w:val="00FE0CF5"/>
    <w:rsid w:val="00FE605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87"/>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9"/>
    <w:qFormat/>
    <w:rsid w:val="00EA40F6"/>
    <w:pPr>
      <w:keepNext/>
      <w:widowControl w:val="0"/>
      <w:spacing w:after="0" w:line="240" w:lineRule="auto"/>
      <w:jc w:val="left"/>
      <w:outlineLvl w:val="0"/>
    </w:pPr>
    <w:rPr>
      <w:rFonts w:ascii="Times New Roman" w:hAnsi="Times New Roman"/>
      <w:b/>
      <w:bCs/>
      <w:sz w:val="24"/>
      <w:szCs w:val="24"/>
      <w:lang w:val="cs-CZ" w:eastAsia="sk-SK"/>
    </w:rPr>
  </w:style>
  <w:style w:type="paragraph" w:styleId="Heading2">
    <w:name w:val="heading 2"/>
    <w:aliases w:val="Char Char,Char Char Char Char"/>
    <w:basedOn w:val="Normal"/>
    <w:next w:val="Normal"/>
    <w:link w:val="Nadpis2Char"/>
    <w:uiPriority w:val="99"/>
    <w:qFormat/>
    <w:rsid w:val="00EA40F6"/>
    <w:pPr>
      <w:spacing w:after="160" w:line="240" w:lineRule="exact"/>
      <w:jc w:val="left"/>
      <w:outlineLvl w:val="1"/>
    </w:pPr>
    <w:rPr>
      <w:rFonts w:ascii="Tahoma" w:hAnsi="Tahoma" w:cs="Tahoma"/>
      <w:sz w:val="20"/>
      <w:szCs w:val="20"/>
      <w:lang w:val="en-US"/>
    </w:rPr>
  </w:style>
  <w:style w:type="paragraph" w:styleId="Heading3">
    <w:name w:val="heading 3"/>
    <w:basedOn w:val="Normal"/>
    <w:next w:val="Normal"/>
    <w:link w:val="Nadpis3Char"/>
    <w:uiPriority w:val="99"/>
    <w:qFormat/>
    <w:rsid w:val="00EA40F6"/>
    <w:pPr>
      <w:keepNext/>
      <w:spacing w:before="240" w:after="60" w:line="240" w:lineRule="auto"/>
      <w:jc w:val="left"/>
      <w:outlineLvl w:val="2"/>
    </w:pPr>
    <w:rPr>
      <w:rFonts w:ascii="Arial" w:hAnsi="Arial" w:cs="Arial"/>
      <w:b/>
      <w:bCs/>
      <w:sz w:val="26"/>
      <w:szCs w:val="26"/>
      <w:lang w:eastAsia="sk-SK"/>
    </w:rPr>
  </w:style>
  <w:style w:type="paragraph" w:styleId="Heading5">
    <w:name w:val="heading 5"/>
    <w:basedOn w:val="Normal"/>
    <w:next w:val="Normal"/>
    <w:link w:val="Nadpis5Char"/>
    <w:uiPriority w:val="99"/>
    <w:qFormat/>
    <w:rsid w:val="00EA40F6"/>
    <w:pPr>
      <w:spacing w:before="240" w:after="60" w:line="240" w:lineRule="auto"/>
      <w:jc w:val="left"/>
      <w:outlineLvl w:val="4"/>
    </w:pPr>
    <w:rPr>
      <w:rFonts w:ascii="Times New Roman" w:hAnsi="Times New Roman"/>
      <w:b/>
      <w:bCs/>
      <w:i/>
      <w:iCs/>
      <w:sz w:val="26"/>
      <w:szCs w:val="26"/>
      <w:lang w:eastAsia="sk-SK"/>
    </w:rPr>
  </w:style>
  <w:style w:type="paragraph" w:styleId="Heading9">
    <w:name w:val="heading 9"/>
    <w:basedOn w:val="Normal"/>
    <w:next w:val="Normal"/>
    <w:link w:val="Nadpis9Char"/>
    <w:uiPriority w:val="99"/>
    <w:qFormat/>
    <w:rsid w:val="00EA40F6"/>
    <w:pPr>
      <w:keepNext/>
      <w:widowControl w:val="0"/>
      <w:spacing w:before="120" w:after="120" w:line="240" w:lineRule="auto"/>
      <w:ind w:left="360"/>
      <w:jc w:val="center"/>
      <w:outlineLvl w:val="8"/>
    </w:pPr>
    <w:rPr>
      <w:rFonts w:ascii="Times New Roman" w:hAnsi="Times New Roman"/>
      <w:b/>
      <w:bCs/>
      <w:sz w:val="24"/>
      <w:szCs w:val="24"/>
      <w:lang w:val="cs-CZ"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EA40F6"/>
    <w:rPr>
      <w:rFonts w:ascii="Times New Roman" w:hAnsi="Times New Roman" w:cs="Times New Roman"/>
      <w:b/>
      <w:bCs/>
      <w:sz w:val="24"/>
      <w:szCs w:val="24"/>
      <w:rtl w:val="0"/>
      <w:cs w:val="0"/>
      <w:lang w:val="cs-CZ" w:eastAsia="sk-SK"/>
    </w:rPr>
  </w:style>
  <w:style w:type="character" w:customStyle="1" w:styleId="Nadpis2Char">
    <w:name w:val="Nadpis 2 Char"/>
    <w:aliases w:val="Char Char Char,Char Char Char Char Char"/>
    <w:basedOn w:val="DefaultParagraphFont"/>
    <w:link w:val="Heading2"/>
    <w:uiPriority w:val="99"/>
    <w:locked/>
    <w:rsid w:val="00EA40F6"/>
    <w:rPr>
      <w:rFonts w:ascii="Times New Roman" w:hAnsi="Times New Roman" w:cs="Times New Roman"/>
      <w:b/>
      <w:bCs/>
      <w:sz w:val="20"/>
      <w:szCs w:val="20"/>
      <w:rtl w:val="0"/>
      <w:cs w:val="0"/>
      <w:lang w:val="cs-CZ" w:eastAsia="sk-SK"/>
    </w:rPr>
  </w:style>
  <w:style w:type="character" w:customStyle="1" w:styleId="Nadpis3Char">
    <w:name w:val="Nadpis 3 Char"/>
    <w:basedOn w:val="DefaultParagraphFont"/>
    <w:link w:val="Heading3"/>
    <w:uiPriority w:val="99"/>
    <w:locked/>
    <w:rsid w:val="00EA40F6"/>
    <w:rPr>
      <w:rFonts w:ascii="Arial" w:hAnsi="Arial" w:cs="Arial"/>
      <w:b/>
      <w:bCs/>
      <w:sz w:val="26"/>
      <w:szCs w:val="26"/>
      <w:rtl w:val="0"/>
      <w:cs w:val="0"/>
      <w:lang w:val="x-none" w:eastAsia="sk-SK"/>
    </w:rPr>
  </w:style>
  <w:style w:type="character" w:customStyle="1" w:styleId="Nadpis5Char">
    <w:name w:val="Nadpis 5 Char"/>
    <w:basedOn w:val="DefaultParagraphFont"/>
    <w:link w:val="Heading5"/>
    <w:uiPriority w:val="99"/>
    <w:locked/>
    <w:rsid w:val="00EA40F6"/>
    <w:rPr>
      <w:rFonts w:ascii="Times New Roman" w:hAnsi="Times New Roman" w:cs="Times New Roman"/>
      <w:b/>
      <w:bCs/>
      <w:i/>
      <w:iCs/>
      <w:sz w:val="26"/>
      <w:szCs w:val="26"/>
      <w:rtl w:val="0"/>
      <w:cs w:val="0"/>
      <w:lang w:val="x-none" w:eastAsia="sk-SK"/>
    </w:rPr>
  </w:style>
  <w:style w:type="character" w:customStyle="1" w:styleId="Nadpis9Char">
    <w:name w:val="Nadpis 9 Char"/>
    <w:basedOn w:val="DefaultParagraphFont"/>
    <w:link w:val="Heading9"/>
    <w:uiPriority w:val="99"/>
    <w:locked/>
    <w:rsid w:val="00EA40F6"/>
    <w:rPr>
      <w:rFonts w:ascii="Times New Roman" w:hAnsi="Times New Roman" w:cs="Times New Roman"/>
      <w:b/>
      <w:bCs/>
      <w:sz w:val="24"/>
      <w:szCs w:val="24"/>
      <w:rtl w:val="0"/>
      <w:cs w:val="0"/>
      <w:lang w:val="cs-CZ" w:eastAsia="sk-SK"/>
    </w:rPr>
  </w:style>
  <w:style w:type="paragraph" w:styleId="BalloonText">
    <w:name w:val="Balloon Text"/>
    <w:basedOn w:val="Normal"/>
    <w:link w:val="TextbublinyChar"/>
    <w:uiPriority w:val="99"/>
    <w:semiHidden/>
    <w:rsid w:val="00EA40F6"/>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EA40F6"/>
    <w:rPr>
      <w:rFonts w:ascii="Tahoma" w:hAnsi="Tahoma" w:cs="Tahoma"/>
      <w:sz w:val="16"/>
      <w:szCs w:val="16"/>
      <w:rtl w:val="0"/>
      <w:cs w:val="0"/>
      <w:lang w:val="x-none" w:eastAsia="sk-SK"/>
    </w:rPr>
  </w:style>
  <w:style w:type="paragraph" w:styleId="BodyText2">
    <w:name w:val="Body Text 2"/>
    <w:basedOn w:val="Normal"/>
    <w:link w:val="Zkladntext2Char"/>
    <w:uiPriority w:val="99"/>
    <w:rsid w:val="00EA40F6"/>
    <w:pPr>
      <w:spacing w:after="0" w:line="240" w:lineRule="auto"/>
      <w:jc w:val="both"/>
    </w:pPr>
    <w:rPr>
      <w:rFonts w:ascii="Times New Roman" w:hAnsi="Times New Roman"/>
      <w:sz w:val="20"/>
      <w:szCs w:val="20"/>
      <w:lang w:eastAsia="sk-SK"/>
    </w:rPr>
  </w:style>
  <w:style w:type="character" w:customStyle="1" w:styleId="Zkladntext2Char">
    <w:name w:val="Základný text 2 Char"/>
    <w:basedOn w:val="DefaultParagraphFont"/>
    <w:link w:val="BodyText2"/>
    <w:uiPriority w:val="99"/>
    <w:locked/>
    <w:rsid w:val="00EA40F6"/>
    <w:rPr>
      <w:rFonts w:ascii="Times New Roman" w:hAnsi="Times New Roman" w:cs="Times New Roman"/>
      <w:sz w:val="20"/>
      <w:szCs w:val="20"/>
      <w:rtl w:val="0"/>
      <w:cs w:val="0"/>
      <w:lang w:val="x-none" w:eastAsia="sk-SK"/>
    </w:rPr>
  </w:style>
  <w:style w:type="paragraph" w:styleId="BodyText">
    <w:name w:val="Body Text"/>
    <w:basedOn w:val="Normal"/>
    <w:link w:val="ZkladntextChar"/>
    <w:uiPriority w:val="99"/>
    <w:rsid w:val="00EA40F6"/>
    <w:pPr>
      <w:spacing w:after="0" w:line="240" w:lineRule="auto"/>
      <w:jc w:val="left"/>
    </w:pPr>
    <w:rPr>
      <w:rFonts w:ascii="Times New Roman" w:hAnsi="Times New Roman"/>
      <w:sz w:val="20"/>
      <w:szCs w:val="20"/>
      <w:lang w:eastAsia="sk-SK"/>
    </w:rPr>
  </w:style>
  <w:style w:type="character" w:customStyle="1" w:styleId="ZkladntextChar">
    <w:name w:val="Základný text Char"/>
    <w:basedOn w:val="DefaultParagraphFont"/>
    <w:link w:val="BodyText"/>
    <w:uiPriority w:val="99"/>
    <w:locked/>
    <w:rsid w:val="00EA40F6"/>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EA40F6"/>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EA40F6"/>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EA40F6"/>
    <w:rPr>
      <w:rFonts w:cs="Times New Roman"/>
      <w:rtl w:val="0"/>
      <w:cs w:val="0"/>
    </w:rPr>
  </w:style>
  <w:style w:type="paragraph" w:styleId="Title">
    <w:name w:val="Title"/>
    <w:basedOn w:val="Normal"/>
    <w:link w:val="NzovChar"/>
    <w:uiPriority w:val="99"/>
    <w:qFormat/>
    <w:rsid w:val="00EA40F6"/>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99"/>
    <w:locked/>
    <w:rsid w:val="00EA40F6"/>
    <w:rPr>
      <w:rFonts w:ascii="Times New Roman" w:hAnsi="Times New Roman" w:cs="Times New Roman"/>
      <w:b/>
      <w:bCs/>
      <w:sz w:val="24"/>
      <w:szCs w:val="24"/>
      <w:rtl w:val="0"/>
      <w:cs w:val="0"/>
      <w:lang w:val="x-none" w:eastAsia="sk-SK"/>
    </w:rPr>
  </w:style>
  <w:style w:type="paragraph" w:styleId="BodyText3">
    <w:name w:val="Body Text 3"/>
    <w:basedOn w:val="Normal"/>
    <w:link w:val="Zkladntext3Char"/>
    <w:uiPriority w:val="99"/>
    <w:rsid w:val="00EA40F6"/>
    <w:pPr>
      <w:spacing w:after="0" w:line="240" w:lineRule="auto"/>
      <w:jc w:val="both"/>
    </w:pPr>
    <w:rPr>
      <w:rFonts w:ascii="Times New Roman" w:hAnsi="Times New Roman"/>
      <w:b/>
      <w:bCs/>
      <w:i/>
      <w:iCs/>
      <w:sz w:val="20"/>
      <w:szCs w:val="20"/>
      <w:lang w:eastAsia="sk-SK"/>
    </w:rPr>
  </w:style>
  <w:style w:type="character" w:customStyle="1" w:styleId="Zkladntext3Char">
    <w:name w:val="Základný text 3 Char"/>
    <w:basedOn w:val="DefaultParagraphFont"/>
    <w:link w:val="BodyText3"/>
    <w:uiPriority w:val="99"/>
    <w:locked/>
    <w:rsid w:val="00EA40F6"/>
    <w:rPr>
      <w:rFonts w:ascii="Times New Roman" w:hAnsi="Times New Roman" w:cs="Times New Roman"/>
      <w:b/>
      <w:bCs/>
      <w:i/>
      <w:iCs/>
      <w:sz w:val="20"/>
      <w:szCs w:val="20"/>
      <w:rtl w:val="0"/>
      <w:cs w:val="0"/>
      <w:lang w:val="x-none" w:eastAsia="sk-SK"/>
    </w:rPr>
  </w:style>
  <w:style w:type="paragraph" w:styleId="Header">
    <w:name w:val="header"/>
    <w:basedOn w:val="Normal"/>
    <w:link w:val="HlavikaChar"/>
    <w:uiPriority w:val="99"/>
    <w:rsid w:val="00EA40F6"/>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EA40F6"/>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rsid w:val="00EA40F6"/>
    <w:pPr>
      <w:spacing w:after="0" w:line="240" w:lineRule="auto"/>
      <w:ind w:firstLine="426"/>
      <w:jc w:val="both"/>
    </w:pPr>
    <w:rPr>
      <w:rFonts w:ascii="Times New Roman" w:hAnsi="Times New Roman"/>
      <w:sz w:val="24"/>
      <w:szCs w:val="24"/>
      <w:lang w:eastAsia="sk-SK"/>
    </w:rPr>
  </w:style>
  <w:style w:type="character" w:customStyle="1" w:styleId="Zarkazkladnhotextu2Char">
    <w:name w:val="Zarážka základného textu 2 Char"/>
    <w:basedOn w:val="DefaultParagraphFont"/>
    <w:link w:val="BodyTextIndent2"/>
    <w:uiPriority w:val="99"/>
    <w:locked/>
    <w:rsid w:val="00EA40F6"/>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uiPriority w:val="99"/>
    <w:rsid w:val="00EA40F6"/>
    <w:pPr>
      <w:spacing w:after="0" w:line="240" w:lineRule="auto"/>
      <w:ind w:left="709" w:hanging="283"/>
      <w:jc w:val="both"/>
    </w:pPr>
    <w:rPr>
      <w:rFonts w:ascii="Times New Roman" w:hAnsi="Times New Roman"/>
      <w:sz w:val="24"/>
      <w:szCs w:val="24"/>
      <w:lang w:eastAsia="sk-SK"/>
    </w:rPr>
  </w:style>
  <w:style w:type="character" w:customStyle="1" w:styleId="Zarkazkladnhotextu3Char">
    <w:name w:val="Zarážka základného textu 3 Char"/>
    <w:basedOn w:val="DefaultParagraphFont"/>
    <w:link w:val="BodyTextIndent3"/>
    <w:uiPriority w:val="99"/>
    <w:locked/>
    <w:rsid w:val="00EA40F6"/>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EA40F6"/>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semiHidden/>
    <w:locked/>
    <w:rsid w:val="00EA40F6"/>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EA40F6"/>
    <w:rPr>
      <w:rFonts w:cs="Times New Roman"/>
      <w:vertAlign w:val="superscript"/>
      <w:rtl w:val="0"/>
      <w:cs w:val="0"/>
    </w:rPr>
  </w:style>
  <w:style w:type="paragraph" w:styleId="PlainText">
    <w:name w:val="Plain Text"/>
    <w:basedOn w:val="Normal"/>
    <w:link w:val="ObyajntextChar"/>
    <w:uiPriority w:val="99"/>
    <w:rsid w:val="00EA40F6"/>
    <w:pPr>
      <w:widowControl w:val="0"/>
      <w:spacing w:after="0" w:line="240" w:lineRule="auto"/>
      <w:jc w:val="both"/>
    </w:pPr>
    <w:rPr>
      <w:rFonts w:ascii="Courier New" w:hAnsi="Courier New" w:cs="Courier New"/>
      <w:sz w:val="20"/>
      <w:szCs w:val="20"/>
      <w:lang w:eastAsia="cs-CZ"/>
    </w:rPr>
  </w:style>
  <w:style w:type="character" w:customStyle="1" w:styleId="ObyajntextChar">
    <w:name w:val="Obyčajný text Char"/>
    <w:basedOn w:val="DefaultParagraphFont"/>
    <w:link w:val="PlainText"/>
    <w:uiPriority w:val="99"/>
    <w:locked/>
    <w:rsid w:val="00EA40F6"/>
    <w:rPr>
      <w:rFonts w:ascii="Courier New" w:hAnsi="Courier New" w:cs="Courier New"/>
      <w:sz w:val="20"/>
      <w:szCs w:val="20"/>
      <w:rtl w:val="0"/>
      <w:cs w:val="0"/>
      <w:lang w:val="x-none" w:eastAsia="cs-CZ"/>
    </w:rPr>
  </w:style>
  <w:style w:type="paragraph" w:customStyle="1" w:styleId="Casti">
    <w:name w:val="Casti"/>
    <w:basedOn w:val="Heading1"/>
    <w:uiPriority w:val="99"/>
    <w:rsid w:val="00EA40F6"/>
    <w:pPr>
      <w:widowControl/>
      <w:spacing w:before="360" w:after="360" w:line="240" w:lineRule="auto"/>
      <w:jc w:val="center"/>
    </w:pPr>
    <w:rPr>
      <w:rFonts w:ascii="Times New Roman" w:hAnsi="Times New Roman"/>
      <w:color w:val="000000"/>
      <w:kern w:val="32"/>
      <w:lang w:val="sk-SK" w:eastAsia="en-US"/>
    </w:rPr>
  </w:style>
  <w:style w:type="paragraph" w:customStyle="1" w:styleId="Head1">
    <w:name w:val="Head1"/>
    <w:basedOn w:val="Heading1"/>
    <w:uiPriority w:val="99"/>
    <w:rsid w:val="00EA40F6"/>
    <w:pPr>
      <w:widowControl/>
      <w:numPr>
        <w:numId w:val="1"/>
      </w:numPr>
      <w:tabs>
        <w:tab w:val="num" w:pos="360"/>
      </w:tabs>
      <w:spacing w:before="240" w:after="240" w:line="240" w:lineRule="auto"/>
      <w:ind w:left="360" w:hanging="360"/>
      <w:jc w:val="center"/>
    </w:pPr>
    <w:rPr>
      <w:rFonts w:ascii="Times New Roman" w:hAnsi="Times New Roman"/>
      <w:kern w:val="32"/>
      <w:lang w:val="sk-SK" w:eastAsia="en-US"/>
    </w:rPr>
  </w:style>
  <w:style w:type="paragraph" w:customStyle="1" w:styleId="StyleNormln110pt">
    <w:name w:val="Style Normální1 + 10 pt"/>
    <w:basedOn w:val="Normal"/>
    <w:uiPriority w:val="99"/>
    <w:rsid w:val="00EA40F6"/>
    <w:pPr>
      <w:widowControl w:val="0"/>
      <w:spacing w:after="0" w:line="240" w:lineRule="auto"/>
      <w:jc w:val="both"/>
    </w:pPr>
    <w:rPr>
      <w:rFonts w:ascii="Times New Roman" w:hAnsi="Times New Roman"/>
      <w:sz w:val="20"/>
      <w:szCs w:val="20"/>
    </w:rPr>
  </w:style>
  <w:style w:type="table" w:styleId="TableGrid">
    <w:name w:val="Table Grid"/>
    <w:basedOn w:val="TableNormal"/>
    <w:uiPriority w:val="99"/>
    <w:rsid w:val="00EA40F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5">
    <w:name w:val="Char Char Char Char Char Char Char Char Char Char Char Char Char Char Char Char Char Char Char Char Char Char Char5"/>
    <w:basedOn w:val="Normal"/>
    <w:uiPriority w:val="99"/>
    <w:rsid w:val="00EA40F6"/>
    <w:pPr>
      <w:spacing w:after="160" w:line="240" w:lineRule="exact"/>
      <w:jc w:val="left"/>
    </w:pPr>
    <w:rPr>
      <w:rFonts w:ascii="Tahoma" w:hAnsi="Tahoma" w:cs="Tahoma"/>
      <w:sz w:val="20"/>
      <w:szCs w:val="20"/>
      <w:lang w:val="en-US"/>
    </w:rPr>
  </w:style>
  <w:style w:type="paragraph" w:customStyle="1" w:styleId="CM32">
    <w:name w:val="CM32"/>
    <w:basedOn w:val="Normal"/>
    <w:next w:val="Normal"/>
    <w:uiPriority w:val="99"/>
    <w:rsid w:val="00EA40F6"/>
    <w:pPr>
      <w:widowControl w:val="0"/>
      <w:autoSpaceDE w:val="0"/>
      <w:autoSpaceDN w:val="0"/>
      <w:adjustRightInd w:val="0"/>
      <w:spacing w:after="315" w:line="240" w:lineRule="auto"/>
      <w:jc w:val="left"/>
    </w:pPr>
    <w:rPr>
      <w:rFonts w:ascii="EU Albertina" w:hAnsi="EU Albertina" w:cs="EU Albertina"/>
      <w:sz w:val="24"/>
      <w:szCs w:val="24"/>
      <w:lang w:eastAsia="sk-SK"/>
    </w:rPr>
  </w:style>
  <w:style w:type="paragraph" w:customStyle="1" w:styleId="CM31">
    <w:name w:val="CM31"/>
    <w:basedOn w:val="Normal"/>
    <w:next w:val="Normal"/>
    <w:uiPriority w:val="99"/>
    <w:rsid w:val="00EA40F6"/>
    <w:pPr>
      <w:widowControl w:val="0"/>
      <w:autoSpaceDE w:val="0"/>
      <w:autoSpaceDN w:val="0"/>
      <w:adjustRightInd w:val="0"/>
      <w:spacing w:after="493" w:line="240" w:lineRule="auto"/>
      <w:jc w:val="left"/>
    </w:pPr>
    <w:rPr>
      <w:rFonts w:ascii="EU Albertina" w:hAnsi="EU Albertina" w:cs="EU Albertina"/>
      <w:sz w:val="24"/>
      <w:szCs w:val="24"/>
      <w:lang w:eastAsia="sk-SK"/>
    </w:rPr>
  </w:style>
  <w:style w:type="paragraph" w:customStyle="1" w:styleId="Default">
    <w:name w:val="Default"/>
    <w:uiPriority w:val="99"/>
    <w:rsid w:val="00EA40F6"/>
    <w:pPr>
      <w:framePr w:wrap="auto"/>
      <w:widowControl w:val="0"/>
      <w:autoSpaceDE w:val="0"/>
      <w:autoSpaceDN w:val="0"/>
      <w:adjustRightInd w:val="0"/>
      <w:ind w:left="0" w:right="0"/>
      <w:jc w:val="left"/>
      <w:textAlignment w:val="auto"/>
    </w:pPr>
    <w:rPr>
      <w:rFonts w:ascii="EU Albertina" w:hAnsi="EU Albertina" w:cs="EU Albertina"/>
      <w:color w:val="000000"/>
      <w:sz w:val="24"/>
      <w:szCs w:val="24"/>
      <w:rtl w:val="0"/>
      <w:cs w:val="0"/>
      <w:lang w:val="sk-SK" w:eastAsia="sk-SK" w:bidi="ar-SA"/>
    </w:rPr>
  </w:style>
  <w:style w:type="paragraph" w:customStyle="1" w:styleId="CM14">
    <w:name w:val="CM14"/>
    <w:basedOn w:val="Default"/>
    <w:next w:val="Default"/>
    <w:uiPriority w:val="99"/>
    <w:rsid w:val="00EA40F6"/>
    <w:pPr>
      <w:spacing w:line="211" w:lineRule="atLeast"/>
      <w:jc w:val="left"/>
    </w:pPr>
    <w:rPr>
      <w:color w:val="auto"/>
    </w:rPr>
  </w:style>
  <w:style w:type="paragraph" w:customStyle="1" w:styleId="CM27">
    <w:name w:val="CM27"/>
    <w:basedOn w:val="Default"/>
    <w:next w:val="Default"/>
    <w:uiPriority w:val="99"/>
    <w:rsid w:val="00EA40F6"/>
    <w:pPr>
      <w:spacing w:after="448"/>
      <w:jc w:val="left"/>
    </w:pPr>
    <w:rPr>
      <w:color w:val="auto"/>
    </w:rPr>
  </w:style>
  <w:style w:type="paragraph" w:customStyle="1" w:styleId="CM35">
    <w:name w:val="CM35"/>
    <w:basedOn w:val="Default"/>
    <w:next w:val="Default"/>
    <w:uiPriority w:val="99"/>
    <w:rsid w:val="00EA40F6"/>
    <w:pPr>
      <w:spacing w:after="248"/>
      <w:jc w:val="left"/>
    </w:pPr>
    <w:rPr>
      <w:color w:val="auto"/>
    </w:rPr>
  </w:style>
  <w:style w:type="paragraph" w:customStyle="1" w:styleId="CM36">
    <w:name w:val="CM36"/>
    <w:basedOn w:val="Default"/>
    <w:next w:val="Default"/>
    <w:uiPriority w:val="99"/>
    <w:rsid w:val="00EA40F6"/>
    <w:pPr>
      <w:spacing w:after="370"/>
      <w:jc w:val="left"/>
    </w:pPr>
    <w:rPr>
      <w:color w:val="auto"/>
    </w:rPr>
  </w:style>
  <w:style w:type="paragraph" w:customStyle="1" w:styleId="CM17">
    <w:name w:val="CM17"/>
    <w:basedOn w:val="Default"/>
    <w:next w:val="Default"/>
    <w:uiPriority w:val="99"/>
    <w:rsid w:val="00EA40F6"/>
    <w:pPr>
      <w:spacing w:line="211" w:lineRule="atLeast"/>
      <w:jc w:val="left"/>
    </w:pPr>
    <w:rPr>
      <w:color w:val="auto"/>
    </w:rPr>
  </w:style>
  <w:style w:type="paragraph" w:customStyle="1" w:styleId="Odstavec1cm">
    <w:name w:val="Odstavec 1cm"/>
    <w:basedOn w:val="Normal"/>
    <w:uiPriority w:val="99"/>
    <w:rsid w:val="00EA40F6"/>
    <w:pPr>
      <w:tabs>
        <w:tab w:val="left" w:pos="567"/>
        <w:tab w:val="left" w:pos="1134"/>
      </w:tabs>
      <w:spacing w:before="60" w:after="60" w:line="240" w:lineRule="auto"/>
      <w:ind w:left="567" w:right="45"/>
      <w:jc w:val="both"/>
    </w:pPr>
    <w:rPr>
      <w:rFonts w:ascii="Times New Roman" w:hAnsi="Times New Roman"/>
      <w:noProof/>
      <w:sz w:val="18"/>
      <w:szCs w:val="20"/>
      <w:lang w:val="cs-CZ" w:eastAsia="cs-CZ"/>
    </w:rPr>
  </w:style>
  <w:style w:type="paragraph" w:customStyle="1" w:styleId="BodyTextIndent31">
    <w:name w:val="Body Text Indent 31"/>
    <w:basedOn w:val="Normal"/>
    <w:uiPriority w:val="99"/>
    <w:rsid w:val="00EA40F6"/>
    <w:pPr>
      <w:widowControl w:val="0"/>
      <w:suppressAutoHyphens/>
      <w:overflowPunct w:val="0"/>
      <w:autoSpaceDE w:val="0"/>
      <w:spacing w:after="0" w:line="240" w:lineRule="auto"/>
      <w:ind w:firstLine="708"/>
      <w:jc w:val="both"/>
      <w:textAlignment w:val="baseline"/>
    </w:pPr>
    <w:rPr>
      <w:rFonts w:ascii="Times New Roman" w:hAnsi="Times New Roman"/>
      <w:szCs w:val="20"/>
      <w:lang w:eastAsia="sk-SK"/>
    </w:rPr>
  </w:style>
  <w:style w:type="paragraph" w:customStyle="1" w:styleId="Odstavec2cm">
    <w:name w:val="Odstavec 2cm"/>
    <w:basedOn w:val="BodyTextIndent"/>
    <w:uiPriority w:val="99"/>
    <w:rsid w:val="00EA40F6"/>
    <w:pPr>
      <w:tabs>
        <w:tab w:val="left" w:pos="1701"/>
      </w:tabs>
      <w:overflowPunct w:val="0"/>
      <w:autoSpaceDE w:val="0"/>
      <w:autoSpaceDN w:val="0"/>
      <w:adjustRightInd w:val="0"/>
      <w:spacing w:before="60" w:after="60" w:line="240" w:lineRule="auto"/>
      <w:ind w:left="1134" w:right="45"/>
      <w:jc w:val="both"/>
      <w:textAlignment w:val="baseline"/>
    </w:pPr>
    <w:rPr>
      <w:rFonts w:ascii="Times New Roman" w:hAnsi="Times New Roman"/>
      <w:noProof/>
      <w:sz w:val="18"/>
      <w:szCs w:val="20"/>
      <w:lang w:eastAsia="cs-CZ"/>
    </w:rPr>
  </w:style>
  <w:style w:type="paragraph" w:customStyle="1" w:styleId="odstavec1cm0">
    <w:name w:val="odstavec1cm"/>
    <w:basedOn w:val="Normal"/>
    <w:uiPriority w:val="99"/>
    <w:rsid w:val="00EA40F6"/>
    <w:pPr>
      <w:spacing w:before="100" w:beforeAutospacing="1" w:after="100" w:afterAutospacing="1" w:line="240" w:lineRule="auto"/>
      <w:jc w:val="left"/>
    </w:pPr>
    <w:rPr>
      <w:rFonts w:ascii="Times New Roman" w:hAnsi="Times New Roman"/>
      <w:sz w:val="24"/>
      <w:szCs w:val="24"/>
      <w:lang w:eastAsia="sk-SK"/>
    </w:rPr>
  </w:style>
  <w:style w:type="paragraph" w:styleId="BodyTextIndent">
    <w:name w:val="Body Text Indent"/>
    <w:basedOn w:val="Normal"/>
    <w:link w:val="ZarkazkladnhotextuChar"/>
    <w:uiPriority w:val="99"/>
    <w:rsid w:val="00EA40F6"/>
    <w:pPr>
      <w:spacing w:after="120" w:line="240" w:lineRule="auto"/>
      <w:ind w:left="283"/>
      <w:jc w:val="left"/>
    </w:pPr>
    <w:rPr>
      <w:rFonts w:ascii="Times New Roman" w:hAnsi="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EA40F6"/>
    <w:rPr>
      <w:rFonts w:ascii="Times New Roman" w:hAnsi="Times New Roman" w:cs="Times New Roman"/>
      <w:sz w:val="24"/>
      <w:szCs w:val="24"/>
      <w:rtl w:val="0"/>
      <w:cs w:val="0"/>
      <w:lang w:val="x-none" w:eastAsia="sk-SK"/>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al"/>
    <w:uiPriority w:val="99"/>
    <w:rsid w:val="00EA40F6"/>
    <w:pPr>
      <w:spacing w:after="0" w:line="240" w:lineRule="auto"/>
      <w:jc w:val="left"/>
    </w:pPr>
    <w:rPr>
      <w:rFonts w:ascii="Times New Roman" w:hAnsi="Times New Roman"/>
      <w:sz w:val="24"/>
      <w:szCs w:val="24"/>
      <w:lang w:val="pl-PL" w:eastAsia="pl-PL"/>
    </w:rPr>
  </w:style>
  <w:style w:type="paragraph" w:customStyle="1" w:styleId="ZnakCharCharChar">
    <w:name w:val="Znak Char Char Char"/>
    <w:basedOn w:val="Normal"/>
    <w:uiPriority w:val="99"/>
    <w:rsid w:val="00EA40F6"/>
    <w:pPr>
      <w:spacing w:after="0" w:line="240" w:lineRule="auto"/>
      <w:jc w:val="left"/>
    </w:pPr>
    <w:rPr>
      <w:rFonts w:ascii="Times New Roman" w:hAnsi="Times New Roman"/>
      <w:sz w:val="24"/>
      <w:szCs w:val="24"/>
      <w:lang w:val="pl-PL" w:eastAsia="pl-PL"/>
    </w:rPr>
  </w:style>
  <w:style w:type="paragraph" w:styleId="ListParagraph">
    <w:name w:val="List Paragraph"/>
    <w:basedOn w:val="Normal"/>
    <w:uiPriority w:val="99"/>
    <w:qFormat/>
    <w:rsid w:val="00EA40F6"/>
    <w:pPr>
      <w:spacing w:after="0" w:line="240" w:lineRule="auto"/>
      <w:ind w:left="708"/>
      <w:jc w:val="left"/>
    </w:pPr>
    <w:rPr>
      <w:rFonts w:ascii="Times New Roman" w:hAnsi="Times New Roman"/>
      <w:sz w:val="24"/>
      <w:szCs w:val="24"/>
      <w:lang w:eastAsia="sk-SK"/>
    </w:rPr>
  </w:style>
  <w:style w:type="paragraph" w:customStyle="1" w:styleId="Point1">
    <w:name w:val="Point 1"/>
    <w:basedOn w:val="Normal"/>
    <w:uiPriority w:val="99"/>
    <w:rsid w:val="00EA40F6"/>
    <w:pPr>
      <w:spacing w:before="120" w:after="120" w:line="360" w:lineRule="auto"/>
      <w:ind w:left="1417" w:hanging="567"/>
      <w:jc w:val="left"/>
    </w:pPr>
    <w:rPr>
      <w:rFonts w:ascii="Times New Roman" w:hAnsi="Times New Roman"/>
      <w:sz w:val="24"/>
      <w:szCs w:val="20"/>
    </w:rPr>
  </w:style>
  <w:style w:type="paragraph" w:customStyle="1" w:styleId="Text1">
    <w:name w:val="Text 1"/>
    <w:basedOn w:val="Normal"/>
    <w:uiPriority w:val="99"/>
    <w:rsid w:val="00EA40F6"/>
    <w:pPr>
      <w:spacing w:before="120" w:after="120" w:line="360" w:lineRule="auto"/>
      <w:ind w:left="850"/>
      <w:jc w:val="left"/>
    </w:pPr>
    <w:rPr>
      <w:rFonts w:ascii="Times New Roman" w:hAnsi="Times New Roman"/>
      <w:sz w:val="24"/>
      <w:szCs w:val="20"/>
    </w:rPr>
  </w:style>
  <w:style w:type="character" w:customStyle="1" w:styleId="apple-converted-space">
    <w:name w:val="apple-converted-space"/>
    <w:uiPriority w:val="99"/>
    <w:rsid w:val="00EA40F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A8B53-67E1-4694-B4BF-756BD083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33</Pages>
  <Words>9110</Words>
  <Characters>51930</Characters>
  <Application>Microsoft Office Word</Application>
  <DocSecurity>0</DocSecurity>
  <Lines>0</Lines>
  <Paragraphs>0</Paragraphs>
  <ScaleCrop>false</ScaleCrop>
  <Company>Hewlett-Packard Company</Company>
  <LinksUpToDate>false</LinksUpToDate>
  <CharactersWithSpaces>60919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Gutman Michal</dc:creator>
  <cp:lastModifiedBy>Lichnerová Oľga</cp:lastModifiedBy>
  <cp:revision>5</cp:revision>
  <cp:lastPrinted>2014-06-04T13:23:00Z</cp:lastPrinted>
  <dcterms:created xsi:type="dcterms:W3CDTF">2014-09-19T12:49:00Z</dcterms:created>
  <dcterms:modified xsi:type="dcterms:W3CDTF">2014-09-22T13:03:00Z</dcterms:modified>
</cp:coreProperties>
</file>