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E842C4" w:rsidRPr="00675E8E" w:rsidP="00E842C4">
      <w:pPr>
        <w:bidi w:val="0"/>
        <w:jc w:val="center"/>
        <w:rPr>
          <w:rFonts w:ascii="Times New Roman" w:hAnsi="Times New Roman"/>
        </w:rPr>
      </w:pPr>
      <w:r w:rsidRPr="00376E6E" w:rsidR="00A7722C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 xml:space="preserve">ktorým sa mení a dopĺňa </w:t>
      </w:r>
      <w:r>
        <w:rPr>
          <w:rFonts w:ascii="Times New Roman" w:hAnsi="Times New Roman"/>
        </w:rPr>
        <w:t>zákon Slovenskej národnej rady č. 96/1991 Zb. o verejných kultúrnych podujatiach v znení neskorších predpisov</w:t>
      </w: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675E8E" w:rsidR="00675E8E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E842C4">
      <w:pPr>
        <w:bidi w:val="0"/>
        <w:rPr>
          <w:rFonts w:ascii="Times New Roman" w:hAnsi="Times New Roman"/>
          <w:sz w:val="20"/>
          <w:szCs w:val="20"/>
        </w:rPr>
      </w:pPr>
      <w:r w:rsidRPr="00376E6E">
        <w:rPr>
          <w:rFonts w:ascii="Times New Roman" w:hAnsi="Times New Roman"/>
        </w:rPr>
        <w:t>návrh 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 xml:space="preserve">Petra Osuského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</w:t>
      </w:r>
      <w:r w:rsidRPr="00675E8E" w:rsidR="00E842C4">
        <w:rPr>
          <w:rFonts w:ascii="Times New Roman" w:hAnsi="Times New Roman"/>
        </w:rPr>
        <w:t xml:space="preserve">ktorým sa mení a dopĺňa </w:t>
      </w:r>
      <w:r w:rsidR="00E842C4">
        <w:rPr>
          <w:rFonts w:ascii="Times New Roman" w:hAnsi="Times New Roman"/>
        </w:rPr>
        <w:t xml:space="preserve">zákon Slovenskej národnej rady č. 96/1991 Zb. o verejných kultúrnych podujatiach v znení neskorších predpisov 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B01B6B" w:rsidP="00A7722C">
      <w:pPr>
        <w:bidi w:val="0"/>
        <w:jc w:val="center"/>
        <w:rPr>
          <w:rFonts w:ascii="Times New Roman" w:hAnsi="Times New Roman"/>
        </w:rPr>
      </w:pPr>
    </w:p>
    <w:p w:rsidR="00B01B6B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675E8E">
        <w:rPr>
          <w:rFonts w:ascii="Times New Roman" w:hAnsi="Times New Roman"/>
          <w:b/>
        </w:rPr>
        <w:t>4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675E8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B12C46" w:rsidP="00B01B6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2C4" w:rsidR="00E842C4">
        <w:rPr>
          <w:rFonts w:ascii="Times New Roman" w:hAnsi="Times New Roman"/>
          <w:b/>
          <w:bCs/>
          <w:sz w:val="28"/>
          <w:szCs w:val="28"/>
        </w:rPr>
        <w:t>ktorým sa mení a dopĺňa zákon Slovenskej národnej rady č. 96/1991 Zb. o verejných kultúrnych podujatiach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675E8E" w:rsidRPr="00FB29FB" w:rsidP="00675E8E">
      <w:pPr>
        <w:bidi w:val="0"/>
        <w:rPr>
          <w:rFonts w:ascii="Times New Roman" w:hAnsi="Times New Roman"/>
        </w:rPr>
      </w:pPr>
    </w:p>
    <w:p w:rsidR="00675E8E" w:rsidRPr="00FB29FB" w:rsidP="00B01B6B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Zákon </w:t>
      </w:r>
      <w:r w:rsidRPr="00E842C4" w:rsidR="00E842C4">
        <w:rPr>
          <w:rFonts w:ascii="Times New Roman" w:hAnsi="Times New Roman"/>
        </w:rPr>
        <w:t xml:space="preserve">Slovenskej národnej rady č. 96/1991 Zb. o verejných kultúrnych podujatiach v znení </w:t>
      </w:r>
      <w:r w:rsidR="00E842C4">
        <w:rPr>
          <w:rFonts w:ascii="Times New Roman" w:hAnsi="Times New Roman"/>
        </w:rPr>
        <w:t xml:space="preserve">zákona č. 384/1997 Z. z a zákona č. 374/2013 Z. z. </w:t>
      </w:r>
      <w:r w:rsidRPr="00FB29FB">
        <w:rPr>
          <w:rFonts w:ascii="Times New Roman" w:hAnsi="Times New Roman"/>
        </w:rPr>
        <w:t>sa mení a dopĺňa takto: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E842C4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704016">
        <w:rPr>
          <w:rFonts w:ascii="Times New Roman" w:hAnsi="Times New Roman"/>
        </w:rPr>
        <w:t>§ 4</w:t>
      </w:r>
      <w:r>
        <w:rPr>
          <w:rFonts w:ascii="Times New Roman" w:hAnsi="Times New Roman"/>
        </w:rPr>
        <w:t xml:space="preserve"> znie: </w:t>
      </w:r>
    </w:p>
    <w:p w:rsidR="00E842C4" w:rsidP="00E842C4">
      <w:pPr>
        <w:bidi w:val="0"/>
        <w:ind w:left="360"/>
        <w:jc w:val="both"/>
        <w:rPr>
          <w:rFonts w:ascii="Times New Roman" w:hAnsi="Times New Roman"/>
        </w:rPr>
      </w:pPr>
    </w:p>
    <w:p w:rsidR="00E842C4" w:rsidP="00E842C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„§ 4</w:t>
      </w:r>
    </w:p>
    <w:p w:rsidR="00E842C4" w:rsidP="00E842C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Ak sa má konať podujatie mimo priestorov alebo priestranstiev, ktoré sa na takýto účel obvykle používajú, obec môže navrhnúť usporiadateľovi iné miesto na jeho konanie, než sa uvádza v oznámení.</w:t>
      </w:r>
    </w:p>
    <w:p w:rsidR="00013DB8" w:rsidP="00E842C4">
      <w:pPr>
        <w:bidi w:val="0"/>
        <w:ind w:left="360"/>
        <w:jc w:val="both"/>
        <w:rPr>
          <w:rFonts w:ascii="Times New Roman" w:hAnsi="Times New Roman"/>
        </w:rPr>
      </w:pPr>
      <w:r w:rsidR="00E842C4">
        <w:rPr>
          <w:rFonts w:ascii="Times New Roman" w:hAnsi="Times New Roman"/>
        </w:rPr>
        <w:t xml:space="preserve">(2) Obec </w:t>
      </w:r>
      <w:r>
        <w:rPr>
          <w:rFonts w:ascii="Times New Roman" w:hAnsi="Times New Roman"/>
        </w:rPr>
        <w:t>zakáže podujatie, ak sa má konať na rovnakom mieste a v rovnakom čase, kde sa má podľa skôr doručeného oznámenia konať iné podujatie podľa tohto zákona, zhromaždenie,</w:t>
      </w:r>
      <w:r w:rsidRPr="00013DB8">
        <w:rPr>
          <w:rFonts w:ascii="Times New Roman" w:hAnsi="Times New Roman"/>
          <w:vertAlign w:val="superscript"/>
        </w:rPr>
        <w:t>1a)</w:t>
      </w:r>
      <w:r>
        <w:rPr>
          <w:rFonts w:ascii="Times New Roman" w:hAnsi="Times New Roman"/>
        </w:rPr>
        <w:t xml:space="preserve"> alebo verejné športové podujatie.</w:t>
      </w:r>
      <w:r w:rsidRPr="00013DB8">
        <w:rPr>
          <w:rFonts w:ascii="Times New Roman" w:hAnsi="Times New Roman"/>
          <w:vertAlign w:val="superscript"/>
        </w:rPr>
        <w:t>1b)</w:t>
      </w:r>
    </w:p>
    <w:p w:rsidR="00E842C4" w:rsidP="00013DB8">
      <w:pPr>
        <w:bidi w:val="0"/>
        <w:ind w:left="360"/>
        <w:jc w:val="both"/>
        <w:rPr>
          <w:rFonts w:ascii="Times New Roman" w:hAnsi="Times New Roman"/>
        </w:rPr>
      </w:pPr>
      <w:r w:rsidR="00410BC6">
        <w:rPr>
          <w:rFonts w:ascii="Times New Roman" w:hAnsi="Times New Roman"/>
        </w:rPr>
        <w:t>(3</w:t>
      </w:r>
      <w:r w:rsidR="00013DB8">
        <w:rPr>
          <w:rFonts w:ascii="Times New Roman" w:hAnsi="Times New Roman"/>
        </w:rPr>
        <w:t xml:space="preserve">) Obec </w:t>
      </w:r>
      <w:r>
        <w:rPr>
          <w:rFonts w:ascii="Times New Roman" w:hAnsi="Times New Roman"/>
        </w:rPr>
        <w:t>môže zakázať podujatie, ak</w:t>
      </w:r>
      <w:r w:rsidR="00013D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má konať na mieste, kde by jeho účastníkom hrozilo závažné nebezpečenstvo pre ich zdravie alebo kde by konanie podujatia </w:t>
      </w:r>
      <w:r w:rsidR="00013DB8">
        <w:rPr>
          <w:rFonts w:ascii="Times New Roman" w:hAnsi="Times New Roman"/>
        </w:rPr>
        <w:t xml:space="preserve">neprimerane </w:t>
      </w:r>
      <w:r>
        <w:rPr>
          <w:rFonts w:ascii="Times New Roman" w:hAnsi="Times New Roman"/>
        </w:rPr>
        <w:t>obmedzovalo verejnú dopravu aleb</w:t>
      </w:r>
      <w:r w:rsidR="00013DB8">
        <w:rPr>
          <w:rFonts w:ascii="Times New Roman" w:hAnsi="Times New Roman"/>
        </w:rPr>
        <w:t>o zásobovanie obyvateľstva.</w:t>
      </w:r>
    </w:p>
    <w:p w:rsidR="00013DB8" w:rsidP="00013DB8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410BC6">
        <w:rPr>
          <w:rFonts w:ascii="Times New Roman" w:hAnsi="Times New Roman"/>
        </w:rPr>
        <w:t>4) Obec nemôže podujatie zakázať</w:t>
      </w:r>
      <w:r w:rsidR="00E166A1">
        <w:rPr>
          <w:rFonts w:ascii="Times New Roman" w:hAnsi="Times New Roman"/>
        </w:rPr>
        <w:t xml:space="preserve"> z dôvodov podľa odseku 3</w:t>
      </w:r>
      <w:r w:rsidR="00410BC6">
        <w:rPr>
          <w:rFonts w:ascii="Times New Roman" w:hAnsi="Times New Roman"/>
        </w:rPr>
        <w:t>, ak usporiadateľ prijal návrh obce podľa odseku 1.</w:t>
      </w:r>
    </w:p>
    <w:p w:rsidR="00410BC6" w:rsidP="00410BC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O zákaze podujatia podľa odsekov 2 a 3 rozhodne obec bezodkladne</w:t>
      </w:r>
      <w:r w:rsidR="0053071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najneskôr však do troch dní od okamihu, keď dostala platné oznámenie</w:t>
      </w:r>
      <w:r w:rsidR="00146CAB">
        <w:rPr>
          <w:rFonts w:ascii="Times New Roman" w:hAnsi="Times New Roman"/>
        </w:rPr>
        <w:t xml:space="preserve"> podľa § 3</w:t>
      </w:r>
      <w:r>
        <w:rPr>
          <w:rFonts w:ascii="Times New Roman" w:hAnsi="Times New Roman"/>
        </w:rPr>
        <w:t>.</w:t>
      </w:r>
    </w:p>
    <w:p w:rsidR="00410BC6" w:rsidP="00410BC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Obec v deň vydania rozhodnutia vyvesí písomné vyhotovenie rozhodnutia na svojej úradnej tabuli </w:t>
      </w:r>
      <w:r w:rsidR="00B549FD">
        <w:rPr>
          <w:rFonts w:ascii="Times New Roman" w:hAnsi="Times New Roman"/>
        </w:rPr>
        <w:t xml:space="preserve">a na svojom webovom sídle, ak ho má k dispozícii, </w:t>
      </w:r>
      <w:r>
        <w:rPr>
          <w:rFonts w:ascii="Times New Roman" w:hAnsi="Times New Roman"/>
        </w:rPr>
        <w:t>až do dňa, v ktorom sa má podujatie</w:t>
      </w:r>
      <w:r w:rsidR="00530713">
        <w:rPr>
          <w:rFonts w:ascii="Times New Roman" w:hAnsi="Times New Roman"/>
        </w:rPr>
        <w:t xml:space="preserve"> konať</w:t>
      </w:r>
      <w:r>
        <w:rPr>
          <w:rFonts w:ascii="Times New Roman" w:hAnsi="Times New Roman"/>
        </w:rPr>
        <w:t xml:space="preserve">. Ak obec v lehote uvedenej v odseku </w:t>
      </w:r>
      <w:r w:rsidR="00C8450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nevyvesí písomné vyhotovenie rozhodnutia na svojej úradnej tabuli, môže </w:t>
      </w:r>
      <w:r w:rsidR="00146CAB">
        <w:rPr>
          <w:rFonts w:ascii="Times New Roman" w:hAnsi="Times New Roman"/>
        </w:rPr>
        <w:t>usporiadateľ podujatie usporiadať</w:t>
      </w:r>
      <w:r>
        <w:rPr>
          <w:rFonts w:ascii="Times New Roman" w:hAnsi="Times New Roman"/>
        </w:rPr>
        <w:t>. Obec zároveň bezodkladne</w:t>
      </w:r>
      <w:r w:rsidR="00B549FD">
        <w:rPr>
          <w:rFonts w:ascii="Times New Roman" w:hAnsi="Times New Roman"/>
        </w:rPr>
        <w:t>, najneskôr nasledujúci deň po vyvesení na úradnej tabuli</w:t>
      </w:r>
      <w:r>
        <w:rPr>
          <w:rFonts w:ascii="Times New Roman" w:hAnsi="Times New Roman"/>
        </w:rPr>
        <w:t xml:space="preserve"> zašle písomné vyhotovenie rozhodnutia </w:t>
      </w:r>
      <w:r w:rsidR="00146CAB">
        <w:rPr>
          <w:rFonts w:ascii="Times New Roman" w:hAnsi="Times New Roman"/>
        </w:rPr>
        <w:t>usporiadateľovi</w:t>
      </w:r>
      <w:r w:rsidR="00B549F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0BC6" w:rsidP="00410BC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Proti</w:t>
      </w:r>
      <w:r w:rsidR="00146CAB">
        <w:rPr>
          <w:rFonts w:ascii="Times New Roman" w:hAnsi="Times New Roman"/>
        </w:rPr>
        <w:t xml:space="preserve"> rozhodnutiu obce podľa odsekov 2 a 3</w:t>
      </w:r>
      <w:r>
        <w:rPr>
          <w:rFonts w:ascii="Times New Roman" w:hAnsi="Times New Roman"/>
        </w:rPr>
        <w:t xml:space="preserve"> môže </w:t>
      </w:r>
      <w:r w:rsidR="00146CAB">
        <w:rPr>
          <w:rFonts w:ascii="Times New Roman" w:hAnsi="Times New Roman"/>
        </w:rPr>
        <w:t>usporiadateľ</w:t>
      </w:r>
      <w:r>
        <w:rPr>
          <w:rFonts w:ascii="Times New Roman" w:hAnsi="Times New Roman"/>
        </w:rPr>
        <w:t xml:space="preserve"> do 15 dní od </w:t>
      </w:r>
      <w:r w:rsidR="00E166A1">
        <w:rPr>
          <w:rFonts w:ascii="Times New Roman" w:hAnsi="Times New Roman"/>
        </w:rPr>
        <w:t xml:space="preserve">jeho </w:t>
      </w:r>
      <w:r>
        <w:rPr>
          <w:rFonts w:ascii="Times New Roman" w:hAnsi="Times New Roman"/>
        </w:rPr>
        <w:t>doru</w:t>
      </w:r>
      <w:r w:rsidR="00146CAB">
        <w:rPr>
          <w:rFonts w:ascii="Times New Roman" w:hAnsi="Times New Roman"/>
        </w:rPr>
        <w:t>čenia podať opravný prostriedok</w:t>
      </w:r>
      <w:r>
        <w:rPr>
          <w:rFonts w:ascii="Times New Roman" w:hAnsi="Times New Roman"/>
        </w:rPr>
        <w:t xml:space="preserve"> na súde, ku ktorému priloží p</w:t>
      </w:r>
      <w:r w:rsidR="00146CAB">
        <w:rPr>
          <w:rFonts w:ascii="Times New Roman" w:hAnsi="Times New Roman"/>
        </w:rPr>
        <w:t>ísomné vyhotovenie rozhodnutia.</w:t>
      </w:r>
      <w:r>
        <w:rPr>
          <w:rFonts w:ascii="Times New Roman" w:hAnsi="Times New Roman"/>
        </w:rPr>
        <w:t xml:space="preserve"> Pre konanie platia ustanovenia Občianskeho súdneho poriadku o</w:t>
      </w:r>
      <w:r w:rsidR="00FE3FAF">
        <w:rPr>
          <w:rFonts w:ascii="Times New Roman" w:hAnsi="Times New Roman"/>
        </w:rPr>
        <w:t> správnom súdnictve</w:t>
      </w:r>
      <w:r w:rsidR="00146CAB">
        <w:rPr>
          <w:rFonts w:ascii="Times New Roman" w:hAnsi="Times New Roman"/>
        </w:rPr>
        <w:t>.</w:t>
      </w:r>
      <w:r w:rsidRPr="00146CAB" w:rsidR="00146CAB">
        <w:rPr>
          <w:rFonts w:ascii="Times New Roman" w:hAnsi="Times New Roman"/>
          <w:vertAlign w:val="superscript"/>
        </w:rPr>
        <w:t>1c</w:t>
      </w:r>
      <w:r w:rsidRPr="00146CAB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Opravný prostriedok nemá odkladný účinok. Súd rozhodne do troch dní. Rozhodnutie zruší, ak neboli dané dôvody k zákazu </w:t>
      </w:r>
      <w:r w:rsidR="00146CAB">
        <w:rPr>
          <w:rFonts w:ascii="Times New Roman" w:hAnsi="Times New Roman"/>
        </w:rPr>
        <w:t>podujatia</w:t>
      </w:r>
      <w:r>
        <w:rPr>
          <w:rFonts w:ascii="Times New Roman" w:hAnsi="Times New Roman"/>
        </w:rPr>
        <w:t xml:space="preserve">. </w:t>
      </w:r>
      <w:r w:rsidR="00146CAB">
        <w:rPr>
          <w:rFonts w:ascii="Times New Roman" w:hAnsi="Times New Roman"/>
        </w:rPr>
        <w:t>Usporiadateľ</w:t>
      </w:r>
      <w:r>
        <w:rPr>
          <w:rFonts w:ascii="Times New Roman" w:hAnsi="Times New Roman"/>
        </w:rPr>
        <w:t xml:space="preserve"> je potom oprávnený </w:t>
      </w:r>
      <w:r w:rsidR="00146CAB">
        <w:rPr>
          <w:rFonts w:ascii="Times New Roman" w:hAnsi="Times New Roman"/>
        </w:rPr>
        <w:t>podujatie</w:t>
      </w:r>
      <w:r>
        <w:rPr>
          <w:rFonts w:ascii="Times New Roman" w:hAnsi="Times New Roman"/>
        </w:rPr>
        <w:t xml:space="preserve"> usporiadať podľa pôvodného oznámenia alebo neskôr tak, aby sa </w:t>
      </w:r>
      <w:r w:rsidR="00146CAB">
        <w:rPr>
          <w:rFonts w:ascii="Times New Roman" w:hAnsi="Times New Roman"/>
        </w:rPr>
        <w:t>podujatie</w:t>
      </w:r>
      <w:r>
        <w:rPr>
          <w:rFonts w:ascii="Times New Roman" w:hAnsi="Times New Roman"/>
        </w:rPr>
        <w:t xml:space="preserve"> uskutočnilo do 30 dní od právoplatnosti rozhodnutia súdu. Ak </w:t>
      </w:r>
      <w:r w:rsidR="00146CAB">
        <w:rPr>
          <w:rFonts w:ascii="Times New Roman" w:hAnsi="Times New Roman"/>
        </w:rPr>
        <w:t>podujatie</w:t>
      </w:r>
      <w:r>
        <w:rPr>
          <w:rFonts w:ascii="Times New Roman" w:hAnsi="Times New Roman"/>
        </w:rPr>
        <w:t xml:space="preserve"> usporiada v neskoršej dobe, upovedomí o tom obec najneskôr 1 deň pred konaním </w:t>
      </w:r>
      <w:r w:rsidR="00146CAB">
        <w:rPr>
          <w:rFonts w:ascii="Times New Roman" w:hAnsi="Times New Roman"/>
        </w:rPr>
        <w:t>podujatia</w:t>
      </w:r>
      <w:r>
        <w:rPr>
          <w:rFonts w:ascii="Times New Roman" w:hAnsi="Times New Roman"/>
        </w:rPr>
        <w:t>.</w:t>
      </w:r>
    </w:p>
    <w:p w:rsidR="0044402B" w:rsidP="00E842C4">
      <w:pPr>
        <w:bidi w:val="0"/>
        <w:ind w:left="360"/>
        <w:jc w:val="both"/>
        <w:rPr>
          <w:rFonts w:ascii="Times New Roman" w:hAnsi="Times New Roman"/>
        </w:rPr>
      </w:pPr>
    </w:p>
    <w:p w:rsidR="00146CAB" w:rsidP="00E842C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1a) až 1c) znejú:</w:t>
      </w:r>
    </w:p>
    <w:p w:rsidR="0044402B" w:rsidP="00E842C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1a) Zákon č. 84/1990 Zb. o zhromažďovacom práve v znení neskorších predpisov</w:t>
      </w:r>
    </w:p>
    <w:p w:rsidR="0044402B" w:rsidP="00E842C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1b) </w:t>
      </w:r>
      <w:r w:rsidR="00013DB8">
        <w:rPr>
          <w:rFonts w:ascii="Times New Roman" w:hAnsi="Times New Roman"/>
        </w:rPr>
        <w:t>Zákon č. 1/2014 Z. z. o organizovaní verejných športových podujatí a o zmene a doplnení niektorých zákonov</w:t>
      </w:r>
    </w:p>
    <w:p w:rsidR="00146CAB" w:rsidP="00E842C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1c) </w:t>
      </w:r>
      <w:r w:rsidRPr="00146CAB">
        <w:rPr>
          <w:rFonts w:ascii="Times New Roman" w:hAnsi="Times New Roman"/>
        </w:rPr>
        <w:t>Zákon č. 99/1963 Zb. Občiansky súdny poriadok v znení nes</w:t>
      </w:r>
      <w:r>
        <w:rPr>
          <w:rFonts w:ascii="Times New Roman" w:hAnsi="Times New Roman"/>
        </w:rPr>
        <w:t>korších predpisov (§ 244 – 250</w:t>
      </w:r>
      <w:r w:rsidR="00FE3FAF">
        <w:rPr>
          <w:rFonts w:ascii="Times New Roman" w:hAnsi="Times New Roman"/>
        </w:rPr>
        <w:t>sa</w:t>
      </w:r>
      <w:r>
        <w:rPr>
          <w:rFonts w:ascii="Times New Roman" w:hAnsi="Times New Roman"/>
        </w:rPr>
        <w:t>).“</w:t>
      </w:r>
    </w:p>
    <w:p w:rsidR="00E842C4" w:rsidP="0044402B">
      <w:pPr>
        <w:bidi w:val="0"/>
        <w:jc w:val="both"/>
        <w:rPr>
          <w:rFonts w:ascii="Times New Roman" w:hAnsi="Times New Roman"/>
        </w:rPr>
      </w:pPr>
      <w:r w:rsidR="0044402B">
        <w:rPr>
          <w:rFonts w:ascii="Times New Roman" w:hAnsi="Times New Roman"/>
        </w:rPr>
        <w:tab/>
      </w:r>
    </w:p>
    <w:p w:rsidR="00C806A3" w:rsidRPr="00FB29FB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C05EF4" w:rsidP="0010488C">
      <w:pPr>
        <w:numPr>
          <w:numId w:val="7"/>
        </w:numPr>
        <w:bidi w:val="0"/>
        <w:rPr>
          <w:rFonts w:ascii="Times New Roman" w:hAnsi="Times New Roman"/>
        </w:rPr>
      </w:pPr>
      <w:r w:rsidR="009B268A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6 </w:t>
      </w:r>
      <w:r w:rsidR="00530713">
        <w:rPr>
          <w:rFonts w:ascii="Times New Roman" w:hAnsi="Times New Roman"/>
        </w:rPr>
        <w:t>znie</w:t>
      </w:r>
      <w:r>
        <w:rPr>
          <w:rFonts w:ascii="Times New Roman" w:hAnsi="Times New Roman"/>
        </w:rPr>
        <w:t>:</w:t>
      </w:r>
    </w:p>
    <w:p w:rsidR="00C05EF4" w:rsidP="00C05EF4">
      <w:pPr>
        <w:bidi w:val="0"/>
        <w:ind w:left="360"/>
        <w:rPr>
          <w:rFonts w:ascii="Times New Roman" w:hAnsi="Times New Roman"/>
        </w:rPr>
      </w:pPr>
      <w:r w:rsidR="00530713">
        <w:rPr>
          <w:rFonts w:ascii="Times New Roman" w:hAnsi="Times New Roman"/>
        </w:rPr>
        <w:t>„</w:t>
      </w:r>
      <w:r w:rsidRPr="00530713" w:rsidR="00530713">
        <w:rPr>
          <w:rFonts w:ascii="Times New Roman" w:hAnsi="Times New Roman"/>
        </w:rPr>
        <w:t>(1) Obec je oprávnená dozerať, či sa podujatie koná v súlade s oznámením podľa § 3.</w:t>
      </w:r>
    </w:p>
    <w:p w:rsidR="00C05EF4" w:rsidP="004A2AB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Osoba, ktorú obec výkonom dozoru písomne poverila (ďalej len „dozorný orgán“), upozorní usporiadateľa na zistené nedostatky a upovedomí ho o tom, aké následky podľa tohto zákona môže mať ich neodstránenie. Ak sa na podujatí porušujú ľudské práva a slobody, dozorný orgán podujatie rozpustí, resp. ho preruší. Podujatie možno rozpustiť aj z toho dôvodu, že sa jeho konanie neoznámilo obci alebo ak nastali okolnosti, ktoré by odôvodnili jeho zákaz podľa § 4. </w:t>
      </w:r>
    </w:p>
    <w:p w:rsidR="00C05EF4" w:rsidP="004A2AB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Dozorný orgán oznámi rozhodnutie o rozpustení podujatia alebo o jeho prerušení usporiadateľovi ústnym vyhlásením. Písomné vyhotovenie tohto rozhodnutia treba doručiť usporiadateľovi do troch dní. </w:t>
      </w:r>
    </w:p>
    <w:p w:rsidR="00C05EF4" w:rsidP="004A2AB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C05EF4">
        <w:rPr>
          <w:rFonts w:ascii="Times New Roman" w:hAnsi="Times New Roman"/>
        </w:rPr>
        <w:t>Proti rozpusteniu</w:t>
      </w:r>
      <w:r w:rsidR="00734D96">
        <w:rPr>
          <w:rFonts w:ascii="Times New Roman" w:hAnsi="Times New Roman"/>
        </w:rPr>
        <w:t xml:space="preserve"> alebo prerušeniu</w:t>
      </w:r>
      <w:r w:rsidRPr="00C05E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podujatia</w:t>
      </w:r>
      <w:r w:rsidRPr="00C05EF4">
        <w:rPr>
          <w:rFonts w:ascii="Times New Roman" w:hAnsi="Times New Roman"/>
        </w:rPr>
        <w:t xml:space="preserve"> môže </w:t>
      </w:r>
      <w:r>
        <w:rPr>
          <w:rFonts w:ascii="Times New Roman" w:hAnsi="Times New Roman"/>
        </w:rPr>
        <w:t>usporiadateľ</w:t>
      </w:r>
      <w:r w:rsidRPr="00C05EF4">
        <w:rPr>
          <w:rFonts w:ascii="Times New Roman" w:hAnsi="Times New Roman"/>
        </w:rPr>
        <w:t xml:space="preserve"> do 15 dní</w:t>
      </w:r>
      <w:r>
        <w:rPr>
          <w:rFonts w:ascii="Times New Roman" w:hAnsi="Times New Roman"/>
        </w:rPr>
        <w:t xml:space="preserve"> od jeho doručenia</w:t>
      </w:r>
      <w:r w:rsidRPr="00C05EF4">
        <w:rPr>
          <w:rFonts w:ascii="Times New Roman" w:hAnsi="Times New Roman"/>
        </w:rPr>
        <w:t xml:space="preserve"> podať námietky na súde. Súd rozhodne, či </w:t>
      </w:r>
      <w:r>
        <w:rPr>
          <w:rFonts w:ascii="Times New Roman" w:hAnsi="Times New Roman"/>
        </w:rPr>
        <w:t>podujatie</w:t>
      </w:r>
      <w:r w:rsidRPr="00C05EF4">
        <w:rPr>
          <w:rFonts w:ascii="Times New Roman" w:hAnsi="Times New Roman"/>
        </w:rPr>
        <w:t xml:space="preserve"> bolo alebo nebolo rozpustené v súlade so zákonom. Pre konanie platia ustanovenia Občianskeho súdneho poriadku o</w:t>
      </w:r>
      <w:r w:rsidR="00FE3FAF">
        <w:rPr>
          <w:rFonts w:ascii="Times New Roman" w:hAnsi="Times New Roman"/>
        </w:rPr>
        <w:t> správnom súdnictve</w:t>
      </w:r>
      <w:r w:rsidRPr="00C05EF4">
        <w:rPr>
          <w:rFonts w:ascii="Times New Roman" w:hAnsi="Times New Roman"/>
        </w:rPr>
        <w:t>.</w:t>
      </w:r>
      <w:r w:rsidRPr="00C05EF4">
        <w:rPr>
          <w:rFonts w:ascii="Times New Roman" w:hAnsi="Times New Roman"/>
          <w:vertAlign w:val="superscript"/>
        </w:rPr>
        <w:t>1c)</w:t>
      </w:r>
      <w:r>
        <w:rPr>
          <w:rFonts w:ascii="Times New Roman" w:hAnsi="Times New Roman"/>
        </w:rPr>
        <w:t>“</w:t>
      </w:r>
    </w:p>
    <w:p w:rsidR="00C05EF4" w:rsidP="004A2ABC">
      <w:pPr>
        <w:bidi w:val="0"/>
        <w:ind w:left="360"/>
        <w:jc w:val="both"/>
        <w:rPr>
          <w:rFonts w:ascii="Times New Roman" w:hAnsi="Times New Roman"/>
        </w:rPr>
      </w:pPr>
    </w:p>
    <w:p w:rsidR="00971342" w:rsidP="00584093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584093" w:rsidP="00584093">
      <w:pPr>
        <w:numPr>
          <w:numId w:val="7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Za § 9 sa vkladá nový § 9a, ktorý vrátane nadpisu znie:</w:t>
      </w:r>
    </w:p>
    <w:p w:rsidR="00584093" w:rsidP="004A2AB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„§ 9a</w:t>
      </w:r>
    </w:p>
    <w:p w:rsidR="004A2ABC" w:rsidP="004A2ABC">
      <w:pPr>
        <w:pStyle w:val="ListParagraph0"/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 úpravám účinným od 1. januára 2015</w:t>
      </w:r>
    </w:p>
    <w:p w:rsidR="004A2ABC" w:rsidP="004A2ABC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zákaz podujatia oznámeného obci podľa § 3 do 31. decembra 2014 sa vzťahujú ustanovenia tohto zákona v znení účinnom do 31. decembra 2014.</w:t>
      </w:r>
      <w:r w:rsidR="00E166A1">
        <w:rPr>
          <w:rFonts w:ascii="Times New Roman" w:hAnsi="Times New Roman"/>
        </w:rPr>
        <w:t>“</w:t>
      </w:r>
    </w:p>
    <w:p w:rsidR="00584093" w:rsidP="00584093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410BC6">
        <w:rPr>
          <w:rFonts w:ascii="Times New Roman" w:hAnsi="Times New Roman"/>
        </w:rPr>
        <w:t>januára</w:t>
      </w:r>
      <w:r w:rsidR="00C806A3">
        <w:rPr>
          <w:rFonts w:ascii="Times New Roman" w:hAnsi="Times New Roman"/>
        </w:rPr>
        <w:t xml:space="preserve"> 201</w:t>
      </w:r>
      <w:r w:rsidR="00410BC6">
        <w:rPr>
          <w:rFonts w:ascii="Times New Roman" w:hAnsi="Times New Roman"/>
        </w:rPr>
        <w:t>5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3DB8"/>
    <w:rsid w:val="00014ED6"/>
    <w:rsid w:val="0003327B"/>
    <w:rsid w:val="00050159"/>
    <w:rsid w:val="00072B24"/>
    <w:rsid w:val="00097D9D"/>
    <w:rsid w:val="000B3E0C"/>
    <w:rsid w:val="000C066C"/>
    <w:rsid w:val="0010488C"/>
    <w:rsid w:val="00146CAB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22BD2"/>
    <w:rsid w:val="00334BB1"/>
    <w:rsid w:val="0033615D"/>
    <w:rsid w:val="00361ACA"/>
    <w:rsid w:val="003707CE"/>
    <w:rsid w:val="003738EB"/>
    <w:rsid w:val="00376E6E"/>
    <w:rsid w:val="00382101"/>
    <w:rsid w:val="003A23E9"/>
    <w:rsid w:val="003A56D4"/>
    <w:rsid w:val="003F5985"/>
    <w:rsid w:val="00402495"/>
    <w:rsid w:val="00410BC6"/>
    <w:rsid w:val="00425D90"/>
    <w:rsid w:val="00440459"/>
    <w:rsid w:val="0044402B"/>
    <w:rsid w:val="00452013"/>
    <w:rsid w:val="0046454D"/>
    <w:rsid w:val="004A2ABC"/>
    <w:rsid w:val="004C34AB"/>
    <w:rsid w:val="004C775D"/>
    <w:rsid w:val="004F333E"/>
    <w:rsid w:val="004F3431"/>
    <w:rsid w:val="00502AF4"/>
    <w:rsid w:val="00530713"/>
    <w:rsid w:val="00531AEB"/>
    <w:rsid w:val="00535336"/>
    <w:rsid w:val="00560F42"/>
    <w:rsid w:val="00584093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4D96"/>
    <w:rsid w:val="007370C7"/>
    <w:rsid w:val="00752892"/>
    <w:rsid w:val="00761F24"/>
    <w:rsid w:val="00780E14"/>
    <w:rsid w:val="007819BF"/>
    <w:rsid w:val="007F44D9"/>
    <w:rsid w:val="00804477"/>
    <w:rsid w:val="008202B4"/>
    <w:rsid w:val="0082721E"/>
    <w:rsid w:val="008321A4"/>
    <w:rsid w:val="008509CB"/>
    <w:rsid w:val="00893864"/>
    <w:rsid w:val="008D6060"/>
    <w:rsid w:val="008E29BD"/>
    <w:rsid w:val="00914917"/>
    <w:rsid w:val="00925897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7722C"/>
    <w:rsid w:val="00AB0751"/>
    <w:rsid w:val="00B01B6B"/>
    <w:rsid w:val="00B12C46"/>
    <w:rsid w:val="00B31CF4"/>
    <w:rsid w:val="00B3281A"/>
    <w:rsid w:val="00B45510"/>
    <w:rsid w:val="00B549FD"/>
    <w:rsid w:val="00B709FB"/>
    <w:rsid w:val="00B73BE5"/>
    <w:rsid w:val="00B749D6"/>
    <w:rsid w:val="00B7635E"/>
    <w:rsid w:val="00B80A26"/>
    <w:rsid w:val="00B95024"/>
    <w:rsid w:val="00BB5497"/>
    <w:rsid w:val="00BC44F3"/>
    <w:rsid w:val="00BE068C"/>
    <w:rsid w:val="00BF38CD"/>
    <w:rsid w:val="00C05EF4"/>
    <w:rsid w:val="00C806A3"/>
    <w:rsid w:val="00C8450C"/>
    <w:rsid w:val="00C900AE"/>
    <w:rsid w:val="00CC59DE"/>
    <w:rsid w:val="00D30899"/>
    <w:rsid w:val="00D37C1B"/>
    <w:rsid w:val="00D44256"/>
    <w:rsid w:val="00D4445F"/>
    <w:rsid w:val="00D74EE2"/>
    <w:rsid w:val="00D879D1"/>
    <w:rsid w:val="00E0274C"/>
    <w:rsid w:val="00E166A1"/>
    <w:rsid w:val="00E66F57"/>
    <w:rsid w:val="00E7037B"/>
    <w:rsid w:val="00E842C4"/>
    <w:rsid w:val="00E97946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E3FAF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332</TotalTime>
  <Pages>3</Pages>
  <Words>743</Words>
  <Characters>4236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4</cp:revision>
  <cp:lastPrinted>2010-08-16T14:49:00Z</cp:lastPrinted>
  <dcterms:created xsi:type="dcterms:W3CDTF">2014-09-01T14:26:00Z</dcterms:created>
  <dcterms:modified xsi:type="dcterms:W3CDTF">2014-09-23T11:47:00Z</dcterms:modified>
</cp:coreProperties>
</file>