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70EC" w:rsidRPr="00936FC4" w:rsidP="005E70EC">
      <w:pPr>
        <w:bidi w:val="0"/>
        <w:ind w:firstLine="708"/>
        <w:jc w:val="center"/>
        <w:rPr>
          <w:rFonts w:ascii="Times New Roman" w:hAnsi="Times New Roman"/>
          <w:b/>
          <w:color w:val="404040"/>
          <w:lang w:val="sk-SK"/>
        </w:rPr>
      </w:pPr>
      <w:r w:rsidRPr="00936FC4">
        <w:rPr>
          <w:rFonts w:ascii="Times New Roman" w:hAnsi="Times New Roman"/>
          <w:b/>
          <w:color w:val="404040"/>
          <w:lang w:val="sk-SK"/>
        </w:rPr>
        <w:t>Dôvodová správa</w:t>
      </w:r>
    </w:p>
    <w:p w:rsidR="005E70EC" w:rsidRPr="00936FC4" w:rsidP="005E70EC">
      <w:pPr>
        <w:bidi w:val="0"/>
        <w:ind w:firstLine="708"/>
        <w:rPr>
          <w:rFonts w:ascii="Times New Roman" w:hAnsi="Times New Roman"/>
          <w:color w:val="404040"/>
          <w:lang w:val="sk-SK"/>
        </w:rPr>
      </w:pPr>
    </w:p>
    <w:p w:rsidR="005E70EC" w:rsidRPr="00936FC4" w:rsidP="005E70EC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>Všeobecná časť</w:t>
      </w:r>
    </w:p>
    <w:p w:rsidR="005E70EC" w:rsidRPr="00936FC4" w:rsidP="005E70EC">
      <w:pPr>
        <w:pStyle w:val="BodyText"/>
        <w:bidi w:val="0"/>
        <w:spacing w:after="0"/>
        <w:rPr>
          <w:rFonts w:ascii="Times New Roman" w:hAnsi="Times New Roman"/>
          <w:color w:val="404040"/>
        </w:rPr>
      </w:pPr>
    </w:p>
    <w:p w:rsidR="00CF3F20" w:rsidRPr="005917C7" w:rsidP="00CF3F20">
      <w:pPr>
        <w:pStyle w:val="BodyTextIndent"/>
        <w:bidi w:val="0"/>
        <w:ind w:left="0"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Návrh zákona, ktorým sa mení a dopĺňa zákon  č. 40/1964 Zb.  Občiansky zákonník v znení neskorších predpisov a ktorým sa dopĺňa zákon č. 323/1992 Zb. o notároch a notárskej činnosti (Notársky poriadok) v znení neskorších </w:t>
      </w:r>
      <w:r w:rsidRPr="005917C7">
        <w:rPr>
          <w:rFonts w:ascii="Times New Roman" w:hAnsi="Times New Roman"/>
          <w:color w:val="404040"/>
        </w:rPr>
        <w:t>predpisov predkladajú na rokovanie Národnej rady Slovenskej republiky poslanci Jana Kiššová a Ľubomír Galko.</w:t>
      </w:r>
    </w:p>
    <w:p w:rsidR="005E70EC" w:rsidRPr="00936FC4" w:rsidP="00CF3F2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5917C7">
        <w:rPr>
          <w:rFonts w:ascii="Times New Roman" w:hAnsi="Times New Roman"/>
          <w:color w:val="404040"/>
        </w:rPr>
        <w:t xml:space="preserve">Navrhovanou právnou úpravou sa do </w:t>
      </w:r>
      <w:r w:rsidRPr="005917C7" w:rsidR="00CF3F20">
        <w:rPr>
          <w:rFonts w:ascii="Times New Roman" w:hAnsi="Times New Roman"/>
          <w:color w:val="404040"/>
        </w:rPr>
        <w:t xml:space="preserve">nášho </w:t>
      </w:r>
      <w:r w:rsidRPr="005917C7">
        <w:rPr>
          <w:rFonts w:ascii="Times New Roman" w:hAnsi="Times New Roman"/>
          <w:color w:val="404040"/>
        </w:rPr>
        <w:t xml:space="preserve">právneho poriadku </w:t>
      </w:r>
      <w:r w:rsidRPr="005917C7" w:rsidR="00A9229B">
        <w:rPr>
          <w:rFonts w:ascii="Times New Roman" w:hAnsi="Times New Roman"/>
          <w:color w:val="404040"/>
        </w:rPr>
        <w:t>zavádza</w:t>
      </w:r>
      <w:r w:rsidRPr="00936FC4" w:rsidR="00A9229B">
        <w:rPr>
          <w:rFonts w:ascii="Times New Roman" w:hAnsi="Times New Roman"/>
          <w:color w:val="404040"/>
        </w:rPr>
        <w:t xml:space="preserve"> </w:t>
      </w:r>
      <w:r w:rsidRPr="00936FC4">
        <w:rPr>
          <w:rFonts w:ascii="Times New Roman" w:hAnsi="Times New Roman"/>
          <w:color w:val="404040"/>
        </w:rPr>
        <w:t xml:space="preserve">inštitút </w:t>
      </w:r>
      <w:r w:rsidRPr="00936FC4" w:rsidR="00A9229B">
        <w:rPr>
          <w:rFonts w:ascii="Times New Roman" w:hAnsi="Times New Roman"/>
          <w:color w:val="404040"/>
        </w:rPr>
        <w:t xml:space="preserve">tzv. predmanželských a manželských </w:t>
      </w:r>
      <w:r w:rsidRPr="00936FC4" w:rsidR="00CF3F20">
        <w:rPr>
          <w:rFonts w:ascii="Times New Roman" w:hAnsi="Times New Roman"/>
          <w:color w:val="404040"/>
        </w:rPr>
        <w:t xml:space="preserve">zmlúv, </w:t>
      </w:r>
      <w:r w:rsidRPr="00936FC4" w:rsidR="00A9229B">
        <w:rPr>
          <w:rFonts w:ascii="Times New Roman" w:hAnsi="Times New Roman"/>
          <w:color w:val="404040"/>
        </w:rPr>
        <w:t xml:space="preserve">prostredníctvom ktorých si môžu </w:t>
      </w:r>
      <w:r w:rsidRPr="00936FC4">
        <w:rPr>
          <w:rFonts w:ascii="Times New Roman" w:hAnsi="Times New Roman"/>
          <w:color w:val="404040"/>
        </w:rPr>
        <w:t>snúbenc</w:t>
      </w:r>
      <w:r w:rsidRPr="00936FC4" w:rsidR="00A9229B">
        <w:rPr>
          <w:rFonts w:ascii="Times New Roman" w:hAnsi="Times New Roman"/>
          <w:color w:val="404040"/>
        </w:rPr>
        <w:t>i</w:t>
      </w:r>
      <w:r w:rsidRPr="00936FC4">
        <w:rPr>
          <w:rFonts w:ascii="Times New Roman" w:hAnsi="Times New Roman"/>
          <w:color w:val="404040"/>
        </w:rPr>
        <w:t xml:space="preserve"> alebo manžel</w:t>
      </w:r>
      <w:r w:rsidRPr="00936FC4" w:rsidR="00A9229B">
        <w:rPr>
          <w:rFonts w:ascii="Times New Roman" w:hAnsi="Times New Roman"/>
          <w:color w:val="404040"/>
        </w:rPr>
        <w:t xml:space="preserve">ia </w:t>
      </w:r>
      <w:r w:rsidRPr="00936FC4">
        <w:rPr>
          <w:rFonts w:ascii="Times New Roman" w:hAnsi="Times New Roman"/>
          <w:color w:val="404040"/>
        </w:rPr>
        <w:t xml:space="preserve">slobodne </w:t>
      </w:r>
      <w:r w:rsidRPr="00936FC4" w:rsidR="00CF3F20">
        <w:rPr>
          <w:rFonts w:ascii="Times New Roman" w:hAnsi="Times New Roman"/>
          <w:color w:val="404040"/>
        </w:rPr>
        <w:t xml:space="preserve">upraviť svoje majetkové pomery. </w:t>
      </w:r>
      <w:r w:rsidRPr="00936FC4">
        <w:rPr>
          <w:rFonts w:ascii="Times New Roman" w:hAnsi="Times New Roman"/>
          <w:color w:val="404040"/>
        </w:rPr>
        <w:t xml:space="preserve">V tejto súvislosti treba pripomenúť, že </w:t>
      </w:r>
      <w:r w:rsidRPr="00936FC4" w:rsidR="00A9229B">
        <w:rPr>
          <w:rFonts w:ascii="Times New Roman" w:hAnsi="Times New Roman"/>
          <w:color w:val="404040"/>
        </w:rPr>
        <w:t xml:space="preserve">tak </w:t>
      </w:r>
      <w:r w:rsidRPr="00936FC4">
        <w:rPr>
          <w:rFonts w:ascii="Times New Roman" w:hAnsi="Times New Roman"/>
          <w:color w:val="404040"/>
        </w:rPr>
        <w:t xml:space="preserve">uhorské obyčajové právo platné na území Slovenska až do roku 1951, ako </w:t>
      </w:r>
      <w:r w:rsidRPr="00936FC4" w:rsidR="00A9229B">
        <w:rPr>
          <w:rFonts w:ascii="Times New Roman" w:hAnsi="Times New Roman"/>
          <w:color w:val="404040"/>
        </w:rPr>
        <w:t xml:space="preserve">aj </w:t>
      </w:r>
      <w:r w:rsidRPr="00936FC4">
        <w:rPr>
          <w:rFonts w:ascii="Times New Roman" w:hAnsi="Times New Roman"/>
          <w:color w:val="404040"/>
        </w:rPr>
        <w:t>rakúsky Všeobecný zákonník občiansky, platný v tom istom čase v českej časti Československej republiky</w:t>
      </w:r>
      <w:r w:rsidRPr="00936FC4" w:rsidR="00A9229B">
        <w:rPr>
          <w:rFonts w:ascii="Times New Roman" w:hAnsi="Times New Roman"/>
          <w:color w:val="404040"/>
        </w:rPr>
        <w:t>,</w:t>
      </w:r>
      <w:r w:rsidRPr="00936FC4">
        <w:rPr>
          <w:rFonts w:ascii="Times New Roman" w:hAnsi="Times New Roman"/>
          <w:color w:val="404040"/>
        </w:rPr>
        <w:t xml:space="preserve"> pripúšťali možnosť manželov zmluvne upraviť svoje majetkové pomery odchylne od zákona. </w:t>
      </w:r>
      <w:r w:rsidRPr="00936FC4" w:rsidR="00A9229B">
        <w:rPr>
          <w:rFonts w:ascii="Times New Roman" w:hAnsi="Times New Roman"/>
          <w:color w:val="404040"/>
        </w:rPr>
        <w:t>Komunistická i</w:t>
      </w:r>
      <w:r w:rsidRPr="00936FC4">
        <w:rPr>
          <w:rFonts w:ascii="Times New Roman" w:hAnsi="Times New Roman"/>
          <w:color w:val="404040"/>
        </w:rPr>
        <w:t>deológia</w:t>
      </w:r>
      <w:r w:rsidRPr="00936FC4" w:rsidR="00A9229B">
        <w:rPr>
          <w:rFonts w:ascii="Times New Roman" w:hAnsi="Times New Roman"/>
          <w:color w:val="404040"/>
        </w:rPr>
        <w:t xml:space="preserve">, </w:t>
      </w:r>
      <w:r w:rsidRPr="00936FC4">
        <w:rPr>
          <w:rFonts w:ascii="Times New Roman" w:hAnsi="Times New Roman"/>
          <w:color w:val="404040"/>
        </w:rPr>
        <w:t xml:space="preserve">obmedzujúca autonómiu vôle subjektov súkromného práva a podriaďujúca ich mocenskému dirigizmu </w:t>
      </w:r>
      <w:r w:rsidRPr="00936FC4" w:rsidR="00CF3F20">
        <w:rPr>
          <w:rFonts w:ascii="Times New Roman" w:hAnsi="Times New Roman"/>
          <w:color w:val="404040"/>
        </w:rPr>
        <w:t xml:space="preserve">aj vo </w:t>
      </w:r>
      <w:r w:rsidRPr="00936FC4">
        <w:rPr>
          <w:rFonts w:ascii="Times New Roman" w:hAnsi="Times New Roman"/>
          <w:color w:val="404040"/>
        </w:rPr>
        <w:t xml:space="preserve">sfére rozhodovania o osobnom živote priniesla po sovietskom vzore </w:t>
      </w:r>
      <w:r w:rsidRPr="00936FC4" w:rsidR="00CF3F20">
        <w:rPr>
          <w:rFonts w:ascii="Times New Roman" w:hAnsi="Times New Roman"/>
          <w:color w:val="404040"/>
        </w:rPr>
        <w:t>vyčlenenie</w:t>
      </w:r>
      <w:r w:rsidRPr="00936FC4">
        <w:rPr>
          <w:rFonts w:ascii="Times New Roman" w:hAnsi="Times New Roman"/>
          <w:color w:val="404040"/>
        </w:rPr>
        <w:t xml:space="preserve"> rodinného práva z matérie občianskeho práva. Súčasne boli do rodinného práva </w:t>
      </w:r>
      <w:r w:rsidRPr="00936FC4" w:rsidR="00A9229B">
        <w:rPr>
          <w:rFonts w:ascii="Times New Roman" w:hAnsi="Times New Roman"/>
          <w:color w:val="404040"/>
        </w:rPr>
        <w:t>v</w:t>
      </w:r>
      <w:r w:rsidRPr="00936FC4">
        <w:rPr>
          <w:rFonts w:ascii="Times New Roman" w:hAnsi="Times New Roman"/>
          <w:color w:val="404040"/>
        </w:rPr>
        <w:t xml:space="preserve">nesené silné verejnoprávne prvky. Tieto skutočnosti sú </w:t>
      </w:r>
      <w:r w:rsidRPr="00936FC4" w:rsidR="00764477">
        <w:rPr>
          <w:rFonts w:ascii="Times New Roman" w:hAnsi="Times New Roman"/>
          <w:color w:val="404040"/>
        </w:rPr>
        <w:t xml:space="preserve">intenzívne </w:t>
      </w:r>
      <w:r w:rsidRPr="00936FC4">
        <w:rPr>
          <w:rFonts w:ascii="Times New Roman" w:hAnsi="Times New Roman"/>
          <w:color w:val="404040"/>
        </w:rPr>
        <w:t>pociťované v tuzemskej právnej praxi už od zmeny politických pomerov v roku 1989. Federálne zhromaždenie ČSFR síce už v roku 1991 (zákon č. 509/1991 Zb.) v rámci reformy česko-slovenského občianskeho práva umožnilo manželom do istej miery modifikovať rozsah svojho bezpodielového spoluvlastníctva, no neumožnilo im celkom vznik bezpodielového spoluvlastníctva vylúčiť. V tejto podobe je Občiansky zákonník doposiaľ na Slovensku platný.</w:t>
      </w:r>
    </w:p>
    <w:p w:rsidR="00CF3F20" w:rsidRPr="00936FC4" w:rsidP="00CF3F2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</w:p>
    <w:p w:rsidR="005E70EC" w:rsidRPr="00936FC4" w:rsidP="0076447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Podľa Legislatívneho zámeru Občianskeho zákonníka zverejneného v roku 2007 sa počíta s reformou majetkového práva manželského v podobe pripomínajúcej reformu, ktorú vykonal v českom občianskom zákonníku zákonodarca zákonom č. 91/1998 Sb.</w:t>
      </w:r>
      <w:r w:rsidRPr="00936FC4" w:rsidR="00A9229B">
        <w:rPr>
          <w:rFonts w:ascii="Times New Roman" w:hAnsi="Times New Roman"/>
          <w:color w:val="404040"/>
        </w:rPr>
        <w:t>.</w:t>
      </w:r>
      <w:r w:rsidRPr="00936FC4">
        <w:rPr>
          <w:rFonts w:ascii="Times New Roman" w:hAnsi="Times New Roman"/>
          <w:color w:val="404040"/>
        </w:rPr>
        <w:t xml:space="preserve"> Legislatívny zámer počítal s tým, že zákonný režim majetkových pomerov manželov by predstavovalo tzv. zákonné spoločenstvo, do ktorého by spadal všetok majetok manželov (teda nielen veci), aj ich záväzky, čo pripomína v súčasnosti platnú českú úpravu tzv. spoločného imania manželov. Rovnako počítal legislatívny zámer s inštitútom manželskej zmluvy, v ktorej si manželia mohli slobodne upraviť svoje majetkové pomery.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76447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Vzhľadom na to, že osud legislatívneho zámeru je v súčasnosti neistý a že ďalší odklad dve desiatky rokov neriešeného problému ahistorickej a v Európe </w:t>
      </w:r>
      <w:r w:rsidRPr="00C467CB">
        <w:rPr>
          <w:rFonts w:ascii="Times New Roman" w:hAnsi="Times New Roman"/>
          <w:color w:val="404040"/>
        </w:rPr>
        <w:t>nezvyčajnej úpravy majetkového manželského práva je neúnosný, navrhuje sa rozšíriť aspoň súčasné právo manželov modifikovať rozsah bezpodielového spoluvlastníctva o možnosť zrušiť alebo založiť bezpodielové spoluvlastníctvo. Súčasne sa navrhuje právo snúbencov modifikovať</w:t>
      </w:r>
      <w:r w:rsidRPr="00936FC4">
        <w:rPr>
          <w:rFonts w:ascii="Times New Roman" w:hAnsi="Times New Roman"/>
          <w:color w:val="404040"/>
        </w:rPr>
        <w:t xml:space="preserve"> obdobne rozsah bezpodielového spoluvlastníctva, ktoré má vzniknúť, a to už pred uzavretím manželstva (tzv. predmanželská zmluva). Reforma inštitútu bezpodielového spoluvlastníctva na spoločenstvo práv a povinností sa nenavrhuje, keďže ide o matériu, ktorá by mala byť </w:t>
      </w:r>
      <w:r w:rsidR="00C467CB">
        <w:rPr>
          <w:rFonts w:ascii="Times New Roman" w:hAnsi="Times New Roman"/>
          <w:color w:val="404040"/>
        </w:rPr>
        <w:t>komplexne</w:t>
      </w:r>
      <w:r w:rsidRPr="00936FC4">
        <w:rPr>
          <w:rFonts w:ascii="Times New Roman" w:hAnsi="Times New Roman"/>
          <w:color w:val="404040"/>
        </w:rPr>
        <w:t xml:space="preserve"> upravená v novom </w:t>
      </w:r>
      <w:r w:rsidRPr="00936FC4" w:rsidR="0050607E">
        <w:rPr>
          <w:rFonts w:ascii="Times New Roman" w:hAnsi="Times New Roman"/>
          <w:color w:val="404040"/>
        </w:rPr>
        <w:t>O</w:t>
      </w:r>
      <w:r w:rsidRPr="00936FC4">
        <w:rPr>
          <w:rFonts w:ascii="Times New Roman" w:hAnsi="Times New Roman"/>
          <w:color w:val="404040"/>
        </w:rPr>
        <w:t>bčianskom zákonníku.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76447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Podľa navrhovanej úpravy sa manželia môžu dohodnúť dohodou uzavretou vo forme notárskej zápisnice, že bezpodielové spoluvlastníctvo manželov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sa zúži,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sa rozšíri,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sa zruší,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sa založí, alebo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vznikne až ku dňu zániku manželstva.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76447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Podobne snúbenci sa môžu navzájom dohodnúť dohodou uzavretou vo forme notárskej zápisnice, že bezpodielové spoluvlastníctvo manželov </w:t>
      </w:r>
      <w:r w:rsidR="00C467CB">
        <w:rPr>
          <w:rFonts w:ascii="Times New Roman" w:hAnsi="Times New Roman"/>
          <w:color w:val="404040"/>
        </w:rPr>
        <w:t>p</w:t>
      </w:r>
      <w:r w:rsidRPr="00936FC4">
        <w:rPr>
          <w:rFonts w:ascii="Times New Roman" w:hAnsi="Times New Roman"/>
          <w:color w:val="404040"/>
        </w:rPr>
        <w:t>re prípad uzavretia manželstva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sa zúži,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sa rozšíri,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nevznikne vôbec, alebo</w:t>
      </w:r>
    </w:p>
    <w:p w:rsidR="005E70EC" w:rsidRPr="00936FC4" w:rsidP="005E70EC">
      <w:pPr>
        <w:pStyle w:val="BodyText"/>
        <w:numPr>
          <w:numId w:val="2"/>
        </w:numPr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vznikne až ku dňu zániku manželstva.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76447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Zavádza sa teda obdobná možnosť na uzatvorenie dohôd o zúžení a rozšírení </w:t>
      </w:r>
      <w:r w:rsidR="00C467CB">
        <w:rPr>
          <w:rFonts w:ascii="Times New Roman" w:hAnsi="Times New Roman"/>
          <w:color w:val="404040"/>
        </w:rPr>
        <w:t xml:space="preserve">bezpodielového spoluvlastníctva </w:t>
      </w:r>
      <w:r w:rsidRPr="00936FC4">
        <w:rPr>
          <w:rFonts w:ascii="Times New Roman" w:hAnsi="Times New Roman"/>
          <w:color w:val="404040"/>
        </w:rPr>
        <w:t xml:space="preserve">medzi snúbencami s rovnakými právnymi účinkami, ako je tomu pri manželoch. Základný rozdiel spočíva v tom, že takúto dohodu môžu uzatvoriť už aj snúbenci, teda muž a žena, ktorí ešte len mienia uzatvoriť manželstvo. Navrhuje sa pre snúbencov aj možnosť uzatvoriť dohodu o tom, že bezpodielové spoluvlastníctvo manželov nevznikne vôbec. 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76447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Navrhovaná právna úprava </w:t>
      </w:r>
      <w:r w:rsidRPr="00936FC4" w:rsidR="0050607E">
        <w:rPr>
          <w:rFonts w:ascii="Times New Roman" w:hAnsi="Times New Roman"/>
          <w:color w:val="404040"/>
        </w:rPr>
        <w:t xml:space="preserve">zohľadňuje </w:t>
      </w:r>
      <w:r w:rsidRPr="00936FC4">
        <w:rPr>
          <w:rFonts w:ascii="Times New Roman" w:hAnsi="Times New Roman"/>
          <w:color w:val="404040"/>
        </w:rPr>
        <w:t>princípy zmluvnej slobody subjektov súkromného práva. Úprava vychádza zo zásady rovnosti oboch manželov a rešpektuje ich právo slobodne a nezávisle si upraviť svoj majetkový pomer.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76447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Súčasne sa navrhuje zaviesť ochranný mechanizmus, podľa ktorého účinky dohody nastanú v závislosti od toho, po akom čase uzatvoria snúbenci manželstvo. Navrhovatelia majú za to, že len vážne prejavená vôľa v čase, ktorý </w:t>
      </w:r>
      <w:r w:rsidRPr="00936FC4">
        <w:rPr>
          <w:rFonts w:ascii="Times New Roman" w:hAnsi="Times New Roman"/>
          <w:i/>
          <w:color w:val="404040"/>
        </w:rPr>
        <w:t>bezprostredne</w:t>
      </w:r>
      <w:r w:rsidRPr="00936FC4">
        <w:rPr>
          <w:rFonts w:ascii="Times New Roman" w:hAnsi="Times New Roman"/>
          <w:color w:val="404040"/>
        </w:rPr>
        <w:t xml:space="preserve"> predchádza uzatvoreniu manželstva, musí byť podmienkou platnosti a vzniku právnych účinkov takejto dohody. Z uvedeného dôvodu sa zavádza zákonná domnienka, podľa ktorej právne účinky takejto dohody nastávajú len pokiaľ snúbenci uzatvoria manželstvo do 3 mesiacov odo dňa uzavretia dohody, inak sa má za to, že </w:t>
      </w:r>
      <w:r w:rsidRPr="00936FC4" w:rsidR="0050607E">
        <w:rPr>
          <w:rFonts w:ascii="Times New Roman" w:hAnsi="Times New Roman"/>
          <w:color w:val="404040"/>
        </w:rPr>
        <w:t>k dohode nedošlo.</w:t>
      </w:r>
      <w:r w:rsidRPr="00936FC4">
        <w:rPr>
          <w:rFonts w:ascii="Times New Roman" w:hAnsi="Times New Roman"/>
          <w:color w:val="404040"/>
        </w:rPr>
        <w:t xml:space="preserve"> 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333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Navrhuje sa aj úprava zákona č. 323/1992 Zb. o notároch a notárskej činnosti (Notársky poriadok) v znení neskorších predpisov s cieľom zaviesť povinnosť notárov poučiť manželov alebo snúbencov o dôsledkoch dohody modifikujúcej bezpodielové spoluvlastníctvo manželov. 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3330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  <w:r w:rsidRPr="00936FC4">
        <w:rPr>
          <w:rFonts w:ascii="Times New Roman" w:hAnsi="Times New Roman"/>
          <w:color w:val="404040"/>
          <w:lang w:val="sk-SK"/>
        </w:rPr>
        <w:t>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5E70EC" w:rsidRPr="00936FC4" w:rsidP="005E70EC">
      <w:pPr>
        <w:bidi w:val="0"/>
        <w:jc w:val="both"/>
        <w:rPr>
          <w:rFonts w:ascii="Times New Roman" w:hAnsi="Times New Roman"/>
          <w:color w:val="404040"/>
          <w:lang w:val="sk-SK"/>
        </w:rPr>
      </w:pPr>
    </w:p>
    <w:p w:rsidR="005E70EC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  <w:r w:rsidRPr="00936FC4">
        <w:rPr>
          <w:rFonts w:ascii="Times New Roman" w:hAnsi="Times New Roman"/>
          <w:color w:val="404040"/>
          <w:lang w:val="sk-SK"/>
        </w:rPr>
        <w:t xml:space="preserve">Predložený návrh zákona je v súlade s Ústavou Slovenskej republiky </w:t>
      </w:r>
      <w:r w:rsidRPr="00936FC4" w:rsidR="0050607E">
        <w:rPr>
          <w:rFonts w:ascii="Times New Roman" w:hAnsi="Times New Roman"/>
          <w:color w:val="404040"/>
          <w:lang w:val="sk-SK"/>
        </w:rPr>
        <w:t xml:space="preserve">                                   </w:t>
      </w:r>
      <w:r w:rsidRPr="00936FC4">
        <w:rPr>
          <w:rFonts w:ascii="Times New Roman" w:hAnsi="Times New Roman"/>
          <w:color w:val="404040"/>
          <w:lang w:val="sk-SK"/>
        </w:rPr>
        <w:t>a s medzinárodnými zmluvami, ktorými je Slovenská republika viazaná.</w:t>
      </w: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917C7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0607E" w:rsidRPr="00936FC4" w:rsidP="0050607E">
      <w:pPr>
        <w:bidi w:val="0"/>
        <w:ind w:firstLine="708"/>
        <w:jc w:val="both"/>
        <w:rPr>
          <w:rFonts w:ascii="Times New Roman" w:hAnsi="Times New Roman"/>
          <w:color w:val="404040"/>
          <w:lang w:val="sk-SK"/>
        </w:rPr>
      </w:pPr>
    </w:p>
    <w:p w:rsidR="005E70EC" w:rsidRPr="00936FC4" w:rsidP="005E70EC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>Osobitná časť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>Čl. I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 xml:space="preserve">K bodu 1 </w:t>
      </w:r>
    </w:p>
    <w:p w:rsidR="005E3330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</w:p>
    <w:p w:rsidR="005E70EC" w:rsidRPr="00936FC4" w:rsidP="005E333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Navrhuje sa rozšíriť možnosť manželov uzatvárať manželské zmluvy.</w:t>
      </w:r>
    </w:p>
    <w:p w:rsidR="005E70EC" w:rsidRPr="00936FC4" w:rsidP="0050607E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  <w:r w:rsidRPr="00936FC4" w:rsidR="0050607E">
        <w:rPr>
          <w:rFonts w:ascii="Times New Roman" w:hAnsi="Times New Roman"/>
          <w:color w:val="404040"/>
        </w:rPr>
        <w:t>Navrhovanou úpravou sa umožňuje</w:t>
      </w:r>
      <w:r w:rsidRPr="00936FC4">
        <w:rPr>
          <w:rFonts w:ascii="Times New Roman" w:hAnsi="Times New Roman"/>
          <w:color w:val="404040"/>
        </w:rPr>
        <w:t>, aby:</w:t>
      </w:r>
    </w:p>
    <w:p w:rsidR="0050607E" w:rsidRPr="00936FC4" w:rsidP="0050607E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ind w:left="284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1.</w:t>
        <w:tab/>
        <w:t xml:space="preserve"> </w:t>
      </w:r>
      <w:r w:rsidRPr="00936FC4" w:rsidR="005E3330">
        <w:rPr>
          <w:rFonts w:ascii="Times New Roman" w:hAnsi="Times New Roman"/>
          <w:color w:val="404040"/>
        </w:rPr>
        <w:t>m</w:t>
      </w:r>
      <w:r w:rsidRPr="00936FC4">
        <w:rPr>
          <w:rFonts w:ascii="Times New Roman" w:hAnsi="Times New Roman"/>
          <w:color w:val="404040"/>
        </w:rPr>
        <w:t>anželia, ktorých manželstvo už existuje, mohli dohodou svoje bezpo</w:t>
      </w:r>
      <w:r w:rsidRPr="00936FC4" w:rsidR="0050607E">
        <w:rPr>
          <w:rFonts w:ascii="Times New Roman" w:hAnsi="Times New Roman"/>
          <w:color w:val="404040"/>
        </w:rPr>
        <w:t>dielové spoluvlastníctvo zrušiť,</w:t>
      </w:r>
    </w:p>
    <w:p w:rsidR="0050607E" w:rsidRPr="00936FC4" w:rsidP="0050607E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ind w:left="284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2.</w:t>
        <w:tab/>
        <w:t xml:space="preserve"> </w:t>
      </w:r>
      <w:r w:rsidRPr="00936FC4" w:rsidR="005E3330">
        <w:rPr>
          <w:rFonts w:ascii="Times New Roman" w:hAnsi="Times New Roman"/>
          <w:color w:val="404040"/>
        </w:rPr>
        <w:t>m</w:t>
      </w:r>
      <w:r w:rsidRPr="00936FC4">
        <w:rPr>
          <w:rFonts w:ascii="Times New Roman" w:hAnsi="Times New Roman"/>
          <w:color w:val="404040"/>
        </w:rPr>
        <w:t>anželia, ktorých bezpodielové spoluvlastníctvo zaniklo alebo sa pred vznikom manželstva dohodli, že nevznikne, mohli dohodou bezpodielové spoluvlastníctvo založiť.</w:t>
      </w:r>
    </w:p>
    <w:p w:rsidR="005E70EC" w:rsidRPr="00936FC4" w:rsidP="005E70EC">
      <w:pPr>
        <w:pStyle w:val="BodyText"/>
        <w:bidi w:val="0"/>
        <w:spacing w:after="0"/>
        <w:ind w:left="284"/>
        <w:jc w:val="both"/>
        <w:rPr>
          <w:rFonts w:ascii="Times New Roman" w:hAnsi="Times New Roman"/>
          <w:color w:val="404040"/>
        </w:rPr>
      </w:pPr>
    </w:p>
    <w:p w:rsidR="005E70EC" w:rsidRPr="00936FC4" w:rsidP="005E333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 xml:space="preserve">Súčasne sa upravuje i doposiaľ sporná otázka, či sa dohoda o zúžení rozsahu bezpodielového spoluvlastníctva vzťahuje aj na majetok už existujúci alebo len na majetok nadobudnutý v budúcnosti (porov. rozhodnutie českého Ústavného súdu I. ÚS 86/95 ohľadom toho istého ustanovenia českého </w:t>
      </w:r>
      <w:r w:rsidRPr="00936FC4" w:rsidR="0050607E">
        <w:rPr>
          <w:rFonts w:ascii="Times New Roman" w:hAnsi="Times New Roman"/>
          <w:color w:val="404040"/>
        </w:rPr>
        <w:t>O</w:t>
      </w:r>
      <w:r w:rsidRPr="00936FC4">
        <w:rPr>
          <w:rFonts w:ascii="Times New Roman" w:hAnsi="Times New Roman"/>
          <w:color w:val="404040"/>
        </w:rPr>
        <w:t>bčianskeho zákonníka). Navrhuje sa vec upraviť tak, že pokiaľ s</w:t>
      </w:r>
      <w:r w:rsidR="00C467CB">
        <w:rPr>
          <w:rFonts w:ascii="Times New Roman" w:hAnsi="Times New Roman"/>
          <w:color w:val="404040"/>
        </w:rPr>
        <w:t>a</w:t>
      </w:r>
      <w:r w:rsidRPr="00936FC4">
        <w:rPr>
          <w:rFonts w:ascii="Times New Roman" w:hAnsi="Times New Roman"/>
          <w:color w:val="404040"/>
        </w:rPr>
        <w:t xml:space="preserve"> manželia nedohodnú inak, vzťahuje sa taká dohoda i na už existujúci majetok. 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>K bodu 2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333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Analogicky k ustanoveniu § 143a  sa navrhuje, aby mali snúbenci možnosť pred vznikom manželstva modifikovať rozsah bezpodielového spoluvlastníctva či jeho vznik prípadne celkom vylúčiť (tzv. predmanželská zmluva).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 xml:space="preserve">K bodu 3 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333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="005917C7">
        <w:rPr>
          <w:rFonts w:ascii="Times New Roman" w:hAnsi="Times New Roman"/>
          <w:color w:val="404040"/>
        </w:rPr>
        <w:t xml:space="preserve">Vzhľadom na novú koncepciu a širšie možnosti usporiadania bezpodielového spoluvlastníctva sa navrhuje vypustiť odsek 2. </w:t>
      </w:r>
      <w:r w:rsidRPr="00936FC4">
        <w:rPr>
          <w:rFonts w:ascii="Times New Roman" w:hAnsi="Times New Roman"/>
          <w:color w:val="404040"/>
        </w:rPr>
        <w:t xml:space="preserve"> </w:t>
      </w:r>
    </w:p>
    <w:p w:rsidR="005E70EC" w:rsidRPr="00936FC4" w:rsidP="005E70EC">
      <w:pPr>
        <w:pStyle w:val="BodyText"/>
        <w:bidi w:val="0"/>
        <w:spacing w:after="0"/>
        <w:ind w:left="284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 xml:space="preserve">K bodu 4 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333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Navrhuje sa spresniť, že manželia môžu dohodou vždy založiť bezpodielové spoluvlastníctvo, hoci zaniklo rozhodnutím súdu, a ďalej sa dopĺňa, že súd nemôže založiť alebo obnoviť bezpodielové spoluvlastníctvo tam, kde ho zmluvne zrušili sami manželia alebo kde jeho vznik zmluvne vylúčili snúbenci pred uzavretím manželstva.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>Čl. II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3330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>
        <w:rPr>
          <w:rFonts w:ascii="Times New Roman" w:hAnsi="Times New Roman"/>
          <w:color w:val="404040"/>
        </w:rPr>
        <w:t>Navrhuje sa zaviesť poučovacia povinnosť notárov o dôsledkoch právnych úkonov týkajúcich sa bezpodielového spoluvlastníctva manželov</w:t>
      </w:r>
      <w:r w:rsidR="00FD11DD">
        <w:rPr>
          <w:rFonts w:ascii="Times New Roman" w:hAnsi="Times New Roman"/>
          <w:color w:val="404040"/>
        </w:rPr>
        <w:t xml:space="preserve">. Nedostatok poučenia nezakladá neplatnosť dohody, keďže v našom právnom poriadku platí právna fikcia, že všetko, čo sa publikovalo v zbierke zákonov sa stalo známym každému, aj keď sa o tom nedozvedel. 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b/>
          <w:color w:val="404040"/>
        </w:rPr>
      </w:pPr>
      <w:r w:rsidRPr="00936FC4">
        <w:rPr>
          <w:rFonts w:ascii="Times New Roman" w:hAnsi="Times New Roman"/>
          <w:b/>
          <w:color w:val="404040"/>
        </w:rPr>
        <w:t>Čl. III</w:t>
      </w:r>
    </w:p>
    <w:p w:rsidR="005E70EC" w:rsidRPr="00936FC4" w:rsidP="005E70EC">
      <w:pPr>
        <w:pStyle w:val="BodyText"/>
        <w:bidi w:val="0"/>
        <w:spacing w:after="0"/>
        <w:jc w:val="both"/>
        <w:rPr>
          <w:rFonts w:ascii="Times New Roman" w:hAnsi="Times New Roman"/>
          <w:color w:val="404040"/>
        </w:rPr>
      </w:pPr>
    </w:p>
    <w:p w:rsidR="00207304" w:rsidRPr="00936FC4" w:rsidP="00FD11DD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color w:val="404040"/>
        </w:rPr>
      </w:pPr>
      <w:r w:rsidRPr="00936FC4" w:rsidR="005E70EC">
        <w:rPr>
          <w:rFonts w:ascii="Times New Roman" w:hAnsi="Times New Roman"/>
          <w:color w:val="404040"/>
        </w:rPr>
        <w:t xml:space="preserve">Vzhľadom na trvanie legislatívneho procesu sa navrhuje účinnosť zákona od </w:t>
      </w:r>
      <w:r w:rsidRPr="00936FC4" w:rsidR="005E3330">
        <w:rPr>
          <w:rFonts w:ascii="Times New Roman" w:hAnsi="Times New Roman"/>
          <w:color w:val="404040"/>
        </w:rPr>
        <w:t xml:space="preserve">                       </w:t>
      </w:r>
      <w:r w:rsidRPr="00936FC4" w:rsidR="005E70EC">
        <w:rPr>
          <w:rFonts w:ascii="Times New Roman" w:hAnsi="Times New Roman"/>
          <w:color w:val="404040"/>
        </w:rPr>
        <w:t xml:space="preserve">1. </w:t>
      </w:r>
      <w:r w:rsidRPr="00936FC4" w:rsidR="005E3330">
        <w:rPr>
          <w:rFonts w:ascii="Times New Roman" w:hAnsi="Times New Roman"/>
          <w:color w:val="404040"/>
        </w:rPr>
        <w:t>marca 2015</w:t>
      </w:r>
      <w:r w:rsidRPr="00936FC4" w:rsidR="005E70EC">
        <w:rPr>
          <w:rFonts w:ascii="Times New Roman" w:hAnsi="Times New Roman"/>
          <w:color w:val="404040"/>
        </w:rPr>
        <w:t>.</w:t>
      </w:r>
    </w:p>
    <w:sectPr w:rsidSect="005E70E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668"/>
    <w:multiLevelType w:val="multilevel"/>
    <w:tmpl w:val="6EF2D61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CD74EF0"/>
    <w:multiLevelType w:val="multilevel"/>
    <w:tmpl w:val="0F16273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E70EC"/>
    <w:rsid w:val="00011568"/>
    <w:rsid w:val="00207304"/>
    <w:rsid w:val="00250C27"/>
    <w:rsid w:val="0043180F"/>
    <w:rsid w:val="004A5BC5"/>
    <w:rsid w:val="0050607E"/>
    <w:rsid w:val="00510D8A"/>
    <w:rsid w:val="005527B4"/>
    <w:rsid w:val="005917C7"/>
    <w:rsid w:val="005E2159"/>
    <w:rsid w:val="005E3330"/>
    <w:rsid w:val="005E70EC"/>
    <w:rsid w:val="00764477"/>
    <w:rsid w:val="00936FC4"/>
    <w:rsid w:val="009A6464"/>
    <w:rsid w:val="009F7B9B"/>
    <w:rsid w:val="00A43788"/>
    <w:rsid w:val="00A9229B"/>
    <w:rsid w:val="00C467CB"/>
    <w:rsid w:val="00C500F3"/>
    <w:rsid w:val="00C6506A"/>
    <w:rsid w:val="00CB6DB3"/>
    <w:rsid w:val="00CC728B"/>
    <w:rsid w:val="00CD4EE0"/>
    <w:rsid w:val="00CF3F20"/>
    <w:rsid w:val="00D727A2"/>
    <w:rsid w:val="00F77767"/>
    <w:rsid w:val="00FD11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70EC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E70EC"/>
    <w:pPr>
      <w:spacing w:after="120"/>
      <w:jc w:val="left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70EC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3F20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3F20"/>
    <w:rPr>
      <w:rFonts w:ascii="Times New Roman" w:hAnsi="Times New Roman" w:cs="Times New Roman"/>
      <w:sz w:val="24"/>
      <w:szCs w:val="24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1111</Words>
  <Characters>6333</Characters>
  <Application>Microsoft Office Word</Application>
  <DocSecurity>0</DocSecurity>
  <Lines>0</Lines>
  <Paragraphs>0</Paragraphs>
  <ScaleCrop>false</ScaleCrop>
  <Company>Kancelaria NR SR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2014-09-24T09:34:00Z</dcterms:created>
  <dcterms:modified xsi:type="dcterms:W3CDTF">2014-09-24T09:34:00Z</dcterms:modified>
</cp:coreProperties>
</file>