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59E9" w:rsidRPr="00490C1F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490C1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490C1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90C1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B56579">
        <w:rPr>
          <w:rFonts w:ascii="Book Antiqua" w:hAnsi="Book Antiqua"/>
          <w:sz w:val="22"/>
          <w:szCs w:val="22"/>
        </w:rPr>
        <w:t>z ...</w:t>
      </w:r>
      <w:r w:rsidRPr="00490C1F">
        <w:rPr>
          <w:rFonts w:ascii="Book Antiqua" w:hAnsi="Book Antiqua"/>
          <w:sz w:val="22"/>
          <w:szCs w:val="22"/>
        </w:rPr>
        <w:t xml:space="preserve"> 2014,</w:t>
      </w: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ktorým sa mení a dopĺňa zákon Národnej rady Slovenskej republiky č. 350/1996 Z. z. o rokovacom poriadku Národnej rady Slovenskej republiky v znení neskorších predpisov</w:t>
      </w:r>
    </w:p>
    <w:p w:rsidR="00E459E9" w:rsidRPr="00490C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490C1F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90C1F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E459E9" w:rsidRPr="00490C1F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459E9" w:rsidRPr="00490C1F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</w:t>
      </w:r>
    </w:p>
    <w:p w:rsidR="00E459E9" w:rsidRPr="00490C1F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Zákon Národnej rady Slovenskej republiky č. 350/1996 Z. z. o rokovacom poriadku Národnej rady Slovenskej republiky v znení nálezu Ústavného súdu Slovenskej republiky č. 77/1998 Z. z., zákona č. 86/2000 Z. z., zákona č. 138/2002 Z. z., zákona č. 100/2003 Z. z., zákona č. 551/2003 Z. z., zákona č. 215/2004 Z. z., zákona č. 360/2004 Z. z., zákona č. 253/2005 Z. z., nálezu Ústavného súdu Slovenskej republiky č. 320/2005 Z. z., zákona č. 261/2006 Z. z., zákona č. 199/2007 Z. z., zákona č. 400/2009 Z. z., zákona č. 38/2010 Z. z., zákona č. 153/2011 Z. z., zákona č. 187/2011 Z. z., uznesenia Ústavného súdu Slovenskej republiky č. 191/2011 Z. z., uznesenia Ústavného súdu Slovenskej republiky č. 237/2011 Z. z., zákona č. 69/2012 Z. z., zákona č. 79/2012 Z. z., zákona č. 236/2012 Z. z., zákona č. 296/2012 Z. z., zákona č. 330/2012 Z. z., zákona č. 309/2013 Z. z. a zákona č. 402/2013 Z. z. sa mení a dopĺňa takto:</w:t>
      </w:r>
    </w:p>
    <w:p w:rsidR="00E459E9" w:rsidRPr="00490C1F">
      <w:pPr>
        <w:pStyle w:val="BodyText"/>
        <w:numPr>
          <w:numId w:val="15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§ 29 sa dopĺňa odsekom 4, ktorý znie: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„(4) Poslanec alebo navrhovateľ po podaní pozmeňujúceho alebo doplňujúceho návrhu, ktorý podľa práva Európskej únie podlieha povinnej konzultácii s inštitúciami Európskej únie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33a)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, môže navrhnúť prerušenie prerokúvania veci až dovtedy, kým k nim nezaujme stanovisko príslušná inštitúcia Európskej únie. O návrhu na prerušenie prerokúvania bodu programu schôdze rozhodne národná rada bez rozpravy. Na podávanie pozmeňujúcich a doplňujúcich návrhov sa primerane použije ustanovenie § 68 ods. 6.“.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Poznámka pod čiarou k odkazu 33a znie: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„</w:t>
      </w:r>
      <w:r w:rsidRP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)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 xml:space="preserve"> Napríklad čl. 127 ods. 4 Zmluvy o fungovaní Európskej únie v platnom znení (Ú. v. EÚ, C 326, 26. 10. 2012), rozhodnutie Rady 98/415/ES z 29. júna 1998 o poradení sa vnútroštátnych orgánov s Európskou centrálnou bankou ohľadom návrhov právnych predpisov (Mimoriadne vydanie Ú. v. EÚ, kap. 01/zv. 01; </w:t>
      </w:r>
      <w:r w:rsidR="00490C1F">
        <w:rPr>
          <w:rFonts w:ascii="Book Antiqua" w:hAnsi="Book Antiqua"/>
          <w:sz w:val="22"/>
          <w:szCs w:val="26"/>
          <w:lang w:val="sk-SK" w:eastAsia="x-none"/>
        </w:rPr>
        <w:t xml:space="preserve">Ú. v. ES L 189, </w:t>
      </w:r>
      <w:r w:rsidRPr="00490C1F">
        <w:rPr>
          <w:rFonts w:ascii="Book Antiqua" w:hAnsi="Book Antiqua"/>
          <w:sz w:val="22"/>
          <w:szCs w:val="26"/>
          <w:lang w:val="sk-SK" w:eastAsia="x-none"/>
        </w:rPr>
        <w:t>3. 7. 1998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) v platnom znení, nariadenie</w:t>
      </w:r>
      <w:r w:rsidRPr="00490C1F">
        <w:rPr>
          <w:rFonts w:ascii="Book Antiqua" w:hAnsi="Book Antiqua" w:cs="Arial"/>
          <w:sz w:val="22"/>
          <w:szCs w:val="22"/>
          <w:lang w:val="sk-SK" w:eastAsia="x-none"/>
        </w:rPr>
        <w:t xml:space="preserve"> vlády Slovenskej republiky č. 453/2002 Z. z. o postupoch pri poskytovaní informácií v oblasti technických predpisov a technických noriem.“.</w:t>
      </w:r>
    </w:p>
    <w:p w:rsidR="00E459E9" w:rsidRPr="00490C1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E459E9" w:rsidRPr="00490C1F">
      <w:pPr>
        <w:pStyle w:val="BodyText"/>
        <w:numPr>
          <w:numId w:val="15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§ 68 sa dopĺňa odsekom 6, ktorý znie:</w:t>
      </w:r>
    </w:p>
    <w:p w:rsidR="00E459E9" w:rsidRPr="00490C1F" w:rsidP="00B56579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„(6) Ak návrh zákona podlieha podľa práva Európskej únie povinnej konzultácii s inštitúciami Európskej únie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33a)</w:t>
      </w:r>
      <w:r w:rsidRPr="00490C1F">
        <w:rPr>
          <w:rFonts w:ascii="Book Antiqua" w:hAnsi="Book Antiqua"/>
          <w:bCs/>
          <w:sz w:val="22"/>
          <w:szCs w:val="22"/>
          <w:lang w:val="sk-SK" w:eastAsia="x-none"/>
        </w:rPr>
        <w:t>, náležitosťou návrhu zákona je aj stanovisko príslušnej inštitúcie Európskej únie k návrhu zákona. Ak takýto návrh zákona podáva výbor alebo poslanec, na ich požiadanie zabezpečí kancelária uskutočnenie povinnej konzultácie k návrhu zákona s príslušnou inštitúciou Európskej únie.</w:t>
      </w:r>
      <w:r w:rsidRP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33a</w:t>
      </w:r>
      <w:r w:rsidR="00490C1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)</w:t>
      </w:r>
      <w:r w:rsidR="00B56579">
        <w:rPr>
          <w:rFonts w:ascii="Book Antiqua" w:hAnsi="Book Antiqua"/>
          <w:bCs/>
          <w:sz w:val="22"/>
          <w:szCs w:val="22"/>
          <w:lang w:val="sk-SK" w:eastAsia="x-none"/>
        </w:rPr>
        <w:t>“.</w:t>
      </w:r>
    </w:p>
    <w:p w:rsidR="00E459E9" w:rsidRPr="00490C1F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E459E9" w:rsidRPr="00490C1F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490C1F">
        <w:rPr>
          <w:rFonts w:ascii="Book Antiqua" w:hAnsi="Book Antiqua"/>
          <w:b/>
          <w:bCs/>
          <w:sz w:val="22"/>
          <w:szCs w:val="22"/>
        </w:rPr>
        <w:t>Čl. II</w:t>
      </w:r>
    </w:p>
    <w:p w:rsidR="00E459E9" w:rsidRPr="00490C1F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490C1F">
        <w:rPr>
          <w:rFonts w:ascii="Book Antiqua" w:hAnsi="Book Antiqua"/>
          <w:sz w:val="22"/>
          <w:szCs w:val="22"/>
          <w:lang w:val="sk-SK" w:eastAsia="x-none"/>
        </w:rPr>
        <w:t>Tento záko</w:t>
      </w:r>
      <w:r w:rsidR="00CA424E">
        <w:rPr>
          <w:rFonts w:ascii="Book Antiqua" w:hAnsi="Book Antiqua"/>
          <w:sz w:val="22"/>
          <w:szCs w:val="22"/>
          <w:lang w:val="sk-SK" w:eastAsia="x-none"/>
        </w:rPr>
        <w:t>n nadobúda účinnosť 1. </w:t>
      </w:r>
      <w:r w:rsidR="00317076">
        <w:rPr>
          <w:rFonts w:ascii="Book Antiqua" w:hAnsi="Book Antiqua"/>
          <w:sz w:val="22"/>
          <w:szCs w:val="22"/>
          <w:lang w:val="sk-SK" w:eastAsia="x-none"/>
        </w:rPr>
        <w:t>januára</w:t>
      </w:r>
      <w:r w:rsidRPr="00490C1F">
        <w:rPr>
          <w:rFonts w:ascii="Book Antiqua" w:hAnsi="Book Antiqua"/>
          <w:sz w:val="22"/>
          <w:szCs w:val="22"/>
          <w:lang w:val="sk-SK" w:eastAsia="x-none"/>
        </w:rPr>
        <w:t xml:space="preserve"> 20</w:t>
      </w:r>
      <w:r w:rsidR="00317076">
        <w:rPr>
          <w:rFonts w:ascii="Book Antiqua" w:hAnsi="Book Antiqua"/>
          <w:sz w:val="22"/>
          <w:szCs w:val="22"/>
          <w:lang w:val="sk-SK" w:eastAsia="x-none"/>
        </w:rPr>
        <w:t>15</w:t>
      </w:r>
      <w:r w:rsidRPr="00490C1F">
        <w:rPr>
          <w:rFonts w:ascii="Book Antiqua" w:hAnsi="Book Antiqua"/>
          <w:sz w:val="22"/>
          <w:szCs w:val="22"/>
          <w:lang w:val="sk-SK" w:eastAsia="x-none"/>
        </w:rPr>
        <w:t>.</w:t>
      </w:r>
    </w:p>
    <w:p w:rsidR="00E459E9" w:rsidRPr="00490C1F">
      <w:pPr>
        <w:pStyle w:val="BodyText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  <w:lang w:val="sk-SK" w:eastAsia="x-none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4DFD37A0"/>
    <w:multiLevelType w:val="hybridMultilevel"/>
    <w:tmpl w:val="49D60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03F41E6"/>
    <w:multiLevelType w:val="hybridMultilevel"/>
    <w:tmpl w:val="0DF0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13"/>
  </w:num>
  <w:num w:numId="7">
    <w:abstractNumId w:val="14"/>
  </w:num>
  <w:num w:numId="8">
    <w:abstractNumId w:val="4"/>
  </w:num>
  <w:num w:numId="9">
    <w:abstractNumId w:val="0"/>
  </w:num>
  <w:num w:numId="10">
    <w:abstractNumId w:val="12"/>
  </w:num>
  <w:num w:numId="11">
    <w:abstractNumId w:val="6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0C1F"/>
    <w:rsid w:val="00317076"/>
    <w:rsid w:val="00490C1F"/>
    <w:rsid w:val="006808B3"/>
    <w:rsid w:val="00B56579"/>
    <w:rsid w:val="00CA424E"/>
    <w:rsid w:val="00DD12E7"/>
    <w:rsid w:val="00E459E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Pr>
      <w:b/>
      <w:i/>
      <w:sz w:val="26"/>
    </w:rPr>
  </w:style>
  <w:style w:type="character" w:customStyle="1" w:styleId="Nadpis6Char">
    <w:name w:val="Nadpis 6 Char"/>
    <w:locked/>
    <w:rPr>
      <w:b/>
    </w:rPr>
  </w:style>
  <w:style w:type="character" w:customStyle="1" w:styleId="Nadpis7Char">
    <w:name w:val="Nadpis 7 Char"/>
    <w:locked/>
    <w:rPr>
      <w:sz w:val="24"/>
    </w:rPr>
  </w:style>
  <w:style w:type="character" w:customStyle="1" w:styleId="Nadpis8Char">
    <w:name w:val="Nadpis 8 Char"/>
    <w:locked/>
    <w:rPr>
      <w:i/>
      <w:sz w:val="24"/>
    </w:rPr>
  </w:style>
  <w:style w:type="character" w:customStyle="1" w:styleId="Nadpis9Char">
    <w:name w:val="Nadpis 9 Char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semiHidden/>
    <w:pPr>
      <w:jc w:val="both"/>
    </w:p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TextkomentraChar">
    <w:name w:val="Text komentára Char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semiHidden/>
    <w:unhideWhenUsed/>
    <w:pPr>
      <w:jc w:val="left"/>
    </w:pPr>
    <w:rPr>
      <w:b/>
      <w:bCs/>
    </w:rPr>
  </w:style>
  <w:style w:type="character" w:customStyle="1" w:styleId="PredmetkomentraChar">
    <w:name w:val="Predmet komentára Char"/>
    <w:semiHidden/>
    <w:locked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styleId="BodyText3">
    <w:name w:val="Body Text 3"/>
    <w:basedOn w:val="Normal"/>
    <w:semiHidden/>
    <w:unhideWhenUsed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semiHidden/>
    <w:rPr>
      <w:rFonts w:ascii="Times New Roman" w:hAnsi="Times New Roman" w:cs="Times New Roman"/>
      <w:sz w:val="16"/>
    </w:rPr>
  </w:style>
  <w:style w:type="paragraph" w:styleId="FootnoteText">
    <w:name w:val="footnote text"/>
    <w:basedOn w:val="Normal"/>
    <w:semiHidden/>
    <w:pPr>
      <w:autoSpaceDE/>
      <w:autoSpaceDN/>
      <w:jc w:val="left"/>
    </w:pPr>
  </w:style>
  <w:style w:type="character" w:customStyle="1" w:styleId="TextpoznmkypodiarouChar">
    <w:name w:val="Text poznámky pod čiarou Char"/>
    <w:semiHidden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419</Words>
  <Characters>2392</Characters>
  <Application>Microsoft Office Word</Application>
  <DocSecurity>0</DocSecurity>
  <Lines>0</Lines>
  <Paragraphs>0</Paragraphs>
  <ScaleCrop>false</ScaleCrop>
  <Company>Nebo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Valaštínová</dc:creator>
  <cp:lastModifiedBy>Gašparíková, Jarmila</cp:lastModifiedBy>
  <cp:revision>2</cp:revision>
  <cp:lastPrinted>2014-04-08T14:38:00Z</cp:lastPrinted>
  <dcterms:created xsi:type="dcterms:W3CDTF">2014-09-19T12:23:00Z</dcterms:created>
  <dcterms:modified xsi:type="dcterms:W3CDTF">2014-09-19T12:23:00Z</dcterms:modified>
</cp:coreProperties>
</file>