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04A2" w:rsidRPr="003C2782" w:rsidP="00946D8D">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caps/>
          <w:spacing w:val="30"/>
          <w:sz w:val="22"/>
          <w:szCs w:val="22"/>
        </w:rPr>
        <w:t>Dôvodová správa</w:t>
      </w:r>
    </w:p>
    <w:p w:rsidR="003C2782" w:rsidRPr="003C2782" w:rsidP="001F5153">
      <w:pPr>
        <w:pStyle w:val="Heading1"/>
        <w:bidi w:val="0"/>
        <w:spacing w:before="120" w:line="276" w:lineRule="auto"/>
        <w:rPr>
          <w:rFonts w:ascii="Book Antiqua" w:hAnsi="Book Antiqua"/>
          <w:sz w:val="22"/>
          <w:szCs w:val="22"/>
          <w:lang w:val="sk-SK" w:eastAsia="x-none"/>
        </w:rPr>
      </w:pPr>
      <w:r w:rsidRPr="003C2782" w:rsidR="002D04A2">
        <w:rPr>
          <w:rFonts w:ascii="Book Antiqua" w:hAnsi="Book Antiqua"/>
          <w:b w:val="0"/>
          <w:bCs/>
          <w:sz w:val="22"/>
          <w:szCs w:val="22"/>
          <w:lang w:val="sk-SK" w:eastAsia="x-none"/>
        </w:rPr>
        <w:t> </w:t>
      </w:r>
      <w:r w:rsidRPr="003C2782">
        <w:rPr>
          <w:rFonts w:ascii="Book Antiqua" w:hAnsi="Book Antiqua"/>
          <w:b w:val="0"/>
          <w:bCs/>
          <w:sz w:val="22"/>
          <w:szCs w:val="22"/>
          <w:lang w:val="sk-SK" w:eastAsia="x-none"/>
        </w:rPr>
        <w:t> </w:t>
      </w:r>
    </w:p>
    <w:p w:rsidR="003C2782" w:rsidRPr="003C2782" w:rsidP="003C2782">
      <w:pPr>
        <w:pStyle w:val="Heading1"/>
        <w:bidi w:val="0"/>
        <w:spacing w:before="120" w:line="276" w:lineRule="auto"/>
        <w:jc w:val="left"/>
        <w:rPr>
          <w:rFonts w:ascii="Book Antiqua" w:hAnsi="Book Antiqua"/>
          <w:sz w:val="22"/>
          <w:szCs w:val="22"/>
          <w:lang w:val="sk-SK" w:eastAsia="x-none"/>
        </w:rPr>
      </w:pPr>
      <w:r w:rsidRPr="003C2782">
        <w:rPr>
          <w:rFonts w:ascii="Book Antiqua" w:hAnsi="Book Antiqua"/>
          <w:sz w:val="22"/>
          <w:szCs w:val="22"/>
          <w:lang w:val="sk-SK" w:eastAsia="x-none"/>
        </w:rPr>
        <w:t>A. Všeobecná časť</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Návrh zákona, ktorým sa mení a dopĺňa zákon č. 543/2002 Z. z. o ochrane prírody a krajiny v znení neskorších predpisov</w:t>
      </w:r>
      <w:r w:rsidRPr="003C2782">
        <w:rPr>
          <w:rFonts w:ascii="Book Antiqua" w:hAnsi="Book Antiqua"/>
          <w:b/>
          <w:sz w:val="22"/>
          <w:szCs w:val="22"/>
        </w:rPr>
        <w:t xml:space="preserve"> </w:t>
      </w:r>
      <w:r w:rsidRPr="003C2782">
        <w:rPr>
          <w:rFonts w:ascii="Book Antiqua" w:hAnsi="Book Antiqua"/>
          <w:sz w:val="22"/>
          <w:szCs w:val="22"/>
        </w:rPr>
        <w:t>(ďalej len „návrh zákona“) predkladajú poslanci Národnej rady Slovenskej republiky Mikuláš Huba, Ján Mičovský a Martin Fecko.</w:t>
      </w:r>
    </w:p>
    <w:p w:rsidR="003C2782" w:rsidRPr="003C2782" w:rsidP="003C2782">
      <w:pPr>
        <w:bidi w:val="0"/>
        <w:spacing w:before="120" w:line="276" w:lineRule="auto"/>
        <w:ind w:firstLine="708"/>
        <w:jc w:val="both"/>
        <w:rPr>
          <w:rFonts w:ascii="Book Antiqua" w:hAnsi="Book Antiqua"/>
          <w:b/>
          <w:sz w:val="22"/>
          <w:szCs w:val="22"/>
        </w:rPr>
      </w:pPr>
      <w:r w:rsidRPr="003C2782">
        <w:rPr>
          <w:rFonts w:ascii="Book Antiqua" w:hAnsi="Book Antiqua"/>
          <w:b/>
          <w:sz w:val="22"/>
          <w:szCs w:val="22"/>
        </w:rPr>
        <w:t>Hlavným účelom predloženého návrhu zákona je zosúladiť znenie zákona                       č. 543/2002 Z. z. o ochrane prírody a krajiny v znení neskorších predpisov (ďalej len „ZOPK“) s príslušnými smernicami Európskej únie a medzinárodnými dohovormi. Schválenie novely ZOPK v podobe zákona č. 506/2013 Z. z. spôsobilo, že niektoré ustanovenia platného ZOPK sa dostali do rozporu s príslušnými smernicami Európskej únie, ale aj ratifikovanými medzinárodnými dohovormi, z čoho môže Slovenskej republike hroziť až uloženie finančnej pokuty alebo inej sankcie zo strany Európskej únie.</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Slovenská republika sa vstupom do Európskej únie zaviazala dodržiavať jej právne predpisy, a teda v plnom rozsahu po transponovaní príslušných smerníc zahrnúť ich do svojho právneho poriadku. To sa síce stalo pri prvej transpozícií </w:t>
      </w:r>
      <w:r w:rsidRPr="003C2782">
        <w:rPr>
          <w:rFonts w:ascii="Book Antiqua" w:hAnsi="Book Antiqua"/>
          <w:bCs/>
          <w:sz w:val="22"/>
          <w:szCs w:val="22"/>
        </w:rPr>
        <w:t xml:space="preserve">smernice </w:t>
      </w:r>
      <w:r w:rsidRPr="003C2782">
        <w:rPr>
          <w:rFonts w:ascii="Book Antiqua" w:hAnsi="Book Antiqua"/>
          <w:sz w:val="22"/>
          <w:szCs w:val="22"/>
        </w:rPr>
        <w:t xml:space="preserve">Rady 92/43/EHS zo dňa 21. mája 1992 o ochrane prirodzených biotopov a voľne žijúcich živočíchov a rastlín (ďalej len „smernica o biotopoch“), avšak neskôr sa niektoré ustanovenia našej právnej úpravy novelizáciami ZOPK dostali do rozporu s touto smernicou, napríklad pri ochrane všetkých biotopov sa táto ochrana namiesto podstatne širšie chápanej ochrany </w:t>
      </w:r>
      <w:r w:rsidRPr="003C2782">
        <w:rPr>
          <w:rFonts w:ascii="Book Antiqua" w:hAnsi="Book Antiqua"/>
          <w:b/>
          <w:sz w:val="22"/>
          <w:szCs w:val="22"/>
        </w:rPr>
        <w:t>prirodzených biotopov</w:t>
      </w:r>
      <w:r w:rsidRPr="003C2782">
        <w:rPr>
          <w:rFonts w:ascii="Book Antiqua" w:hAnsi="Book Antiqua"/>
          <w:sz w:val="22"/>
          <w:szCs w:val="22"/>
        </w:rPr>
        <w:t xml:space="preserve">  zúžila len na ochranu prírodných biotopov.</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Rovnako sa predmetnou novelou úplne zo ZOPK vylúčila ochrana zachovania charakteristického vzhľadu krajiny a relativizoval sa zmysel a dôležitosť ochrany prírody a krajiny, čo považujeme za konanie v rozpore s Európskym dohovorom o krajine z roku 2000, ktorý Slovenská republika ratifikovala v roku 2005.</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Vzhľadom na to, že súčasné znenie ZOPK môže byť v rozpore s niektorými smernicami, chceme okrem iných úprav zakotviť zásadu, podľa ktorej ochrana prírody a krajiny bude vždy vykonávaná vo verejnom záujme, pričom nebude môcť byť spochybnená žiadnym iným verejným záujmom. Nami navrhované znenie dáva ZOPK do súladu so smernicou o biotopoch, pričom náš návrh zákona reflektuje aj závery vyjadrené v rozsudku Súdneho dvora C-258/11.</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Keďže súčasné znenie ZOPK nedostatočne rieši  aj posudzovanie vplyvov na európsku sústavu chránených území, navrhujeme presný postup, prostredníctvom ktorého sa zabezpečí, aby nedochádzalo k situáciám, keď najrizikovejšie projekty sa posudzujú len cez dobrovoľné posúdenia vplyvov na európsku sústavu chránených území, a to ešte podľa metodiky iného štátu - Českej republiky.</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Rovnako sme sa v tomto návrhu zákona snažili zosúladiť postup pri vykonávaní výskumu a nakladaní s jeho výsledkami, keďže súčasné znenie ZOPK upiera právo slobodne nakladať s výsledkami výskumu, čo je v rozpore s článkom 5 </w:t>
      </w:r>
      <w:r w:rsidRPr="003C2782">
        <w:rPr>
          <w:rStyle w:val="st"/>
          <w:rFonts w:ascii="Book Antiqua" w:hAnsi="Book Antiqua" w:cs="Arial"/>
          <w:sz w:val="22"/>
          <w:szCs w:val="22"/>
        </w:rPr>
        <w:t xml:space="preserve">smernice Európskeho parlamentu a </w:t>
      </w:r>
      <w:r w:rsidRPr="001F5153">
        <w:rPr>
          <w:rStyle w:val="st"/>
          <w:rFonts w:ascii="Book Antiqua" w:hAnsi="Book Antiqua" w:cs="Arial"/>
          <w:sz w:val="22"/>
          <w:szCs w:val="22"/>
        </w:rPr>
        <w:t xml:space="preserve">Rady </w:t>
      </w:r>
      <w:r w:rsidRPr="001F5153">
        <w:rPr>
          <w:rStyle w:val="Emphasis"/>
          <w:rFonts w:ascii="Book Antiqua" w:hAnsi="Book Antiqua" w:cs="Arial"/>
          <w:i w:val="0"/>
          <w:iCs/>
          <w:sz w:val="22"/>
          <w:szCs w:val="22"/>
        </w:rPr>
        <w:t>9/96</w:t>
      </w:r>
      <w:r w:rsidRPr="001F5153">
        <w:rPr>
          <w:rStyle w:val="st"/>
          <w:rFonts w:ascii="Book Antiqua" w:hAnsi="Book Antiqua" w:cs="Arial"/>
          <w:i/>
          <w:sz w:val="22"/>
          <w:szCs w:val="22"/>
        </w:rPr>
        <w:t>/</w:t>
      </w:r>
      <w:r w:rsidRPr="001F5153">
        <w:rPr>
          <w:rStyle w:val="Emphasis"/>
          <w:rFonts w:ascii="Book Antiqua" w:hAnsi="Book Antiqua" w:cs="Arial"/>
          <w:i w:val="0"/>
          <w:iCs/>
          <w:sz w:val="22"/>
          <w:szCs w:val="22"/>
        </w:rPr>
        <w:t>ES</w:t>
      </w:r>
      <w:r w:rsidRPr="001F5153">
        <w:rPr>
          <w:rStyle w:val="Emphasis"/>
          <w:rFonts w:ascii="Book Antiqua" w:hAnsi="Book Antiqua" w:cs="Arial"/>
          <w:iCs/>
          <w:sz w:val="22"/>
          <w:szCs w:val="22"/>
        </w:rPr>
        <w:t xml:space="preserve"> </w:t>
      </w:r>
      <w:r w:rsidRPr="001F5153">
        <w:rPr>
          <w:rStyle w:val="st"/>
          <w:rFonts w:ascii="Book Antiqua" w:hAnsi="Book Antiqua" w:cs="Arial"/>
          <w:sz w:val="22"/>
          <w:szCs w:val="22"/>
        </w:rPr>
        <w:t>o</w:t>
      </w:r>
      <w:r w:rsidRPr="003C2782">
        <w:rPr>
          <w:rStyle w:val="st"/>
          <w:rFonts w:ascii="Book Antiqua" w:hAnsi="Book Antiqua" w:cs="Arial"/>
          <w:sz w:val="22"/>
          <w:szCs w:val="22"/>
        </w:rPr>
        <w:t xml:space="preserve"> právnej ochrane databáz</w:t>
      </w:r>
      <w:r w:rsidRPr="003C2782">
        <w:rPr>
          <w:rFonts w:ascii="Book Antiqua" w:hAnsi="Book Antiqua"/>
          <w:bCs/>
          <w:sz w:val="22"/>
          <w:szCs w:val="22"/>
        </w:rPr>
        <w:t>, ktorý ustanovuje, že</w:t>
      </w:r>
      <w:r w:rsidRPr="003C2782">
        <w:rPr>
          <w:rFonts w:ascii="Book Antiqua" w:hAnsi="Book Antiqua"/>
          <w:sz w:val="22"/>
          <w:szCs w:val="22"/>
        </w:rPr>
        <w:t xml:space="preserve"> na preklad, zmeny, usporiadanie a všetky ďalšie úpravy databázy má výhradné právo zhotoviteľ databázy, rovnako ako podľa písm. a) tohto článku má výhradné právo aj na rozmnožovanie databázy alebo jej časti akýmikoľvek prostriedkami.</w:t>
      </w:r>
    </w:p>
    <w:p w:rsidR="003C2782" w:rsidRPr="003C2782" w:rsidP="003C2782">
      <w:pPr>
        <w:bidi w:val="0"/>
        <w:spacing w:before="120" w:line="276" w:lineRule="auto"/>
        <w:ind w:firstLine="708"/>
        <w:jc w:val="both"/>
        <w:rPr>
          <w:rFonts w:ascii="Book Antiqua" w:hAnsi="Book Antiqua"/>
          <w:b/>
          <w:sz w:val="22"/>
          <w:szCs w:val="22"/>
        </w:rPr>
      </w:pPr>
      <w:r w:rsidRPr="003C2782">
        <w:rPr>
          <w:rFonts w:ascii="Book Antiqua" w:hAnsi="Book Antiqua"/>
          <w:b/>
          <w:sz w:val="22"/>
          <w:szCs w:val="22"/>
        </w:rPr>
        <w:t>V súčasnosti sa dá jednoznačne konštatovať, že ZOPK v niektorých svojich častiach nedostatočne zohľadňuje znenie príslušných európskych smerníc, či dokonca vylučuje ich aplikáciu. Aj z tohto dôvodu predkladáme návrh zákona, vďaka ktorému bude právna úprava ZOPK v súlade s európskym,</w:t>
      </w:r>
      <w:bookmarkStart w:id="0" w:name="_GoBack"/>
      <w:bookmarkEnd w:id="0"/>
      <w:r w:rsidR="001F5153">
        <w:rPr>
          <w:rFonts w:ascii="Book Antiqua" w:hAnsi="Book Antiqua"/>
          <w:b/>
          <w:sz w:val="22"/>
          <w:szCs w:val="22"/>
        </w:rPr>
        <w:t xml:space="preserve"> resp. aj  širšie </w:t>
      </w:r>
      <w:r w:rsidRPr="003C2782">
        <w:rPr>
          <w:rFonts w:ascii="Book Antiqua" w:hAnsi="Book Antiqua"/>
          <w:b/>
          <w:sz w:val="22"/>
          <w:szCs w:val="22"/>
        </w:rPr>
        <w:t>chápaným medzinárodným právom.</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Predkladaný návrh zákona bude mať pozitívny dopad na životné prostredie, nezakladá žiadne vplyvy na rozpočet verejnej správy a na podnikateľské prostredie, nevyvoláva sociálne vplyvy a ani vplyvy na informatizáciu spoločnosti.</w:t>
      </w:r>
    </w:p>
    <w:p w:rsidR="003C2782" w:rsidRPr="003C2782" w:rsidP="003C2782">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866832" w:rsidRPr="003C2782" w:rsidP="00946D8D">
      <w:pPr>
        <w:pStyle w:val="NormalWeb"/>
        <w:bidi w:val="0"/>
        <w:spacing w:before="120" w:beforeAutospacing="0" w:after="0" w:afterAutospacing="0" w:line="276" w:lineRule="auto"/>
        <w:ind w:firstLine="708"/>
        <w:jc w:val="both"/>
        <w:rPr>
          <w:rFonts w:ascii="Book Antiqua" w:hAnsi="Book Antiqua"/>
          <w:sz w:val="22"/>
          <w:szCs w:val="22"/>
        </w:rPr>
      </w:pPr>
    </w:p>
    <w:p w:rsidR="00866832" w:rsidRPr="003C2782" w:rsidP="00946D8D">
      <w:pPr>
        <w:pStyle w:val="NormalWeb"/>
        <w:bidi w:val="0"/>
        <w:spacing w:before="120" w:beforeAutospacing="0" w:after="0" w:afterAutospacing="0" w:line="276" w:lineRule="auto"/>
        <w:jc w:val="both"/>
        <w:rPr>
          <w:rFonts w:ascii="Book Antiqua" w:hAnsi="Book Antiqua"/>
          <w:sz w:val="22"/>
          <w:szCs w:val="22"/>
        </w:rPr>
      </w:pPr>
    </w:p>
    <w:p w:rsidR="00305E36" w:rsidRPr="003C2782" w:rsidP="00946D8D">
      <w:pPr>
        <w:pStyle w:val="NormalWeb"/>
        <w:bidi w:val="0"/>
        <w:spacing w:before="120" w:beforeAutospacing="0" w:after="0" w:afterAutospacing="0" w:line="276" w:lineRule="auto"/>
        <w:rPr>
          <w:rFonts w:ascii="Book Antiqua" w:hAnsi="Book Antiqua"/>
          <w:b/>
          <w:bCs/>
          <w:caps/>
          <w:spacing w:val="30"/>
          <w:sz w:val="22"/>
          <w:szCs w:val="22"/>
        </w:rPr>
      </w:pPr>
    </w:p>
    <w:p w:rsidR="00175475" w:rsidRPr="003C2782" w:rsidP="00946D8D">
      <w:pPr>
        <w:pStyle w:val="NormalWeb"/>
        <w:bidi w:val="0"/>
        <w:spacing w:before="120" w:beforeAutospacing="0" w:after="0" w:afterAutospacing="0" w:line="276" w:lineRule="auto"/>
        <w:rPr>
          <w:rFonts w:ascii="Book Antiqua" w:hAnsi="Book Antiqua"/>
          <w:b/>
          <w:bCs/>
          <w:caps/>
          <w:spacing w:val="30"/>
          <w:sz w:val="22"/>
          <w:szCs w:val="22"/>
        </w:rPr>
      </w:pPr>
    </w:p>
    <w:p w:rsidR="00867BE1" w:rsidRPr="003C2782" w:rsidP="00946D8D">
      <w:pPr>
        <w:pStyle w:val="NormalWeb"/>
        <w:bidi w:val="0"/>
        <w:spacing w:before="120" w:beforeAutospacing="0" w:after="0" w:afterAutospacing="0" w:line="276" w:lineRule="auto"/>
        <w:jc w:val="both"/>
        <w:rPr>
          <w:rFonts w:ascii="Book Antiqua" w:hAnsi="Book Antiqua"/>
          <w:sz w:val="22"/>
          <w:szCs w:val="22"/>
        </w:rPr>
      </w:pPr>
    </w:p>
    <w:p w:rsidR="005B52EF" w:rsidRPr="003C2782" w:rsidP="00946D8D">
      <w:pPr>
        <w:pStyle w:val="NormalWeb"/>
        <w:bidi w:val="0"/>
        <w:spacing w:before="120" w:beforeAutospacing="0" w:after="0" w:afterAutospacing="0" w:line="276" w:lineRule="auto"/>
        <w:jc w:val="both"/>
        <w:rPr>
          <w:rFonts w:ascii="Book Antiqua" w:hAnsi="Book Antiqua"/>
          <w:sz w:val="22"/>
          <w:szCs w:val="22"/>
        </w:rPr>
      </w:pPr>
      <w:r w:rsidRPr="003C2782" w:rsidR="002C60F8">
        <w:rPr>
          <w:rFonts w:ascii="Book Antiqua" w:hAnsi="Book Antiqua"/>
          <w:b/>
          <w:bCs/>
          <w:sz w:val="22"/>
          <w:szCs w:val="22"/>
        </w:rPr>
        <w:br w:type="page"/>
      </w:r>
      <w:r w:rsidRPr="003C2782">
        <w:rPr>
          <w:rFonts w:ascii="Book Antiqua" w:hAnsi="Book Antiqua"/>
          <w:b/>
          <w:bCs/>
          <w:sz w:val="22"/>
          <w:szCs w:val="22"/>
        </w:rPr>
        <w:t>B. Osobitná časť</w:t>
      </w:r>
    </w:p>
    <w:p w:rsidR="005B52EF" w:rsidRPr="003C2782" w:rsidP="00946D8D">
      <w:pPr>
        <w:pStyle w:val="NormalWeb"/>
        <w:bidi w:val="0"/>
        <w:spacing w:before="120" w:beforeAutospacing="0" w:after="0" w:afterAutospacing="0" w:line="276" w:lineRule="auto"/>
        <w:jc w:val="both"/>
        <w:rPr>
          <w:rFonts w:ascii="Book Antiqua" w:hAnsi="Book Antiqua"/>
          <w:sz w:val="22"/>
          <w:szCs w:val="22"/>
        </w:rPr>
      </w:pPr>
    </w:p>
    <w:p w:rsidR="005B52EF" w:rsidRPr="003C2782" w:rsidP="00946D8D">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K Čl. I</w:t>
      </w:r>
    </w:p>
    <w:p w:rsidR="00257016"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1</w:t>
      </w:r>
    </w:p>
    <w:p w:rsidR="00175475" w:rsidRPr="003C2782" w:rsidP="00041441">
      <w:pPr>
        <w:pStyle w:val="BodyTextIndent"/>
        <w:bidi w:val="0"/>
        <w:spacing w:before="120" w:after="0" w:line="276" w:lineRule="auto"/>
        <w:ind w:left="0" w:firstLine="708"/>
        <w:jc w:val="both"/>
        <w:rPr>
          <w:rStyle w:val="PlaceholderText"/>
          <w:rFonts w:ascii="Book Antiqua" w:hAnsi="Book Antiqua"/>
          <w:color w:val="auto"/>
          <w:sz w:val="22"/>
          <w:szCs w:val="22"/>
        </w:rPr>
      </w:pPr>
      <w:r w:rsidRPr="003C2782">
        <w:rPr>
          <w:rFonts w:ascii="Book Antiqua" w:hAnsi="Book Antiqua"/>
          <w:sz w:val="22"/>
          <w:szCs w:val="22"/>
        </w:rPr>
        <w:t>V poslednej novele</w:t>
      </w:r>
      <w:r w:rsidRPr="003C2782" w:rsidR="00041441">
        <w:rPr>
          <w:rFonts w:ascii="Book Antiqua" w:hAnsi="Book Antiqua"/>
          <w:sz w:val="22"/>
          <w:szCs w:val="22"/>
          <w:lang w:val="sk-SK" w:eastAsia="x-none"/>
        </w:rPr>
        <w:t xml:space="preserve"> </w:t>
      </w:r>
      <w:r w:rsidRPr="003C2782" w:rsidR="00041441">
        <w:rPr>
          <w:rFonts w:ascii="Book Antiqua" w:hAnsi="Book Antiqua"/>
          <w:sz w:val="22"/>
          <w:szCs w:val="22"/>
        </w:rPr>
        <w:t>zákona č. 543/2002 Z. z. o ochrane prírody a krajiny v znení neskorších predpisov (ďalej len „ZOPK“)</w:t>
      </w:r>
      <w:r w:rsidRPr="003C2782">
        <w:rPr>
          <w:rFonts w:ascii="Book Antiqua" w:hAnsi="Book Antiqua"/>
          <w:sz w:val="22"/>
          <w:szCs w:val="22"/>
        </w:rPr>
        <w:t xml:space="preserve"> neboli premietnuté viaceré záväzky Slovenskej republiky voči ochrane krajiny, ktoré jej vyplývajú z ratifikácie</w:t>
      </w:r>
      <w:r w:rsidRPr="003C2782" w:rsidR="001D2A71">
        <w:rPr>
          <w:rFonts w:ascii="Book Antiqua" w:hAnsi="Book Antiqua"/>
          <w:sz w:val="22"/>
          <w:szCs w:val="22"/>
        </w:rPr>
        <w:t xml:space="preserve"> Európskeho dohovoru o krajine </w:t>
      </w:r>
      <w:r w:rsidRPr="003C2782" w:rsidR="001D2A71">
        <w:rPr>
          <w:rFonts w:ascii="Book Antiqua" w:hAnsi="Book Antiqua"/>
          <w:sz w:val="22"/>
          <w:szCs w:val="22"/>
          <w:lang w:val="sk-SK" w:eastAsia="x-none"/>
        </w:rPr>
        <w:t>z</w:t>
      </w:r>
      <w:r w:rsidRPr="003C2782">
        <w:rPr>
          <w:rFonts w:ascii="Book Antiqua" w:hAnsi="Book Antiqua"/>
          <w:sz w:val="22"/>
          <w:szCs w:val="22"/>
        </w:rPr>
        <w:t xml:space="preserve"> roku 2005, keďže v poslednej schválenej novele absentuje medzi cieľmi </w:t>
      </w:r>
      <w:r w:rsidRPr="003C2782" w:rsidR="001D2A71">
        <w:rPr>
          <w:rFonts w:ascii="Book Antiqua" w:hAnsi="Book Antiqua"/>
          <w:sz w:val="22"/>
          <w:szCs w:val="22"/>
          <w:lang w:val="sk-SK" w:eastAsia="x-none"/>
        </w:rPr>
        <w:t xml:space="preserve">zákona </w:t>
      </w:r>
      <w:r w:rsidRPr="003C2782">
        <w:rPr>
          <w:rFonts w:ascii="Book Antiqua" w:hAnsi="Book Antiqua"/>
          <w:sz w:val="22"/>
          <w:szCs w:val="22"/>
        </w:rPr>
        <w:t xml:space="preserve">zachovanie charakteristického vzhľadu krajiny a relativizuje sa zmysel a dôležitosť ochrany prírody a krajiny. Aj z tohto dôvodu sa navrhuje nové znenie </w:t>
      </w:r>
      <w:r w:rsidRPr="003C2782" w:rsidR="00041441">
        <w:rPr>
          <w:rFonts w:ascii="Book Antiqua" w:hAnsi="Book Antiqua"/>
          <w:sz w:val="22"/>
          <w:szCs w:val="22"/>
          <w:lang w:val="sk-SK" w:eastAsia="x-none"/>
        </w:rPr>
        <w:t xml:space="preserve">§ 1 ods. 1 </w:t>
      </w:r>
      <w:r w:rsidRPr="003C2782">
        <w:rPr>
          <w:rFonts w:ascii="Book Antiqua" w:hAnsi="Book Antiqua"/>
          <w:sz w:val="22"/>
          <w:szCs w:val="22"/>
        </w:rPr>
        <w:t>ZOPK</w:t>
      </w:r>
      <w:r w:rsidRPr="003C2782">
        <w:rPr>
          <w:rStyle w:val="PlaceholderText"/>
          <w:rFonts w:ascii="Book Antiqua" w:hAnsi="Book Antiqua"/>
          <w:color w:val="auto"/>
          <w:sz w:val="22"/>
          <w:szCs w:val="22"/>
        </w:rPr>
        <w:t>.</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2</w:t>
      </w:r>
    </w:p>
    <w:p w:rsidR="00175475" w:rsidRPr="003C2782" w:rsidP="00041441">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V platnom zákone nie je vo viacerých prípadoch vyjadrené, čo sa považuje za verejný záujem, pričom ide o vážny nedostatok efektívnej aplikácie ZOPK pri ochrane prírody a starostlivosti o krajinu. Táto absencia umožňuje následne nad samotnú ochranu prírody a krajiny ako činnosť vo verejnom záujme nadraďovať iný verejný záujem (napr. výstavbu), čo vytvára riziko, že ochrana prírody a krajiny môže byť kedykoľvek spochybnená iným verejným záujmom. Úprava navrhovaná v bode 2 je v súlade s článkom 6 smernice Rady </w:t>
      </w:r>
      <w:r w:rsidRPr="003C2782" w:rsidR="001D2A71">
        <w:rPr>
          <w:rFonts w:ascii="Book Antiqua" w:hAnsi="Book Antiqua"/>
          <w:sz w:val="22"/>
          <w:szCs w:val="22"/>
        </w:rPr>
        <w:t xml:space="preserve">     </w:t>
      </w:r>
      <w:r w:rsidRPr="003C2782">
        <w:rPr>
          <w:rFonts w:ascii="Book Antiqua" w:hAnsi="Book Antiqua"/>
          <w:sz w:val="22"/>
          <w:szCs w:val="22"/>
        </w:rPr>
        <w:t xml:space="preserve">č. 92/43/EHS </w:t>
      </w:r>
      <w:r w:rsidRPr="003C2782">
        <w:rPr>
          <w:rStyle w:val="PlaceholderText"/>
          <w:rFonts w:ascii="Book Antiqua" w:hAnsi="Book Antiqua"/>
          <w:color w:val="auto"/>
          <w:sz w:val="22"/>
          <w:szCs w:val="22"/>
        </w:rPr>
        <w:t xml:space="preserve">o ochrane prirodzených biotopov, voľne žijúcich živočíchov a voľne rastúcich rastlín (ďalej len „smernica Rady č. 92/43/EHS“) </w:t>
      </w:r>
      <w:r w:rsidRPr="003C2782">
        <w:rPr>
          <w:rFonts w:ascii="Book Antiqua" w:hAnsi="Book Antiqua"/>
          <w:sz w:val="22"/>
          <w:szCs w:val="22"/>
        </w:rPr>
        <w:t>a tiež v súlade s rozsudkom Súdneho dvora C-258/11. Hoci smernica Rady č. 92/43/EHS, ako aj posledná schválená novela ZOPK používajú pojem „vyšší verejný záujem“, za ktorý možno považovať aj ochranu prírody a krajiny, tento návrh sa striktne pridŕža pojmu „verejný záujem“ v súlade s Ústavou Slovenskej republiky.</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bodom 3 a 4</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Schválené znenie novely ZOPK menilo pôvodný širšie koncipovaný pojem „ochrana biotopu“ na „ochrana prírodného biotopu“, čím v značnej miere vylučuje z tejto ochrany iné druhy biotopov, ako napríklad poloprírodné biotopy  alebo antropogénne biotopy, čím môže byť v mnohých prípadoch priamo ohrozený hlavný mot</w:t>
      </w:r>
      <w:r w:rsidRPr="003C2782" w:rsidR="00816D0A">
        <w:rPr>
          <w:rFonts w:ascii="Book Antiqua" w:hAnsi="Book Antiqua"/>
          <w:sz w:val="22"/>
          <w:szCs w:val="22"/>
        </w:rPr>
        <w:t>ív ochrany napríklad orchideové lúky</w:t>
      </w:r>
      <w:r w:rsidRPr="003C2782">
        <w:rPr>
          <w:rFonts w:ascii="Book Antiqua" w:hAnsi="Book Antiqua"/>
          <w:sz w:val="22"/>
          <w:szCs w:val="22"/>
        </w:rPr>
        <w:t xml:space="preserve">. Takéto zúženie ochrany zo všetkých druhov biotopov len na prírodné biotopy je vyslovene v rozpore aj so </w:t>
      </w:r>
      <w:r w:rsidRPr="003C2782" w:rsidR="00816D0A">
        <w:rPr>
          <w:rStyle w:val="PlaceholderText"/>
          <w:rFonts w:ascii="Book Antiqua" w:hAnsi="Book Antiqua"/>
          <w:color w:val="auto"/>
          <w:sz w:val="22"/>
          <w:szCs w:val="22"/>
        </w:rPr>
        <w:t xml:space="preserve">smernicou Rady </w:t>
      </w:r>
      <w:r w:rsidRPr="003C2782">
        <w:rPr>
          <w:rStyle w:val="PlaceholderText"/>
          <w:rFonts w:ascii="Book Antiqua" w:hAnsi="Book Antiqua"/>
          <w:color w:val="auto"/>
          <w:sz w:val="22"/>
          <w:szCs w:val="22"/>
        </w:rPr>
        <w:t>č. 92/43/EHS, kde v článku 1 písm. b) sú pod pojmom „prirodzený biotop“ zahrnut</w:t>
      </w:r>
      <w:r w:rsidRPr="003C2782" w:rsidR="001D2A71">
        <w:rPr>
          <w:rStyle w:val="PlaceholderText"/>
          <w:rFonts w:ascii="Book Antiqua" w:hAnsi="Book Antiqua"/>
          <w:color w:val="auto"/>
          <w:sz w:val="22"/>
          <w:szCs w:val="22"/>
        </w:rPr>
        <w:t xml:space="preserve">é okrem prírodných biotopov aj </w:t>
      </w:r>
      <w:r w:rsidRPr="003C2782">
        <w:rPr>
          <w:rStyle w:val="PlaceholderText"/>
          <w:rFonts w:ascii="Book Antiqua" w:hAnsi="Book Antiqua"/>
          <w:color w:val="auto"/>
          <w:sz w:val="22"/>
          <w:szCs w:val="22"/>
        </w:rPr>
        <w:t xml:space="preserve">prirodzené biotopy, ako aj poloprírodné biotopy. </w:t>
      </w:r>
      <w:r w:rsidRPr="003C2782">
        <w:rPr>
          <w:rFonts w:ascii="Book Antiqua" w:hAnsi="Book Antiqua"/>
          <w:sz w:val="22"/>
          <w:szCs w:val="22"/>
        </w:rPr>
        <w:t xml:space="preserve">Aj z tohto dôvodu navrhujeme ponechať pôvodnú úpravu v čo najširšom význame „ochrana biotopov“, čo lepšie zodpovedá aj zneniu uvedenej smernice </w:t>
      </w:r>
      <w:r w:rsidRPr="003C2782" w:rsidR="00816D0A">
        <w:rPr>
          <w:rStyle w:val="PlaceholderText"/>
          <w:rFonts w:ascii="Book Antiqua" w:hAnsi="Book Antiqua"/>
          <w:color w:val="auto"/>
          <w:sz w:val="22"/>
          <w:szCs w:val="22"/>
        </w:rPr>
        <w:t>Rady č. 92/43/EHS</w:t>
      </w:r>
      <w:r w:rsidRPr="003C2782">
        <w:rPr>
          <w:rFonts w:ascii="Book Antiqua" w:hAnsi="Book Antiqua"/>
          <w:sz w:val="22"/>
          <w:szCs w:val="22"/>
        </w:rPr>
        <w:t>.</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5</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Platné znenie ZOPK upravujúce posudzovanie projektov s možným negatívnym vplyvom na európsku sústavu chránených území netransponuje správne príslušnú európsku l</w:t>
      </w:r>
      <w:r w:rsidRPr="003C2782" w:rsidR="001D2A71">
        <w:rPr>
          <w:rFonts w:ascii="Book Antiqua" w:hAnsi="Book Antiqua"/>
          <w:sz w:val="22"/>
          <w:szCs w:val="22"/>
        </w:rPr>
        <w:t xml:space="preserve">egislatívu, konkrétne článok 6 ods. 3 a 4 </w:t>
      </w:r>
      <w:r w:rsidRPr="003C2782">
        <w:rPr>
          <w:rStyle w:val="PlaceholderText"/>
          <w:rFonts w:ascii="Book Antiqua" w:hAnsi="Book Antiqua"/>
          <w:color w:val="auto"/>
          <w:sz w:val="22"/>
          <w:szCs w:val="22"/>
        </w:rPr>
        <w:t>smernice Rady č. 92/43/EHS</w:t>
      </w:r>
      <w:r w:rsidRPr="003C2782">
        <w:rPr>
          <w:rFonts w:ascii="Book Antiqua" w:hAnsi="Book Antiqua"/>
          <w:sz w:val="22"/>
          <w:szCs w:val="22"/>
        </w:rPr>
        <w:t>, ktoré sú kľúčov</w:t>
      </w:r>
      <w:r w:rsidRPr="003C2782" w:rsidR="001D2A71">
        <w:rPr>
          <w:rFonts w:ascii="Book Antiqua" w:hAnsi="Book Antiqua"/>
          <w:sz w:val="22"/>
          <w:szCs w:val="22"/>
        </w:rPr>
        <w:t>é pre jej správne uplatňovanie.</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Hlavná chyba je procesná, lebo novela navrhuje postup podľa zákona č. 24/2006 Z. z. o posudzovaní vplyvov na životné prostredie EIA (ďalej len „zákon č. 24/2006 Z. z.“), ktorý však upravuje tento proces všeobecne, kým </w:t>
      </w:r>
      <w:r w:rsidRPr="003C2782">
        <w:rPr>
          <w:rStyle w:val="PlaceholderText"/>
          <w:rFonts w:ascii="Book Antiqua" w:hAnsi="Book Antiqua"/>
          <w:color w:val="auto"/>
          <w:sz w:val="22"/>
          <w:szCs w:val="22"/>
        </w:rPr>
        <w:t>smernica Rady č. 92/43/EHS</w:t>
      </w:r>
      <w:r w:rsidRPr="003C2782">
        <w:rPr>
          <w:rFonts w:ascii="Book Antiqua" w:hAnsi="Book Antiqua"/>
          <w:sz w:val="22"/>
          <w:szCs w:val="22"/>
        </w:rPr>
        <w:t xml:space="preserve"> požaduje špeciálne posudzovanie vplyvu plánov a projektov na územia európskej sústavy chránených území. To môže byť súčasťou EIA, musí však spĺňať podmienky posudzovania vplyvov na európsku sústavu chránených území podľa </w:t>
      </w:r>
      <w:r w:rsidRPr="003C2782">
        <w:rPr>
          <w:rStyle w:val="PlaceholderText"/>
          <w:rFonts w:ascii="Book Antiqua" w:hAnsi="Book Antiqua"/>
          <w:color w:val="auto"/>
          <w:sz w:val="22"/>
          <w:szCs w:val="22"/>
        </w:rPr>
        <w:t>smernice Rady č. 92/43/EHS</w:t>
      </w:r>
      <w:r w:rsidRPr="003C2782">
        <w:rPr>
          <w:rFonts w:ascii="Book Antiqua" w:hAnsi="Book Antiqua"/>
          <w:sz w:val="22"/>
          <w:szCs w:val="22"/>
        </w:rPr>
        <w:t xml:space="preserve">. </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Medzi ne patrí podrobné posúdenie vplyvov na jednotlivé predmety ochrany a jej ciele obsahujúce úplné, presné a definitívne zistenia a závery, ktoré môžu odstrániť akúkoľvek dôvodnú vedeckú pochybnosť o týchto vplyvoch tak, ako je to uvedené v bode 44 rozsudku Súdneho dvora C-258/11.</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Dôsledkom doterajšieho postupu podľa zákona č. 24/2006 Z. z.  je, že plány a projekty sa posudzujú len všeobecne podľa požiadaviek zákona č. 24/2006 Z. z. bez spoľahlivého a podrobného poznania dopadov na chránené územia. Asi najabsurdnejším dôsledkom takéhoto právneho stavu je, že najrizikovejšie projekty sa ad hoc podrobujú procesu tzv. „dobrovoľného“ a často len dodatočného posúdenia vplyvov na európsku sústavu chránených území, spravidla podľa metodiky Ministerstva životného prostredia Českej republiky. </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 xml:space="preserve">Je neprijateľné, aby takéto závažné posudzovanie prebiehalo len na báze dobrovoľnosti a podľa právnych predpisov iného štátu. Keďže posledná schválená novela </w:t>
      </w:r>
      <w:r w:rsidRPr="003C2782" w:rsidR="00816D0A">
        <w:rPr>
          <w:rFonts w:ascii="Book Antiqua" w:hAnsi="Book Antiqua"/>
          <w:sz w:val="22"/>
          <w:szCs w:val="22"/>
        </w:rPr>
        <w:t xml:space="preserve">ZOPK </w:t>
      </w:r>
      <w:r w:rsidRPr="003C2782">
        <w:rPr>
          <w:rFonts w:ascii="Book Antiqua" w:hAnsi="Book Antiqua"/>
          <w:sz w:val="22"/>
          <w:szCs w:val="22"/>
        </w:rPr>
        <w:t xml:space="preserve">tento problém nerieši, treba jej príslušné ustanovenia upraviť tak, aby bolo už zo zákona jasné, ktoré projekty podliehajú posudzovaniu vplyvov na európsku sústavu chránených území (t. j. že to nie sú len tie, ktoré spĺňajú limity podľa zákona č. 24/2006 Z. z.) a že musia byť posúdené ich vplyvy na každý predmet a cieľ ochrany (čo zákon č. 24/2006 Z. z. nepredpokladá), aby sa nestávalo, že ich posúdenie bude len všeobecné a na základe tohto procesného nedostatku napadnuteľné. </w:t>
      </w:r>
    </w:p>
    <w:p w:rsidR="00175475" w:rsidRPr="003C2782" w:rsidP="00816D0A">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Takisto je potrebné upraviť, aby úrad mohol stanovisko k plánu alebo projektu vydať aj vtedy, ak ho navrhovateľ nepredloží na posúdenie, aby sa nestávalo, že v prípade takéhoto opomenutia navrhovateľa príslušný orgán nebude mať možnosť ho na to upozorniť v predstihu (skôr ako nesúlad napadne verejnosť, obec alebo iní zainteresovaní). Aj z týchto dôvodov navrhujeme doplniť súčasné znenie § 28 ZOPK.</w:t>
      </w:r>
    </w:p>
    <w:p w:rsidR="00175475" w:rsidRPr="003C2782" w:rsidP="00946D8D">
      <w:pPr>
        <w:bidi w:val="0"/>
        <w:spacing w:before="120" w:line="276" w:lineRule="auto"/>
        <w:jc w:val="both"/>
        <w:rPr>
          <w:rFonts w:ascii="Book Antiqua" w:hAnsi="Book Antiqua"/>
          <w:sz w:val="22"/>
          <w:szCs w:val="22"/>
          <w:u w:val="single"/>
        </w:rPr>
      </w:pPr>
      <w:r w:rsidRPr="003C2782" w:rsidR="00EC15D2">
        <w:rPr>
          <w:rFonts w:ascii="Book Antiqua" w:hAnsi="Book Antiqua"/>
          <w:sz w:val="22"/>
          <w:szCs w:val="22"/>
          <w:u w:val="single"/>
        </w:rPr>
        <w:t>K bodu 6</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Posledná schválená novela ZOPK špecifikovala výskum a jeho zameranie, ale nešpecifikovala pojem „vedecká činnosť“, takže hoci sa má táto činnosť podporovať, nie je zrejmé, o čo ide. Preto ju treba ozrejmiť rovnako, ako výskum. </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Spresnenie pojmu „výskum“ odkazom na príslušné právne normy patrí hneď do úvodného odseku 1 a tam by malo byť aj spresnenie pojmu „vedecká činnosť“. Na to sa zdá optimálny § 8 ods. 2 zákona č. 172/2005 Z. z. </w:t>
      </w:r>
      <w:r w:rsidRPr="003C2782">
        <w:rPr>
          <w:rFonts w:ascii="Book Antiqua" w:hAnsi="Book Antiqua" w:cs="Tahoma"/>
          <w:sz w:val="22"/>
          <w:szCs w:val="22"/>
        </w:rPr>
        <w:t>o organizácii štátnej podpory výskumu a vývoja a o doplnení zákona č. 575/2001 Z. z. o organizácii činnosti vlády a organizácii ústrednej štátnej správy v znení neskorších predpisov</w:t>
      </w:r>
      <w:r w:rsidRPr="003C2782">
        <w:rPr>
          <w:rFonts w:ascii="Book Antiqua" w:hAnsi="Book Antiqua"/>
          <w:bCs/>
          <w:sz w:val="22"/>
          <w:szCs w:val="22"/>
        </w:rPr>
        <w:t xml:space="preserve"> vymenúvajúci viaceré činnosti, respektíve služby, ktoré nemožno považovať za výskum, ale môžu poskytnúť užitočné podklady pre potreby ochrany prírody ako napríklad monitoring, zber a analýza dát a informácií.</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Navrhuje sa tiež vypustiť odseky 2 a 3, lebo sú duplicitné voči </w:t>
      </w:r>
      <w:r w:rsidRPr="003C2782" w:rsidR="00BC07D9">
        <w:rPr>
          <w:rFonts w:ascii="Book Antiqua" w:hAnsi="Book Antiqua"/>
          <w:bCs/>
          <w:sz w:val="22"/>
          <w:szCs w:val="22"/>
        </w:rPr>
        <w:t xml:space="preserve">už platným obmedzeniam v ZOPK. </w:t>
      </w:r>
      <w:r w:rsidRPr="003C2782">
        <w:rPr>
          <w:rFonts w:ascii="Book Antiqua" w:hAnsi="Book Antiqua"/>
          <w:bCs/>
          <w:sz w:val="22"/>
          <w:szCs w:val="22"/>
        </w:rPr>
        <w:t>Výskum by sa po prijatí navrhovaného znenia neúnosne zbyrokratizoval, pričom takýto návrh by mohol byť v rozpore s článkom 13 Charty základných práv Európskej únie (</w:t>
      </w:r>
      <w:r w:rsidRPr="003C2782">
        <w:rPr>
          <w:rFonts w:ascii="Book Antiqua" w:hAnsi="Book Antiqua"/>
          <w:sz w:val="22"/>
          <w:szCs w:val="22"/>
        </w:rPr>
        <w:t>2007/C 303/01</w:t>
      </w:r>
      <w:r w:rsidRPr="003C2782">
        <w:rPr>
          <w:rFonts w:ascii="Book Antiqua" w:hAnsi="Book Antiqua"/>
          <w:bCs/>
          <w:sz w:val="22"/>
          <w:szCs w:val="22"/>
        </w:rPr>
        <w:t>), ktorý hovorí, že umenie a vedecké bádanie sú slobodné. V praxi plne postačuje povinnosť výskumníkov rešpektovať obmedzenia pri vstupe na pozemky a pri zaobchádzaní s chránenými druhmi, aby nedochádzalo k ich rušeniu</w:t>
      </w:r>
      <w:r w:rsidRPr="003C2782" w:rsidR="00816D0A">
        <w:rPr>
          <w:rFonts w:ascii="Book Antiqua" w:hAnsi="Book Antiqua"/>
          <w:bCs/>
          <w:sz w:val="22"/>
          <w:szCs w:val="22"/>
        </w:rPr>
        <w:t>,</w:t>
      </w:r>
      <w:r w:rsidRPr="003C2782">
        <w:rPr>
          <w:rFonts w:ascii="Book Antiqua" w:hAnsi="Book Antiqua"/>
          <w:bCs/>
          <w:sz w:val="22"/>
          <w:szCs w:val="22"/>
        </w:rPr>
        <w:t xml:space="preserve"> či poškodeniu. Teda ak platí, že do niektorých území má voľný vstup každý a že neinvazívny výskum neohrozuje chránené druhy, tak takýto výskum nesmie byť obmedzovaný nad rámec Charty základných práv a iných platných právnych noriem. </w:t>
      </w:r>
    </w:p>
    <w:p w:rsidR="00175475" w:rsidRPr="003C2782" w:rsidP="00816D0A">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Problém doterajšej právnej úpravy je, že v niektorých skupinách živočíchov sú chránené takmer všetky druhy (obojživelníky, plazy, vtáky), takže výskumníci v tejto problematike sú tým obmedzovaní nad mieru obvyklú pri ostatných občanoch Slovenskej republiky. Len z dôvodu výskumu (hoci aj neinvazívneho) by totiž museli žiadať hneď dva druhy súhlasov, ktoré sa nevyžadujú od ostatných občanov, ktorí živočíchy len tak zo záľuby pozorujú, fotografujú a pod. Preto navrhujeme tento neodôvodnený rozdiel odstrániť a zároveň spresniť ustanovenia, upravujúce nakladanie s výsledkami výskumu, aby tí vlastníci pozemkov, ktorých sa výsledky môžu týkať, napríklad  možnými obmedzeniami, mali k ním včasný prístup a mohli si k nim pripraviť kvalifikované stanovisko.</w:t>
      </w:r>
    </w:p>
    <w:p w:rsidR="00175475" w:rsidRPr="003C2782" w:rsidP="00946D8D">
      <w:pPr>
        <w:bidi w:val="0"/>
        <w:spacing w:before="120" w:line="276" w:lineRule="auto"/>
        <w:jc w:val="both"/>
        <w:rPr>
          <w:rStyle w:val="PlaceholderText"/>
          <w:rFonts w:ascii="Book Antiqua" w:hAnsi="Book Antiqua"/>
          <w:color w:val="auto"/>
          <w:sz w:val="22"/>
          <w:szCs w:val="22"/>
          <w:u w:val="single"/>
        </w:rPr>
      </w:pPr>
      <w:r w:rsidRPr="003C2782" w:rsidR="00EC15D2">
        <w:rPr>
          <w:rStyle w:val="PlaceholderText"/>
          <w:rFonts w:ascii="Book Antiqua" w:hAnsi="Book Antiqua"/>
          <w:color w:val="auto"/>
          <w:sz w:val="22"/>
          <w:szCs w:val="22"/>
          <w:u w:val="single"/>
        </w:rPr>
        <w:t>K bodu 7</w:t>
      </w:r>
    </w:p>
    <w:p w:rsidR="00175475" w:rsidRPr="003C2782" w:rsidP="00816D0A">
      <w:pPr>
        <w:bidi w:val="0"/>
        <w:spacing w:before="120" w:line="276" w:lineRule="auto"/>
        <w:ind w:firstLine="708"/>
        <w:jc w:val="both"/>
        <w:rPr>
          <w:rFonts w:ascii="Book Antiqua" w:hAnsi="Book Antiqua"/>
          <w:bCs/>
          <w:sz w:val="22"/>
          <w:szCs w:val="22"/>
        </w:rPr>
      </w:pPr>
      <w:r w:rsidRPr="003C2782" w:rsidR="00841C45">
        <w:rPr>
          <w:rFonts w:ascii="Book Antiqua" w:hAnsi="Book Antiqua"/>
          <w:bCs/>
          <w:sz w:val="22"/>
          <w:szCs w:val="22"/>
        </w:rPr>
        <w:t>N</w:t>
      </w:r>
      <w:r w:rsidRPr="003C2782">
        <w:rPr>
          <w:rFonts w:ascii="Book Antiqua" w:hAnsi="Book Antiqua"/>
          <w:bCs/>
          <w:sz w:val="22"/>
          <w:szCs w:val="22"/>
        </w:rPr>
        <w:t xml:space="preserve">ovela ZOPK </w:t>
      </w:r>
      <w:r w:rsidRPr="003C2782" w:rsidR="00BC07D9">
        <w:rPr>
          <w:rFonts w:ascii="Book Antiqua" w:hAnsi="Book Antiqua"/>
          <w:bCs/>
          <w:sz w:val="22"/>
          <w:szCs w:val="22"/>
        </w:rPr>
        <w:t xml:space="preserve">schválená v podobe zákona </w:t>
      </w:r>
      <w:r w:rsidRPr="003C2782" w:rsidR="00841C45">
        <w:rPr>
          <w:rFonts w:ascii="Book Antiqua" w:hAnsi="Book Antiqua"/>
          <w:bCs/>
          <w:sz w:val="22"/>
          <w:szCs w:val="22"/>
        </w:rPr>
        <w:t xml:space="preserve">č. 506/2013 Z. z. </w:t>
      </w:r>
      <w:r w:rsidRPr="003C2782">
        <w:rPr>
          <w:rFonts w:ascii="Book Antiqua" w:hAnsi="Book Antiqua"/>
          <w:bCs/>
          <w:sz w:val="22"/>
          <w:szCs w:val="22"/>
        </w:rPr>
        <w:t>bola v rozpore s viacerými inými právnymi predpismi. Okrem toho, napríklad vo viacerých skupinách živočíchov, sú chránené takmer všetky druhy zistené na Slovensku (obojživelníky, plazy, vtáky). Orgán ochrany prírody by tak od zoológov skúmajúcich tieto živočíchy dostal neobmedzený prístup k ich novým údajom bez toho, aby na ich získanie prispel.</w:t>
      </w:r>
    </w:p>
    <w:p w:rsidR="00175475" w:rsidRPr="003C2782" w:rsidP="00841C45">
      <w:pPr>
        <w:bidi w:val="0"/>
        <w:spacing w:before="120" w:line="276" w:lineRule="auto"/>
        <w:ind w:firstLine="708"/>
        <w:jc w:val="both"/>
        <w:rPr>
          <w:rFonts w:ascii="Book Antiqua" w:hAnsi="Book Antiqua"/>
          <w:bCs/>
          <w:sz w:val="22"/>
          <w:szCs w:val="22"/>
        </w:rPr>
      </w:pPr>
      <w:r w:rsidRPr="003C2782">
        <w:rPr>
          <w:rFonts w:ascii="Book Antiqua" w:hAnsi="Book Antiqua"/>
          <w:bCs/>
          <w:sz w:val="22"/>
          <w:szCs w:val="22"/>
        </w:rPr>
        <w:t xml:space="preserve">Hoci sa </w:t>
      </w:r>
      <w:r w:rsidRPr="003C2782" w:rsidR="00BC07D9">
        <w:rPr>
          <w:rFonts w:ascii="Book Antiqua" w:hAnsi="Book Antiqua"/>
          <w:bCs/>
          <w:sz w:val="22"/>
          <w:szCs w:val="22"/>
        </w:rPr>
        <w:t>v tejto</w:t>
      </w:r>
      <w:r w:rsidRPr="003C2782" w:rsidR="00841C45">
        <w:rPr>
          <w:rFonts w:ascii="Book Antiqua" w:hAnsi="Book Antiqua"/>
          <w:bCs/>
          <w:sz w:val="22"/>
          <w:szCs w:val="22"/>
        </w:rPr>
        <w:t xml:space="preserve"> novele</w:t>
      </w:r>
      <w:r w:rsidRPr="003C2782">
        <w:rPr>
          <w:rFonts w:ascii="Book Antiqua" w:hAnsi="Book Antiqua"/>
          <w:bCs/>
          <w:sz w:val="22"/>
          <w:szCs w:val="22"/>
        </w:rPr>
        <w:t xml:space="preserve"> uvádzalo, že ostatné ustanovenia zákona č. 618/2003 Z. z. </w:t>
      </w:r>
      <w:r w:rsidRPr="003C2782">
        <w:rPr>
          <w:rFonts w:ascii="Book Antiqua" w:hAnsi="Book Antiqua" w:cs="Tahoma"/>
          <w:sz w:val="22"/>
          <w:szCs w:val="22"/>
        </w:rPr>
        <w:t xml:space="preserve">o autorskom práve a právach súvisiacich s autorským právom (autorský zákon) v znení neskorších predpisov týmto </w:t>
      </w:r>
      <w:r w:rsidRPr="003C2782">
        <w:rPr>
          <w:rFonts w:ascii="Book Antiqua" w:hAnsi="Book Antiqua"/>
          <w:bCs/>
          <w:sz w:val="22"/>
          <w:szCs w:val="22"/>
        </w:rPr>
        <w:t>nie sú dotknuté, už len povinnosť odovzdať výsle</w:t>
      </w:r>
      <w:r w:rsidRPr="003C2782" w:rsidR="00BC07D9">
        <w:rPr>
          <w:rFonts w:ascii="Book Antiqua" w:hAnsi="Book Antiqua"/>
          <w:bCs/>
          <w:sz w:val="22"/>
          <w:szCs w:val="22"/>
        </w:rPr>
        <w:t>dky výskumu sa zdá byť rozpore s § 17</w:t>
      </w:r>
      <w:r w:rsidRPr="003C2782">
        <w:rPr>
          <w:rFonts w:ascii="Book Antiqua" w:hAnsi="Book Antiqua"/>
          <w:bCs/>
          <w:sz w:val="22"/>
          <w:szCs w:val="22"/>
        </w:rPr>
        <w:t xml:space="preserve"> ods. 1 písm. d) tohto zákona, ktorý ustanovuje, že autor má právo na „nedotknuteľnosť svojho diela a manipuláciu s ním“. </w:t>
      </w:r>
    </w:p>
    <w:p w:rsidR="00175475" w:rsidRPr="003C2782" w:rsidP="00841C45">
      <w:pPr>
        <w:bidi w:val="0"/>
        <w:spacing w:before="120" w:line="276" w:lineRule="auto"/>
        <w:ind w:firstLine="708"/>
        <w:jc w:val="both"/>
        <w:rPr>
          <w:rFonts w:ascii="Book Antiqua" w:hAnsi="Book Antiqua"/>
          <w:sz w:val="22"/>
          <w:szCs w:val="22"/>
        </w:rPr>
      </w:pPr>
      <w:r w:rsidRPr="003C2782" w:rsidR="00BC07D9">
        <w:rPr>
          <w:rFonts w:ascii="Book Antiqua" w:hAnsi="Book Antiqua"/>
          <w:bCs/>
          <w:sz w:val="22"/>
          <w:szCs w:val="22"/>
        </w:rPr>
        <w:t xml:space="preserve">Navyše, </w:t>
      </w:r>
      <w:r w:rsidRPr="003C2782">
        <w:rPr>
          <w:rFonts w:ascii="Book Antiqua" w:hAnsi="Book Antiqua"/>
          <w:bCs/>
          <w:sz w:val="22"/>
          <w:szCs w:val="22"/>
        </w:rPr>
        <w:t xml:space="preserve">posledná schválená novela </w:t>
      </w:r>
      <w:r w:rsidRPr="003C2782" w:rsidR="00BC07D9">
        <w:rPr>
          <w:rFonts w:ascii="Book Antiqua" w:hAnsi="Book Antiqua"/>
          <w:bCs/>
          <w:sz w:val="22"/>
          <w:szCs w:val="22"/>
        </w:rPr>
        <w:t xml:space="preserve">je </w:t>
      </w:r>
      <w:r w:rsidRPr="003C2782">
        <w:rPr>
          <w:rFonts w:ascii="Book Antiqua" w:hAnsi="Book Antiqua"/>
          <w:bCs/>
          <w:sz w:val="22"/>
          <w:szCs w:val="22"/>
        </w:rPr>
        <w:t xml:space="preserve">podľa všetkého aj v rozpore s článkom 5 </w:t>
      </w:r>
      <w:r w:rsidRPr="003C2782">
        <w:rPr>
          <w:rStyle w:val="st"/>
          <w:rFonts w:ascii="Book Antiqua" w:hAnsi="Book Antiqua" w:cs="Arial"/>
          <w:sz w:val="22"/>
          <w:szCs w:val="22"/>
        </w:rPr>
        <w:t xml:space="preserve">smernice Európskeho parlamentu a Rady </w:t>
      </w:r>
      <w:r w:rsidRPr="003C2782">
        <w:rPr>
          <w:rStyle w:val="Emphasis"/>
          <w:rFonts w:ascii="Book Antiqua" w:hAnsi="Book Antiqua" w:cs="Arial"/>
          <w:i w:val="0"/>
          <w:iCs/>
          <w:sz w:val="22"/>
          <w:szCs w:val="22"/>
        </w:rPr>
        <w:t>9/96</w:t>
      </w:r>
      <w:r w:rsidRPr="003C2782">
        <w:rPr>
          <w:rStyle w:val="st"/>
          <w:rFonts w:ascii="Book Antiqua" w:hAnsi="Book Antiqua" w:cs="Arial"/>
          <w:sz w:val="22"/>
          <w:szCs w:val="22"/>
        </w:rPr>
        <w:t>/</w:t>
      </w:r>
      <w:r w:rsidRPr="003C2782">
        <w:rPr>
          <w:rStyle w:val="Emphasis"/>
          <w:rFonts w:ascii="Book Antiqua" w:hAnsi="Book Antiqua" w:cs="Arial"/>
          <w:i w:val="0"/>
          <w:iCs/>
          <w:sz w:val="22"/>
          <w:szCs w:val="22"/>
        </w:rPr>
        <w:t>ES</w:t>
      </w:r>
      <w:r w:rsidRPr="003C2782">
        <w:rPr>
          <w:rStyle w:val="Emphasis"/>
          <w:rFonts w:ascii="Book Antiqua" w:hAnsi="Book Antiqua" w:cs="Arial"/>
          <w:b/>
          <w:i w:val="0"/>
          <w:iCs/>
          <w:sz w:val="22"/>
          <w:szCs w:val="22"/>
        </w:rPr>
        <w:t xml:space="preserve"> </w:t>
      </w:r>
      <w:r w:rsidRPr="003C2782">
        <w:rPr>
          <w:rStyle w:val="st"/>
          <w:rFonts w:ascii="Book Antiqua" w:hAnsi="Book Antiqua" w:cs="Arial"/>
          <w:sz w:val="22"/>
          <w:szCs w:val="22"/>
        </w:rPr>
        <w:t>o právnej ochrane databáz</w:t>
      </w:r>
      <w:r w:rsidRPr="003C2782">
        <w:rPr>
          <w:rFonts w:ascii="Book Antiqua" w:hAnsi="Book Antiqua"/>
          <w:bCs/>
          <w:sz w:val="22"/>
          <w:szCs w:val="22"/>
        </w:rPr>
        <w:t>, ktorý ustanovuje, že</w:t>
      </w:r>
      <w:r w:rsidRPr="003C2782">
        <w:rPr>
          <w:rFonts w:ascii="Book Antiqua" w:hAnsi="Book Antiqua"/>
          <w:sz w:val="22"/>
          <w:szCs w:val="22"/>
        </w:rPr>
        <w:t xml:space="preserve"> na preklad, zmeny, usporiadanie a všetky ďalšie úpravy databázy má výhradné právo zhotoviteľ databázy, rovnako ako podľa písm. a) tohto článku má výhradné právo aj na rozmnožovanie databázy alebo jej časti akýmikoľvek prostriedkami.</w:t>
      </w:r>
    </w:p>
    <w:p w:rsidR="00175475" w:rsidRPr="003C2782" w:rsidP="00841C45">
      <w:pPr>
        <w:bidi w:val="0"/>
        <w:spacing w:before="120" w:line="276" w:lineRule="auto"/>
        <w:ind w:firstLine="708"/>
        <w:jc w:val="both"/>
        <w:rPr>
          <w:rFonts w:ascii="Book Antiqua" w:hAnsi="Book Antiqua"/>
          <w:sz w:val="22"/>
          <w:szCs w:val="22"/>
        </w:rPr>
      </w:pPr>
      <w:r w:rsidRPr="003C2782">
        <w:rPr>
          <w:rFonts w:ascii="Book Antiqua" w:hAnsi="Book Antiqua"/>
          <w:sz w:val="22"/>
          <w:szCs w:val="22"/>
        </w:rPr>
        <w:t>Preto zákonom nemožno ustanoviť povinnosti oprávnenej osobe odovzdávať</w:t>
      </w:r>
      <w:r w:rsidRPr="003C2782" w:rsidR="00BC07D9">
        <w:rPr>
          <w:rFonts w:ascii="Book Antiqua" w:hAnsi="Book Antiqua"/>
          <w:sz w:val="22"/>
          <w:szCs w:val="22"/>
        </w:rPr>
        <w:t xml:space="preserve"> výsledky svojho výskumu</w:t>
      </w:r>
      <w:r w:rsidRPr="003C2782" w:rsidR="00B260D6">
        <w:rPr>
          <w:rFonts w:ascii="Book Antiqua" w:hAnsi="Book Antiqua"/>
          <w:sz w:val="22"/>
          <w:szCs w:val="22"/>
        </w:rPr>
        <w:t>,</w:t>
      </w:r>
      <w:r w:rsidRPr="003C2782" w:rsidR="00BC07D9">
        <w:rPr>
          <w:rFonts w:ascii="Book Antiqua" w:hAnsi="Book Antiqua"/>
          <w:sz w:val="22"/>
          <w:szCs w:val="22"/>
        </w:rPr>
        <w:t xml:space="preserve"> najmä vtedy</w:t>
      </w:r>
      <w:r w:rsidRPr="003C2782">
        <w:rPr>
          <w:rFonts w:ascii="Book Antiqua" w:hAnsi="Book Antiqua"/>
          <w:sz w:val="22"/>
          <w:szCs w:val="22"/>
        </w:rPr>
        <w:t xml:space="preserve">, ak ho realizuje samostatne. Zákonom však možno upraviť, ako má o týchto výsledkoch informovať príslušný orgán tak, aby ich mohol použiť pre potreby ochrany prírody a krajiny. Uvedené sa navrhuje riešiť práve v novele tak, aby orgán ochrany prírody dostal informáciu kde, kedy a ako budú výsledky publikované, resp. uschované, aby sa k nim v prípade potreby mohol dostať a aby o tom mohol včas poskytnúť informáciu tomu, kto by mohol byť obmedzený prípadným rozhodnutím orgánu ochrany prírody založeným na získaných výsledkoch. Včasné informovanie tak poskytne vlastníkom a užívateľom pozemkov dostatok možností na prípravu svojho stanoviska. </w:t>
      </w:r>
    </w:p>
    <w:p w:rsidR="00175475" w:rsidRPr="003C2782" w:rsidP="00946D8D">
      <w:pPr>
        <w:bidi w:val="0"/>
        <w:spacing w:before="120" w:line="276" w:lineRule="auto"/>
        <w:jc w:val="both"/>
        <w:rPr>
          <w:rStyle w:val="PlaceholderText"/>
          <w:rFonts w:ascii="Book Antiqua" w:hAnsi="Book Antiqua"/>
          <w:color w:val="auto"/>
          <w:sz w:val="22"/>
          <w:szCs w:val="22"/>
          <w:u w:val="single"/>
        </w:rPr>
      </w:pPr>
      <w:r w:rsidRPr="003C2782" w:rsidR="00EC15D2">
        <w:rPr>
          <w:rStyle w:val="PlaceholderText"/>
          <w:rFonts w:ascii="Book Antiqua" w:hAnsi="Book Antiqua"/>
          <w:color w:val="auto"/>
          <w:sz w:val="22"/>
          <w:szCs w:val="22"/>
          <w:u w:val="single"/>
        </w:rPr>
        <w:t>K bodu 8</w:t>
      </w:r>
    </w:p>
    <w:p w:rsidR="00175475" w:rsidRPr="003C2782" w:rsidP="00841C45">
      <w:pPr>
        <w:pStyle w:val="BodyText2"/>
        <w:bidi w:val="0"/>
        <w:spacing w:line="276" w:lineRule="auto"/>
        <w:ind w:firstLine="708"/>
        <w:rPr>
          <w:rFonts w:ascii="Book Antiqua" w:hAnsi="Book Antiqua"/>
          <w:sz w:val="22"/>
          <w:szCs w:val="22"/>
        </w:rPr>
      </w:pPr>
      <w:r w:rsidRPr="003C2782">
        <w:rPr>
          <w:rFonts w:ascii="Book Antiqua" w:hAnsi="Book Antiqua"/>
          <w:sz w:val="22"/>
          <w:szCs w:val="22"/>
        </w:rPr>
        <w:t xml:space="preserve">Nedostatkom novely ZOPK </w:t>
      </w:r>
      <w:r w:rsidRPr="003C2782" w:rsidR="00B260D6">
        <w:rPr>
          <w:rFonts w:ascii="Book Antiqua" w:hAnsi="Book Antiqua"/>
          <w:sz w:val="22"/>
          <w:szCs w:val="22"/>
        </w:rPr>
        <w:t xml:space="preserve">schválenej v podobe zákona </w:t>
      </w:r>
      <w:r w:rsidRPr="003C2782" w:rsidR="00841C45">
        <w:rPr>
          <w:rFonts w:ascii="Book Antiqua" w:hAnsi="Book Antiqua"/>
          <w:sz w:val="22"/>
          <w:szCs w:val="22"/>
        </w:rPr>
        <w:t xml:space="preserve">č. 506/2013 Z. z. </w:t>
      </w:r>
      <w:r w:rsidRPr="003C2782">
        <w:rPr>
          <w:rFonts w:ascii="Book Antiqua" w:hAnsi="Book Antiqua"/>
          <w:sz w:val="22"/>
          <w:szCs w:val="22"/>
        </w:rPr>
        <w:t xml:space="preserve">bolo to, že pri vyhlasovaní chránených území by príslušný orgán vôbec nemohol využívať tie výsledky výskumu, ktoré neboli zbierané výslovne pre potreby ochrany prírody a krajiny, a teda k nim nemusí existovať súhlas orgánu ochrany prírody a vlastníka, hoci môžu mať veľkú informačnú a prírodoochrannú hodnotu a nemusia viesť k žiadnym problémom s vlastníkmi. </w:t>
      </w:r>
    </w:p>
    <w:p w:rsidR="00175475" w:rsidRPr="003C2782" w:rsidP="00841C45">
      <w:pPr>
        <w:pStyle w:val="BodyText2"/>
        <w:bidi w:val="0"/>
        <w:spacing w:line="276" w:lineRule="auto"/>
        <w:ind w:firstLine="708"/>
        <w:rPr>
          <w:rFonts w:ascii="Book Antiqua" w:hAnsi="Book Antiqua"/>
          <w:sz w:val="22"/>
          <w:szCs w:val="22"/>
        </w:rPr>
      </w:pPr>
      <w:r w:rsidRPr="003C2782" w:rsidR="00841C45">
        <w:rPr>
          <w:rFonts w:ascii="Book Antiqua" w:hAnsi="Book Antiqua"/>
          <w:sz w:val="22"/>
          <w:szCs w:val="22"/>
        </w:rPr>
        <w:t>Súčasné znenie skrýva</w:t>
      </w:r>
      <w:r w:rsidRPr="003C2782">
        <w:rPr>
          <w:rFonts w:ascii="Book Antiqua" w:hAnsi="Book Antiqua"/>
          <w:sz w:val="22"/>
          <w:szCs w:val="22"/>
        </w:rPr>
        <w:t xml:space="preserve"> dokonca aj retroaktívne prvky, a to nielen preto, že z procesného hľadiska neexistuje v legislatíve nástroj, ktorý by umožnil takýto súhlas vlastníka alebo orgánu ochrany prírody udeliť spätne. Preto by mal mať príslušný orgán možnosť rozhodnúť aj inak, zvlášť, ak sa na použitie výsledkov získa napríklad dodatočný súhlas vlastníkov. </w:t>
      </w:r>
    </w:p>
    <w:p w:rsidR="00175475" w:rsidRPr="003C2782" w:rsidP="00841C45">
      <w:pPr>
        <w:pStyle w:val="BodyText2"/>
        <w:bidi w:val="0"/>
        <w:spacing w:line="276" w:lineRule="auto"/>
        <w:ind w:firstLine="708"/>
        <w:rPr>
          <w:rFonts w:ascii="Book Antiqua" w:hAnsi="Book Antiqua"/>
          <w:sz w:val="22"/>
          <w:szCs w:val="22"/>
        </w:rPr>
      </w:pPr>
      <w:r w:rsidRPr="003C2782" w:rsidR="00841C45">
        <w:rPr>
          <w:rFonts w:ascii="Book Antiqua" w:hAnsi="Book Antiqua"/>
          <w:sz w:val="22"/>
          <w:szCs w:val="22"/>
        </w:rPr>
        <w:t>Vďaka nášmu</w:t>
      </w:r>
      <w:r w:rsidRPr="003C2782">
        <w:rPr>
          <w:rFonts w:ascii="Book Antiqua" w:hAnsi="Book Antiqua"/>
          <w:sz w:val="22"/>
          <w:szCs w:val="22"/>
        </w:rPr>
        <w:t xml:space="preserve"> návrhu sa umožní využiť staršie výsledky pri prehodnocovaní území. Preto navrhujeme doplniť slovné spojenie „ak orgán </w:t>
      </w:r>
      <w:r w:rsidRPr="003C2782" w:rsidR="0043754C">
        <w:rPr>
          <w:rFonts w:ascii="Book Antiqua" w:hAnsi="Book Antiqua"/>
          <w:sz w:val="22"/>
          <w:szCs w:val="22"/>
        </w:rPr>
        <w:t>ochrany prírody nerozhodne inak“.</w:t>
      </w:r>
    </w:p>
    <w:p w:rsidR="00175475" w:rsidRPr="003C2782" w:rsidP="00841C45">
      <w:pPr>
        <w:pStyle w:val="BodyText2"/>
        <w:bidi w:val="0"/>
        <w:spacing w:line="276" w:lineRule="auto"/>
        <w:ind w:firstLine="708"/>
        <w:rPr>
          <w:rFonts w:ascii="Book Antiqua" w:hAnsi="Book Antiqua"/>
          <w:sz w:val="22"/>
          <w:szCs w:val="22"/>
        </w:rPr>
      </w:pPr>
      <w:r w:rsidRPr="003C2782">
        <w:rPr>
          <w:rFonts w:ascii="Book Antiqua" w:hAnsi="Book Antiqua"/>
          <w:sz w:val="22"/>
          <w:szCs w:val="22"/>
        </w:rPr>
        <w:t>Okrem toho z dôvodu rozporu s inými právnymi normami</w:t>
      </w:r>
      <w:r w:rsidRPr="003C2782" w:rsidR="001379E7">
        <w:rPr>
          <w:rFonts w:ascii="Book Antiqua" w:hAnsi="Book Antiqua"/>
          <w:sz w:val="22"/>
          <w:szCs w:val="22"/>
        </w:rPr>
        <w:t>, predovšetkým  európskymi,</w:t>
      </w:r>
      <w:r w:rsidRPr="003C2782">
        <w:rPr>
          <w:rFonts w:ascii="Book Antiqua" w:hAnsi="Book Antiqua"/>
          <w:sz w:val="22"/>
          <w:szCs w:val="22"/>
        </w:rPr>
        <w:t xml:space="preserve"> by sa obmedzenie použitia malo zakladať predovšetkým na tom, či výsledky boli platne zverejnené alebo oznámené zákonným postupom a či ten, koho sa týkajú, mal k nim prístup, a nesmie naopak obmedzovať práva toho, kto výskum uskutočnil, ani práva verejnosti na použitie výsledkov výskumu. </w:t>
      </w:r>
    </w:p>
    <w:p w:rsidR="00175475" w:rsidRPr="003C2782" w:rsidP="001379E7">
      <w:pPr>
        <w:pStyle w:val="BodyText2"/>
        <w:bidi w:val="0"/>
        <w:spacing w:line="276" w:lineRule="auto"/>
        <w:ind w:firstLine="708"/>
        <w:rPr>
          <w:rStyle w:val="PlaceholderText"/>
          <w:rFonts w:ascii="Book Antiqua" w:hAnsi="Book Antiqua"/>
          <w:color w:val="auto"/>
          <w:sz w:val="22"/>
          <w:szCs w:val="22"/>
        </w:rPr>
      </w:pPr>
      <w:r w:rsidRPr="003C2782">
        <w:rPr>
          <w:rFonts w:ascii="Book Antiqua" w:hAnsi="Book Antiqua"/>
          <w:sz w:val="22"/>
          <w:szCs w:val="22"/>
        </w:rPr>
        <w:t>Nájsť rovnováhu medzi možnými zásahmi do práv vlastníkov, výskumníkov a širšej verejnosti nie je jednoduché, jednoznačne však treba okrem väčšej možnosti prístupu vlastníkov k údajom zachovať aj práva verejnosti, čo nami navrhnutá úprava znenia tohto zákonného ustanovenia umožní, ak sa zavedie vykonateľný a účinný systém informovania o výsledkoch výskumu.</w:t>
      </w:r>
    </w:p>
    <w:p w:rsidR="00257016" w:rsidRPr="003C2782" w:rsidP="00946D8D">
      <w:pPr>
        <w:bidi w:val="0"/>
        <w:spacing w:before="120" w:line="276" w:lineRule="auto"/>
        <w:jc w:val="both"/>
        <w:rPr>
          <w:rFonts w:ascii="Book Antiqua" w:hAnsi="Book Antiqua"/>
          <w:b/>
          <w:sz w:val="22"/>
          <w:szCs w:val="22"/>
        </w:rPr>
      </w:pPr>
    </w:p>
    <w:p w:rsidR="00257016" w:rsidRPr="003C2782" w:rsidP="00946D8D">
      <w:pPr>
        <w:bidi w:val="0"/>
        <w:spacing w:before="120" w:line="276" w:lineRule="auto"/>
        <w:jc w:val="both"/>
        <w:rPr>
          <w:rFonts w:ascii="Book Antiqua" w:hAnsi="Book Antiqua"/>
          <w:b/>
          <w:sz w:val="22"/>
          <w:szCs w:val="22"/>
        </w:rPr>
      </w:pPr>
      <w:r w:rsidRPr="003C2782">
        <w:rPr>
          <w:rFonts w:ascii="Book Antiqua" w:hAnsi="Book Antiqua"/>
          <w:b/>
          <w:sz w:val="22"/>
          <w:szCs w:val="22"/>
        </w:rPr>
        <w:t>K Čl. II</w:t>
      </w:r>
    </w:p>
    <w:p w:rsidR="002C60F8"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3C2782" w:rsidR="00AC6FEC">
        <w:rPr>
          <w:rFonts w:ascii="Book Antiqua" w:hAnsi="Book Antiqua"/>
          <w:bCs/>
          <w:sz w:val="22"/>
          <w:szCs w:val="22"/>
        </w:rPr>
        <w:t xml:space="preserve">Navrhuje sa účinnosť predkladaného návrhu zákona so zohľadnením potrebnej </w:t>
      </w:r>
      <w:r w:rsidRPr="003C2782">
        <w:rPr>
          <w:rFonts w:ascii="Book Antiqua" w:hAnsi="Book Antiqua"/>
          <w:bCs/>
          <w:sz w:val="22"/>
          <w:szCs w:val="22"/>
        </w:rPr>
        <w:t xml:space="preserve">dĺžky </w:t>
      </w:r>
      <w:r w:rsidRPr="003C2782" w:rsidR="00AC6FEC">
        <w:rPr>
          <w:rFonts w:ascii="Book Antiqua" w:hAnsi="Book Antiqua"/>
          <w:bCs/>
          <w:sz w:val="22"/>
          <w:szCs w:val="22"/>
        </w:rPr>
        <w:t>legisvakančnej lehoty na</w:t>
      </w:r>
      <w:r w:rsidRPr="003C2782" w:rsidR="00AC6FEC">
        <w:rPr>
          <w:rFonts w:ascii="Book Antiqua" w:hAnsi="Book Antiqua"/>
          <w:sz w:val="22"/>
          <w:szCs w:val="22"/>
        </w:rPr>
        <w:t xml:space="preserve"> </w:t>
      </w:r>
      <w:r w:rsidR="000C7B99">
        <w:rPr>
          <w:rFonts w:ascii="Book Antiqua" w:hAnsi="Book Antiqua"/>
          <w:sz w:val="22"/>
          <w:szCs w:val="22"/>
        </w:rPr>
        <w:t>1. januára 2015</w:t>
      </w:r>
      <w:r w:rsidRPr="003C2782" w:rsidR="005B52EF">
        <w:rPr>
          <w:rFonts w:ascii="Book Antiqua" w:hAnsi="Book Antiqua"/>
          <w:sz w:val="22"/>
          <w:szCs w:val="22"/>
        </w:rPr>
        <w:t>.</w:t>
      </w: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43754C" w:rsidRPr="003C2782" w:rsidP="0043754C">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EC15D2" w:rsidRPr="003C2782" w:rsidP="00EC15D2">
      <w:pPr>
        <w:pStyle w:val="NormalWeb"/>
        <w:bidi w:val="0"/>
        <w:spacing w:before="120" w:beforeAutospacing="0" w:after="0" w:afterAutospacing="0" w:line="276" w:lineRule="auto"/>
        <w:jc w:val="center"/>
        <w:rPr>
          <w:rFonts w:ascii="Book Antiqua" w:hAnsi="Book Antiqua"/>
          <w:sz w:val="22"/>
          <w:szCs w:val="22"/>
        </w:rPr>
      </w:pPr>
    </w:p>
    <w:p w:rsidR="002C60F8" w:rsidRPr="003C2782" w:rsidP="00EC15D2">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caps/>
          <w:spacing w:val="30"/>
          <w:sz w:val="22"/>
          <w:szCs w:val="22"/>
        </w:rPr>
        <w:t>DOLOŽKA ZLUČITEĽNOSTI</w:t>
      </w:r>
    </w:p>
    <w:p w:rsidR="002C60F8" w:rsidRPr="003C2782" w:rsidP="002C60F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sz w:val="22"/>
          <w:szCs w:val="22"/>
        </w:rPr>
        <w:t>návrhu zákona</w:t>
      </w:r>
      <w:r w:rsidRPr="003C2782">
        <w:rPr>
          <w:rFonts w:ascii="Book Antiqua" w:hAnsi="Book Antiqua"/>
          <w:sz w:val="22"/>
          <w:szCs w:val="22"/>
        </w:rPr>
        <w:t xml:space="preserve"> </w:t>
      </w:r>
      <w:r w:rsidRPr="003C2782">
        <w:rPr>
          <w:rFonts w:ascii="Book Antiqua" w:hAnsi="Book Antiqua"/>
          <w:b/>
          <w:bCs/>
          <w:sz w:val="22"/>
          <w:szCs w:val="22"/>
        </w:rPr>
        <w:t>s právom Európskej únie</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sz w:val="22"/>
          <w:szCs w:val="22"/>
        </w:rPr>
        <w:t> </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1. Navrhovateľ zákona:</w:t>
      </w:r>
      <w:r w:rsidRPr="003C2782">
        <w:rPr>
          <w:rFonts w:ascii="Book Antiqua" w:hAnsi="Book Antiqua"/>
          <w:sz w:val="22"/>
          <w:szCs w:val="22"/>
        </w:rPr>
        <w:t xml:space="preserve"> poslanci Národnej rady Slovenskej republiky Mikuláš Huba, Ján Mičovský a Martin Fecko</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2. Názov návrhu zákona:</w:t>
      </w:r>
      <w:r w:rsidRPr="003C2782">
        <w:rPr>
          <w:rFonts w:ascii="Book Antiqua" w:hAnsi="Book Antiqua"/>
          <w:sz w:val="22"/>
          <w:szCs w:val="22"/>
        </w:rPr>
        <w:t xml:space="preserve">  návrh zákona, ktorým sa mení a dopĺňa zákon č. 543/2002 Z. z. o ochrane prírody a krajiny v znení neskorších predpisov</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
          <w:bCs/>
          <w:sz w:val="22"/>
          <w:szCs w:val="22"/>
        </w:rPr>
        <w:t xml:space="preserve">3. Predmet návrhu zákona: </w:t>
      </w:r>
    </w:p>
    <w:p w:rsidR="002C60F8" w:rsidRPr="003C2782" w:rsidP="002C60F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3C2782">
        <w:rPr>
          <w:rFonts w:ascii="Book Antiqua" w:hAnsi="Book Antiqua"/>
          <w:bCs/>
          <w:sz w:val="22"/>
          <w:szCs w:val="22"/>
        </w:rPr>
        <w:t>je upravený v primárnom práve Európskej únie, a to v článku 4 ods. 2 písm. e) v spojení s článkami 191 až 193 (hlava XX – Životné prostredie) a v článku 114 (aproximácia práva) Zmluvy o fungovaní Európskej únie,</w:t>
      </w:r>
    </w:p>
    <w:p w:rsidR="002C60F8" w:rsidRPr="003C2782" w:rsidP="002C60F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3C2782">
        <w:rPr>
          <w:rFonts w:ascii="Book Antiqua" w:hAnsi="Book Antiqua"/>
          <w:bCs/>
          <w:sz w:val="22"/>
          <w:szCs w:val="22"/>
        </w:rPr>
        <w:t>je upravený v sekundárnom práve Európskej únie, a to v:</w:t>
      </w:r>
    </w:p>
    <w:p w:rsidR="002C60F8" w:rsidRPr="003C2782" w:rsidP="002C60F8">
      <w:pPr>
        <w:pStyle w:val="NormalWeb"/>
        <w:numPr>
          <w:numId w:val="25"/>
        </w:numPr>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Cs/>
          <w:sz w:val="22"/>
          <w:szCs w:val="22"/>
        </w:rPr>
        <w:t xml:space="preserve"> smernici </w:t>
      </w:r>
      <w:r w:rsidRPr="003C2782">
        <w:rPr>
          <w:rFonts w:ascii="Book Antiqua" w:hAnsi="Book Antiqua"/>
          <w:sz w:val="22"/>
          <w:szCs w:val="22"/>
        </w:rPr>
        <w:t>Rady 92/43/EHS zo dňa 21. mája 1992 o ochrane prirodzených biotopov a voľne žijúcich živočíchov a rastlín (Mimoriadne vydanie Ú. v. EÚ, kap. 15/zv. 2) v platnom znení (ďalej len „smernica o biotopoch“)</w:t>
      </w:r>
      <w:r w:rsidRPr="003C2782" w:rsidR="00920789">
        <w:rPr>
          <w:rFonts w:ascii="Book Antiqua" w:hAnsi="Book Antiqua"/>
          <w:bCs/>
          <w:sz w:val="22"/>
          <w:szCs w:val="22"/>
        </w:rPr>
        <w:t xml:space="preserve"> </w:t>
      </w:r>
      <w:r w:rsidRPr="003C2782" w:rsidR="008E48A1">
        <w:rPr>
          <w:rFonts w:ascii="Book Antiqua" w:hAnsi="Book Antiqua"/>
          <w:bCs/>
          <w:sz w:val="22"/>
          <w:szCs w:val="22"/>
        </w:rPr>
        <w:t>– osobitne článok 1 písm. b), článok</w:t>
      </w:r>
      <w:r w:rsidRPr="003C2782" w:rsidR="007D000A">
        <w:rPr>
          <w:rFonts w:ascii="Book Antiqua" w:hAnsi="Book Antiqua"/>
          <w:bCs/>
          <w:sz w:val="22"/>
          <w:szCs w:val="22"/>
        </w:rPr>
        <w:t xml:space="preserve"> 6.</w:t>
      </w:r>
    </w:p>
    <w:p w:rsidR="002C60F8" w:rsidRPr="001F5153" w:rsidP="002C60F8">
      <w:pPr>
        <w:pStyle w:val="NormalWeb"/>
        <w:numPr>
          <w:numId w:val="25"/>
        </w:numPr>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sz w:val="22"/>
          <w:szCs w:val="22"/>
        </w:rPr>
        <w:t xml:space="preserve"> smernici </w:t>
      </w:r>
      <w:r w:rsidRPr="001F5153">
        <w:rPr>
          <w:rFonts w:ascii="Book Antiqua" w:hAnsi="Book Antiqua"/>
          <w:sz w:val="22"/>
          <w:szCs w:val="22"/>
        </w:rPr>
        <w:t>Rady a Európskeho parlamentu č. 9/96/ES o právnej ochrane databáz (ďal</w:t>
      </w:r>
      <w:r w:rsidRPr="001F5153" w:rsidR="00920789">
        <w:rPr>
          <w:rFonts w:ascii="Book Antiqua" w:hAnsi="Book Antiqua"/>
          <w:sz w:val="22"/>
          <w:szCs w:val="22"/>
        </w:rPr>
        <w:t xml:space="preserve">ej len „smernica o databázach“) </w:t>
      </w:r>
      <w:r w:rsidRPr="001F5153" w:rsidR="00920789">
        <w:rPr>
          <w:rFonts w:ascii="Book Antiqua" w:hAnsi="Book Antiqua"/>
          <w:bCs/>
          <w:sz w:val="22"/>
          <w:szCs w:val="22"/>
        </w:rPr>
        <w:t xml:space="preserve">– osobitne článok </w:t>
      </w:r>
      <w:r w:rsidRPr="001F5153" w:rsidR="007D000A">
        <w:rPr>
          <w:rFonts w:ascii="Book Antiqua" w:hAnsi="Book Antiqua"/>
          <w:bCs/>
          <w:sz w:val="22"/>
          <w:szCs w:val="22"/>
        </w:rPr>
        <w:t>5.</w:t>
      </w:r>
    </w:p>
    <w:p w:rsidR="002C60F8" w:rsidRPr="001F5153" w:rsidP="002C60F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1F5153">
        <w:rPr>
          <w:rFonts w:ascii="Book Antiqua" w:hAnsi="Book Antiqua"/>
          <w:sz w:val="22"/>
          <w:szCs w:val="22"/>
        </w:rPr>
        <w:t xml:space="preserve"> </w:t>
      </w:r>
      <w:r w:rsidRPr="001F5153">
        <w:rPr>
          <w:rFonts w:ascii="Book Antiqua" w:hAnsi="Book Antiqua"/>
          <w:bCs/>
          <w:sz w:val="22"/>
          <w:szCs w:val="22"/>
        </w:rPr>
        <w:t>je obsiahnutý v judikatúre Súdneho dvora Európskej únie, a to napríklad v:</w:t>
      </w:r>
    </w:p>
    <w:p w:rsidR="00072EFB" w:rsidRPr="003C2782" w:rsidP="001F5153">
      <w:pPr>
        <w:pStyle w:val="NormalWeb"/>
        <w:bidi w:val="0"/>
        <w:spacing w:before="120" w:beforeAutospacing="0" w:after="0" w:afterAutospacing="0" w:line="276" w:lineRule="auto"/>
        <w:ind w:left="1418" w:hanging="284"/>
        <w:jc w:val="both"/>
        <w:rPr>
          <w:rFonts w:ascii="Book Antiqua" w:hAnsi="Book Antiqua"/>
          <w:bCs/>
          <w:sz w:val="22"/>
          <w:szCs w:val="22"/>
          <w:highlight w:val="yellow"/>
        </w:rPr>
      </w:pPr>
      <w:r w:rsidRPr="001F5153" w:rsidR="001F5153">
        <w:rPr>
          <w:rFonts w:ascii="Book Antiqua" w:hAnsi="Book Antiqua"/>
          <w:bCs/>
          <w:sz w:val="22"/>
          <w:szCs w:val="22"/>
        </w:rPr>
        <w:t>-</w:t>
      </w:r>
      <w:r w:rsidR="001F5153">
        <w:rPr>
          <w:rFonts w:ascii="Book Antiqua" w:hAnsi="Book Antiqua"/>
          <w:bCs/>
          <w:sz w:val="22"/>
          <w:szCs w:val="22"/>
        </w:rPr>
        <w:t xml:space="preserve">  </w:t>
        <w:tab/>
      </w:r>
      <w:r w:rsidRPr="001F5153" w:rsidR="002C60F8">
        <w:rPr>
          <w:rFonts w:ascii="Book Antiqua" w:hAnsi="Book Antiqua"/>
          <w:bCs/>
          <w:sz w:val="22"/>
          <w:szCs w:val="22"/>
        </w:rPr>
        <w:t xml:space="preserve">rozsudku Súdneho dvora EÚ C-258/11 vo veci Komisia / Írsko </w:t>
      </w:r>
      <w:r w:rsidRPr="001F5153" w:rsidR="00920789">
        <w:rPr>
          <w:rFonts w:ascii="Book Antiqua" w:hAnsi="Book Antiqua"/>
          <w:sz w:val="22"/>
          <w:szCs w:val="22"/>
        </w:rPr>
        <w:t xml:space="preserve">[2013] – </w:t>
      </w:r>
      <w:r w:rsidRPr="001F5153">
        <w:rPr>
          <w:rFonts w:ascii="Book Antiqua" w:hAnsi="Book Antiqua"/>
          <w:sz w:val="22"/>
          <w:szCs w:val="22"/>
        </w:rPr>
        <w:t>Súdny dvor v tejto veci</w:t>
      </w:r>
      <w:r w:rsidRPr="003C2782">
        <w:rPr>
          <w:rFonts w:ascii="Book Antiqua" w:hAnsi="Book Antiqua"/>
          <w:sz w:val="22"/>
          <w:szCs w:val="22"/>
        </w:rPr>
        <w:t xml:space="preserve"> podal výklad Čl. 6 ods. 3 smernice </w:t>
      </w:r>
      <w:r w:rsidRPr="003C2782" w:rsidR="00EB38EE">
        <w:rPr>
          <w:rFonts w:ascii="Book Antiqua" w:hAnsi="Book Antiqua"/>
          <w:sz w:val="22"/>
          <w:szCs w:val="22"/>
        </w:rPr>
        <w:t>o biotopoch, ktorá</w:t>
      </w:r>
      <w:r w:rsidRPr="003C2782">
        <w:rPr>
          <w:rFonts w:ascii="Book Antiqua" w:hAnsi="Book Antiqua"/>
          <w:sz w:val="22"/>
          <w:szCs w:val="22"/>
        </w:rPr>
        <w:t xml:space="preserve"> sa má vykladať v tom zmysle, že plán alebo projekt, ktorý priamo nesúvisí so správou lokality alebo pre ňu nie je potrebný, nepriaznivo ovplyvňuje integritu tejto lokality, ak by mohol brániť trvalému zachovaniu základných vlastností dotknutej lokality súvisiacich s prítomnosťou prioritného typu prirodzeného biotopu, ktorého cieľ ochrany odôvodnil zaradenie tejto lokality do zoznamu LEV v zmysle tejto smernice. Na účely tohto posúdenia treba uplatniť zásadu ochrany.</w:t>
      </w:r>
    </w:p>
    <w:p w:rsidR="002C60F8" w:rsidRPr="003C2782" w:rsidP="001F5153">
      <w:pPr>
        <w:pStyle w:val="NormalWeb"/>
        <w:bidi w:val="0"/>
        <w:spacing w:before="120" w:beforeAutospacing="0" w:after="0" w:afterAutospacing="0" w:line="276" w:lineRule="auto"/>
        <w:jc w:val="both"/>
        <w:rPr>
          <w:rFonts w:ascii="Book Antiqua" w:hAnsi="Book Antiqua"/>
          <w:bCs/>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
          <w:bCs/>
          <w:sz w:val="22"/>
          <w:szCs w:val="22"/>
        </w:rPr>
        <w:t>4. Záväzky Slovenskej republiky vo vzťahu k Európskej únii:</w:t>
      </w:r>
    </w:p>
    <w:p w:rsidR="002C60F8" w:rsidRPr="003C2782" w:rsidP="002C60F8">
      <w:pPr>
        <w:pStyle w:val="NormalWeb"/>
        <w:numPr>
          <w:numId w:val="23"/>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 xml:space="preserve">lehoty na transpozíciu </w:t>
      </w:r>
      <w:r w:rsidRPr="003C2782" w:rsidR="002D2CEF">
        <w:rPr>
          <w:rFonts w:ascii="Book Antiqua" w:hAnsi="Book Antiqua"/>
          <w:bCs/>
          <w:sz w:val="22"/>
          <w:szCs w:val="22"/>
        </w:rPr>
        <w:t>oboch smerníc uvedených v bode 3 písm. b)</w:t>
      </w:r>
      <w:r w:rsidRPr="003C2782">
        <w:rPr>
          <w:rFonts w:ascii="Book Antiqua" w:hAnsi="Book Antiqua"/>
          <w:bCs/>
          <w:sz w:val="22"/>
          <w:szCs w:val="22"/>
        </w:rPr>
        <w:t xml:space="preserve"> uplynuli ešte pred vst</w:t>
      </w:r>
      <w:r w:rsidRPr="003C2782" w:rsidR="002D2CEF">
        <w:rPr>
          <w:rFonts w:ascii="Book Antiqua" w:hAnsi="Book Antiqua"/>
          <w:bCs/>
          <w:sz w:val="22"/>
          <w:szCs w:val="22"/>
        </w:rPr>
        <w:t>upom Slovenska do EÚ, avšak tieto</w:t>
      </w:r>
      <w:r w:rsidRPr="003C2782">
        <w:rPr>
          <w:rFonts w:ascii="Book Antiqua" w:hAnsi="Book Antiqua"/>
          <w:bCs/>
          <w:sz w:val="22"/>
          <w:szCs w:val="22"/>
        </w:rPr>
        <w:t xml:space="preserve"> sm</w:t>
      </w:r>
      <w:r w:rsidRPr="003C2782" w:rsidR="002D2CEF">
        <w:rPr>
          <w:rFonts w:ascii="Book Antiqua" w:hAnsi="Book Antiqua"/>
          <w:bCs/>
          <w:sz w:val="22"/>
          <w:szCs w:val="22"/>
        </w:rPr>
        <w:t>ernice boli</w:t>
      </w:r>
      <w:r w:rsidRPr="003C2782">
        <w:rPr>
          <w:rFonts w:ascii="Book Antiqua" w:hAnsi="Book Antiqua"/>
          <w:bCs/>
          <w:sz w:val="22"/>
          <w:szCs w:val="22"/>
        </w:rPr>
        <w:t xml:space="preserve"> ku dňu vstu</w:t>
      </w:r>
      <w:r w:rsidRPr="003C2782" w:rsidR="002D2CEF">
        <w:rPr>
          <w:rFonts w:ascii="Book Antiqua" w:hAnsi="Book Antiqua"/>
          <w:bCs/>
          <w:sz w:val="22"/>
          <w:szCs w:val="22"/>
        </w:rPr>
        <w:t>pu Slovenska do EÚ transponované</w:t>
      </w:r>
      <w:r w:rsidRPr="003C2782">
        <w:rPr>
          <w:rFonts w:ascii="Book Antiqua" w:hAnsi="Book Antiqua"/>
          <w:bCs/>
          <w:sz w:val="22"/>
          <w:szCs w:val="22"/>
        </w:rPr>
        <w:t xml:space="preserve"> do slovenského poriadku riadne a včas,</w:t>
      </w:r>
    </w:p>
    <w:p w:rsidR="002C60F8" w:rsidRPr="003C2782" w:rsidP="002C60F8">
      <w:pPr>
        <w:pStyle w:val="NormalWeb"/>
        <w:numPr>
          <w:numId w:val="23"/>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sz w:val="22"/>
          <w:szCs w:val="22"/>
        </w:rPr>
        <w:t>v danej oblasti nebolo zatiaľ začaté konanie Súdneho dvora Európskej únie podľa článkov 258 až 260 Zmluvy o fungovaní Európskej únie</w:t>
      </w:r>
    </w:p>
    <w:p w:rsidR="002C60F8" w:rsidRPr="003C2782" w:rsidP="002C60F8">
      <w:pPr>
        <w:pStyle w:val="NormalWeb"/>
        <w:numPr>
          <w:numId w:val="23"/>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smernica o biotopoch bola transponovaná do týchto právnych predpisov:</w:t>
      </w:r>
    </w:p>
    <w:p w:rsidR="002C60F8" w:rsidRPr="003C2782" w:rsidP="002C60F8">
      <w:pPr>
        <w:pStyle w:val="NormalWeb"/>
        <w:numPr>
          <w:numId w:val="27"/>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zákon č. 543/2002 Z. z. o ochrane prírody a krajiny v znení neskorších predpisov,</w:t>
      </w:r>
    </w:p>
    <w:p w:rsidR="002C60F8" w:rsidRPr="003C2782" w:rsidP="002C60F8">
      <w:pPr>
        <w:pStyle w:val="NormalWeb"/>
        <w:numPr>
          <w:numId w:val="27"/>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vyhláška Ministerstva životného prostredia Slovenskej republiky č. 24/2003    Z. z., ktorou sa vykonávajú niektoré ustanovenia zákona č. 543/2002 Z. z. o ochrane prírody a kraji</w:t>
      </w:r>
      <w:r w:rsidRPr="003C2782" w:rsidR="002D2CEF">
        <w:rPr>
          <w:rFonts w:ascii="Book Antiqua" w:hAnsi="Book Antiqua"/>
          <w:bCs/>
          <w:sz w:val="22"/>
          <w:szCs w:val="22"/>
        </w:rPr>
        <w:t>ny v znení neskorších predpisov,</w:t>
      </w:r>
    </w:p>
    <w:p w:rsidR="002D2CEF" w:rsidRPr="003C2782" w:rsidP="002D2CEF">
      <w:pPr>
        <w:pStyle w:val="NormalWeb"/>
        <w:bidi w:val="0"/>
        <w:spacing w:before="120" w:beforeAutospacing="0" w:after="0" w:afterAutospacing="0" w:line="276" w:lineRule="auto"/>
        <w:ind w:firstLine="709"/>
        <w:jc w:val="both"/>
        <w:rPr>
          <w:rFonts w:ascii="Book Antiqua" w:hAnsi="Book Antiqua"/>
          <w:bCs/>
          <w:sz w:val="22"/>
          <w:szCs w:val="22"/>
        </w:rPr>
      </w:pPr>
      <w:r w:rsidRPr="003C2782">
        <w:rPr>
          <w:rFonts w:ascii="Book Antiqua" w:hAnsi="Book Antiqua"/>
          <w:bCs/>
          <w:sz w:val="22"/>
          <w:szCs w:val="22"/>
        </w:rPr>
        <w:t>smernica o databázach bola transponovaná do tohto právneho predpisu:</w:t>
      </w:r>
    </w:p>
    <w:p w:rsidR="002D2CEF" w:rsidRPr="003C2782" w:rsidP="002D2CEF">
      <w:pPr>
        <w:pStyle w:val="NormalWeb"/>
        <w:numPr>
          <w:numId w:val="29"/>
        </w:numPr>
        <w:bidi w:val="0"/>
        <w:spacing w:before="120" w:beforeAutospacing="0" w:after="0" w:afterAutospacing="0" w:line="276" w:lineRule="auto"/>
        <w:jc w:val="both"/>
        <w:rPr>
          <w:rFonts w:ascii="Book Antiqua" w:hAnsi="Book Antiqua"/>
          <w:bCs/>
          <w:sz w:val="22"/>
          <w:szCs w:val="22"/>
        </w:rPr>
      </w:pPr>
      <w:r w:rsidRPr="003C2782">
        <w:rPr>
          <w:rFonts w:ascii="Book Antiqua" w:hAnsi="Book Antiqua"/>
          <w:bCs/>
          <w:sz w:val="22"/>
          <w:szCs w:val="22"/>
        </w:rPr>
        <w:t>zákon č. 618/2003 Z. z. o autorskom práve a právach súvisiacich s autorským právom (autorský zákon) v znení neskorších predpisov.</w:t>
      </w:r>
    </w:p>
    <w:p w:rsidR="002C60F8" w:rsidRPr="003C2782" w:rsidP="002C60F8">
      <w:pPr>
        <w:pStyle w:val="NormalWeb"/>
        <w:bidi w:val="0"/>
        <w:spacing w:before="120" w:beforeAutospacing="0" w:after="0" w:afterAutospacing="0" w:line="276" w:lineRule="auto"/>
        <w:ind w:left="720"/>
        <w:jc w:val="both"/>
        <w:rPr>
          <w:rFonts w:ascii="Book Antiqua" w:hAnsi="Book Antiqua"/>
          <w:bCs/>
          <w:sz w:val="22"/>
          <w:szCs w:val="22"/>
        </w:rPr>
      </w:pPr>
    </w:p>
    <w:p w:rsidR="002C60F8" w:rsidRPr="003C2782" w:rsidP="002C60F8">
      <w:pPr>
        <w:pStyle w:val="NormalWeb"/>
        <w:bidi w:val="0"/>
        <w:spacing w:before="120" w:beforeAutospacing="0" w:after="0" w:afterAutospacing="0" w:line="276" w:lineRule="auto"/>
        <w:jc w:val="both"/>
        <w:rPr>
          <w:rFonts w:ascii="Book Antiqua" w:hAnsi="Book Antiqua"/>
          <w:b/>
          <w:bCs/>
          <w:sz w:val="22"/>
          <w:szCs w:val="22"/>
        </w:rPr>
      </w:pPr>
      <w:r w:rsidRPr="003C2782">
        <w:rPr>
          <w:rFonts w:ascii="Book Antiqua" w:hAnsi="Book Antiqua"/>
          <w:b/>
          <w:bCs/>
          <w:sz w:val="22"/>
          <w:szCs w:val="22"/>
        </w:rPr>
        <w:t>5. Stupeň zlučiteľnosti návrhu zákona s právom Európskych spoločenstiev</w:t>
      </w:r>
    </w:p>
    <w:p w:rsidR="002C60F8" w:rsidRPr="003C2782" w:rsidP="002C60F8">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Cs/>
          <w:sz w:val="22"/>
          <w:szCs w:val="22"/>
        </w:rPr>
        <w:t>úplný</w:t>
      </w:r>
    </w:p>
    <w:p w:rsidR="002C60F8" w:rsidRPr="003C2782" w:rsidP="002C60F8">
      <w:pPr>
        <w:tabs>
          <w:tab w:val="left" w:pos="341"/>
        </w:tabs>
        <w:autoSpaceDE w:val="0"/>
        <w:autoSpaceDN w:val="0"/>
        <w:bidi w:val="0"/>
        <w:adjustRightInd w:val="0"/>
        <w:spacing w:before="120" w:line="276" w:lineRule="auto"/>
        <w:jc w:val="both"/>
        <w:rPr>
          <w:rFonts w:ascii="Book Antiqua" w:hAnsi="Book Antiqua"/>
          <w:sz w:val="22"/>
          <w:szCs w:val="22"/>
        </w:rPr>
      </w:pPr>
    </w:p>
    <w:p w:rsidR="002C60F8" w:rsidRPr="003C2782" w:rsidP="002C60F8">
      <w:pPr>
        <w:pStyle w:val="NormalWeb"/>
        <w:bidi w:val="0"/>
        <w:spacing w:before="120" w:beforeAutospacing="0" w:after="0" w:afterAutospacing="0" w:line="276" w:lineRule="auto"/>
        <w:rPr>
          <w:rFonts w:ascii="Book Antiqua" w:hAnsi="Book Antiqua"/>
          <w:i/>
          <w:sz w:val="22"/>
          <w:szCs w:val="22"/>
        </w:rPr>
      </w:pPr>
    </w:p>
    <w:p w:rsidR="0043754C" w:rsidRPr="003C2782" w:rsidP="0043754C">
      <w:pPr>
        <w:pStyle w:val="NormalWeb"/>
        <w:bidi w:val="0"/>
        <w:spacing w:before="120" w:beforeAutospacing="0" w:after="0" w:afterAutospacing="0" w:line="276" w:lineRule="auto"/>
        <w:jc w:val="center"/>
        <w:rPr>
          <w:rFonts w:ascii="Book Antiqua" w:hAnsi="Book Antiqua"/>
          <w:b/>
          <w:bCs/>
          <w:caps/>
          <w:spacing w:val="30"/>
          <w:sz w:val="22"/>
          <w:szCs w:val="22"/>
        </w:rPr>
      </w:pPr>
      <w:r w:rsidRPr="003C2782" w:rsidR="002C60F8">
        <w:rPr>
          <w:rFonts w:ascii="Book Antiqua" w:hAnsi="Book Antiqua"/>
          <w:i/>
          <w:sz w:val="22"/>
          <w:szCs w:val="22"/>
        </w:rPr>
        <w:br w:type="page"/>
      </w:r>
      <w:r w:rsidRPr="003C2782">
        <w:rPr>
          <w:rFonts w:ascii="Book Antiqua" w:hAnsi="Book Antiqua"/>
          <w:b/>
          <w:bCs/>
          <w:caps/>
          <w:spacing w:val="30"/>
          <w:sz w:val="22"/>
          <w:szCs w:val="22"/>
        </w:rPr>
        <w:t>Doložka</w:t>
      </w:r>
    </w:p>
    <w:p w:rsidR="0043754C" w:rsidRPr="003C2782" w:rsidP="0043754C">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b/>
          <w:bCs/>
          <w:sz w:val="22"/>
          <w:szCs w:val="22"/>
        </w:rPr>
        <w:t>vybraných vplyvov</w:t>
      </w:r>
    </w:p>
    <w:p w:rsidR="0043754C" w:rsidRPr="003C2782" w:rsidP="0043754C">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xml:space="preserve">A.1. Názov materiálu: </w:t>
      </w:r>
      <w:r w:rsidRPr="003C2782">
        <w:rPr>
          <w:rFonts w:ascii="Book Antiqua" w:hAnsi="Book Antiqua"/>
          <w:sz w:val="22"/>
          <w:szCs w:val="22"/>
        </w:rPr>
        <w:t>návrh zákona, ktorým sa mení a dopĺňa zákon č. 543/2002 Z. z. o ochrane prírody a krajiny v znení neskorších predpisov</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Termín začatia a ukončenia PPK:</w:t>
      </w:r>
      <w:r w:rsidRPr="003C2782">
        <w:rPr>
          <w:rFonts w:ascii="Book Antiqua" w:hAnsi="Book Antiqua"/>
          <w:sz w:val="22"/>
          <w:szCs w:val="22"/>
        </w:rPr>
        <w:t xml:space="preserve"> </w:t>
      </w:r>
      <w:r w:rsidRPr="003C2782">
        <w:rPr>
          <w:rFonts w:ascii="Book Antiqua" w:hAnsi="Book Antiqua"/>
          <w:i/>
          <w:iCs/>
          <w:sz w:val="22"/>
          <w:szCs w:val="22"/>
        </w:rPr>
        <w:t>bezpredmetné</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43754C" w:rsidRPr="003C2782" w:rsidP="00E717A8">
            <w:pPr>
              <w:pStyle w:val="NormalWeb"/>
              <w:bidi w:val="0"/>
              <w:spacing w:before="120" w:beforeAutospacing="0" w:after="0" w:afterAutospacing="0" w:line="276" w:lineRule="auto"/>
              <w:jc w:val="center"/>
              <w:rPr>
                <w:rFonts w:ascii="Book Antiqua" w:hAnsi="Book Antiqua"/>
                <w:sz w:val="22"/>
                <w:szCs w:val="22"/>
              </w:rPr>
            </w:pPr>
            <w:r w:rsidRPr="003C2782">
              <w:rPr>
                <w:rFonts w:ascii="Book Antiqua" w:hAnsi="Book Antiqua"/>
                <w:sz w:val="22"/>
                <w:szCs w:val="22"/>
              </w:rPr>
              <w:t> </w:t>
            </w:r>
          </w:p>
        </w:tc>
      </w:tr>
    </w:tbl>
    <w:p w:rsidR="0043754C" w:rsidRPr="003C2782" w:rsidP="0043754C">
      <w:pPr>
        <w:pStyle w:val="NormalWeb"/>
        <w:bidi w:val="0"/>
        <w:spacing w:before="120" w:beforeAutospacing="0" w:after="0" w:afterAutospacing="0" w:line="276" w:lineRule="auto"/>
        <w:rPr>
          <w:rFonts w:ascii="Book Antiqua" w:hAnsi="Book Antiqua"/>
          <w:sz w:val="22"/>
          <w:szCs w:val="22"/>
        </w:rPr>
      </w:pPr>
      <w:r w:rsidRPr="003C2782">
        <w:rPr>
          <w:rFonts w:ascii="Book Antiqua" w:hAnsi="Book Antiqua"/>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A.3. Poznámky</w:t>
      </w:r>
    </w:p>
    <w:p w:rsidR="0043754C" w:rsidRPr="003C2782" w:rsidP="0043754C">
      <w:pPr>
        <w:pStyle w:val="NormalWeb"/>
        <w:bidi w:val="0"/>
        <w:spacing w:before="120" w:beforeAutospacing="0" w:after="0" w:afterAutospacing="0" w:line="276" w:lineRule="auto"/>
        <w:jc w:val="both"/>
        <w:rPr>
          <w:rFonts w:ascii="Book Antiqua" w:hAnsi="Book Antiqua"/>
          <w:i/>
          <w:sz w:val="22"/>
          <w:szCs w:val="22"/>
        </w:rPr>
      </w:pPr>
      <w:r w:rsidRPr="003C2782">
        <w:rPr>
          <w:rFonts w:ascii="Book Antiqua" w:hAnsi="Book Antiqua"/>
          <w:i/>
          <w:sz w:val="22"/>
          <w:szCs w:val="22"/>
        </w:rPr>
        <w:t>Po schválení tohto návrhu zá</w:t>
      </w:r>
      <w:r w:rsidRPr="003C2782" w:rsidR="002D2CEF">
        <w:rPr>
          <w:rFonts w:ascii="Book Antiqua" w:hAnsi="Book Antiqua"/>
          <w:i/>
          <w:sz w:val="22"/>
          <w:szCs w:val="22"/>
        </w:rPr>
        <w:t xml:space="preserve">kona sa vďaka zosúladeniu </w:t>
      </w:r>
      <w:r w:rsidRPr="003C2782">
        <w:rPr>
          <w:rFonts w:ascii="Book Antiqua" w:hAnsi="Book Antiqua"/>
          <w:i/>
          <w:sz w:val="22"/>
          <w:szCs w:val="22"/>
        </w:rPr>
        <w:t>ZOPK so smernicami Európskej únie a príslušnými medzinárodnými dohovormi zvýši ochrana prírody a krajiny. Predovšetkým sa medzi ciele tohto zákona opätovne zavedie ochrana charakteristického vzhľadu krajiny, rozšíri sa okruh ochrany na všetky biotopy a nielen prírodné, ako je tomu v súčasnosti. Sprísnia sa podmienky pri posudzovaní vplyvov na životné prostredie a rovnako sa vo väčšej miere budú chrániť výsledky výskumu v oblasti ochrany životného prostredia.</w:t>
      </w:r>
    </w:p>
    <w:p w:rsidR="0043754C" w:rsidRPr="003C2782" w:rsidP="0043754C">
      <w:pPr>
        <w:pStyle w:val="NormalWeb"/>
        <w:bidi w:val="0"/>
        <w:spacing w:before="120" w:beforeAutospacing="0" w:after="0" w:afterAutospacing="0" w:line="276" w:lineRule="auto"/>
        <w:jc w:val="both"/>
        <w:rPr>
          <w:rFonts w:ascii="Book Antiqua" w:hAnsi="Book Antiqua"/>
          <w:b/>
          <w:bCs/>
          <w:sz w:val="22"/>
          <w:szCs w:val="22"/>
        </w:rPr>
      </w:pP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A.4. Alternatívne riešenia</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i/>
          <w:iCs/>
          <w:sz w:val="22"/>
          <w:szCs w:val="22"/>
        </w:rPr>
        <w:t>bezpredmetné</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 </w:t>
      </w:r>
    </w:p>
    <w:p w:rsidR="0043754C" w:rsidRPr="003C2782" w:rsidP="0043754C">
      <w:pPr>
        <w:pStyle w:val="NormalWeb"/>
        <w:bidi w:val="0"/>
        <w:spacing w:before="120" w:beforeAutospacing="0" w:after="0" w:afterAutospacing="0" w:line="276" w:lineRule="auto"/>
        <w:jc w:val="both"/>
        <w:rPr>
          <w:rFonts w:ascii="Book Antiqua" w:hAnsi="Book Antiqua"/>
          <w:sz w:val="22"/>
          <w:szCs w:val="22"/>
        </w:rPr>
      </w:pPr>
      <w:r w:rsidRPr="003C2782">
        <w:rPr>
          <w:rFonts w:ascii="Book Antiqua" w:hAnsi="Book Antiqua"/>
          <w:b/>
          <w:bCs/>
          <w:sz w:val="22"/>
          <w:szCs w:val="22"/>
        </w:rPr>
        <w:t>A.5. Stanovisko gestorov</w:t>
      </w:r>
    </w:p>
    <w:p w:rsidR="002C60F8" w:rsidRPr="003C2782" w:rsidP="0043754C">
      <w:pPr>
        <w:pStyle w:val="NormalWeb"/>
        <w:bidi w:val="0"/>
        <w:spacing w:before="120" w:beforeAutospacing="0" w:after="0" w:afterAutospacing="0" w:line="276" w:lineRule="auto"/>
        <w:jc w:val="both"/>
        <w:rPr>
          <w:rFonts w:ascii="Book Antiqua" w:hAnsi="Book Antiqua"/>
          <w:b/>
          <w:bCs/>
          <w:sz w:val="22"/>
          <w:szCs w:val="22"/>
        </w:rPr>
      </w:pPr>
      <w:r w:rsidRPr="003C2782" w:rsidR="0043754C">
        <w:rPr>
          <w:rFonts w:ascii="Book Antiqua" w:hAnsi="Book Antiqua"/>
          <w:i/>
          <w:iCs/>
          <w:sz w:val="22"/>
          <w:szCs w:val="22"/>
        </w:rPr>
        <w:t>Návrh zákona bol zaslaný na vyjadrenie Ministerstvu financií SR a stanovisko tohto ministerstva tvorí súčasť predkladaného materiálu.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7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7547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75">
    <w:pPr>
      <w:pStyle w:val="Footer"/>
      <w:framePr w:wrap="around" w:vAnchor="text" w:hAnchor="margin" w:xAlign="right"/>
      <w:bidi w:val="0"/>
      <w:rPr>
        <w:rStyle w:val="PageNumber"/>
        <w:rFonts w:ascii="Book Antiqua" w:hAnsi="Book Antiqua"/>
        <w:i/>
        <w:sz w:val="18"/>
      </w:rPr>
    </w:pPr>
  </w:p>
  <w:p w:rsidR="0017547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404"/>
    <w:multiLevelType w:val="hybridMultilevel"/>
    <w:tmpl w:val="C00E6A18"/>
    <w:lvl w:ilvl="0">
      <w:start w:val="1"/>
      <w:numFmt w:val="bullet"/>
      <w:lvlText w:val="-"/>
      <w:lvlJc w:val="left"/>
      <w:pPr>
        <w:ind w:left="1429" w:hanging="360"/>
      </w:pPr>
      <w:rPr>
        <w:rFonts w:ascii="Book Antiqua" w:eastAsia="Times New Roman" w:hAnsi="Book Antiqua"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6">
    <w:nsid w:val="29CB108C"/>
    <w:multiLevelType w:val="hybridMultilevel"/>
    <w:tmpl w:val="1D92E21A"/>
    <w:lvl w:ilvl="0">
      <w:start w:val="1"/>
      <w:numFmt w:val="bullet"/>
      <w:lvlText w:val="-"/>
      <w:lvlJc w:val="left"/>
      <w:pPr>
        <w:ind w:left="1485" w:hanging="360"/>
      </w:pPr>
      <w:rPr>
        <w:rFonts w:ascii="Book Antiqua" w:eastAsia="Times New Roman" w:hAnsi="Book Antiqua"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9E80108"/>
    <w:multiLevelType w:val="hybridMultilevel"/>
    <w:tmpl w:val="660EC68A"/>
    <w:lvl w:ilvl="0">
      <w:start w:val="1"/>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F510BCA"/>
    <w:multiLevelType w:val="hybridMultilevel"/>
    <w:tmpl w:val="112ABE3E"/>
    <w:lvl w:ilvl="0">
      <w:start w:val="1"/>
      <w:numFmt w:val="bullet"/>
      <w:lvlText w:val="-"/>
      <w:lvlJc w:val="left"/>
      <w:pPr>
        <w:ind w:left="1429" w:hanging="360"/>
      </w:pPr>
      <w:rPr>
        <w:rFonts w:ascii="Book Antiqua" w:eastAsia="Times New Roman" w:hAnsi="Book Antiqua"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E3B5095"/>
    <w:multiLevelType w:val="hybridMultilevel"/>
    <w:tmpl w:val="EED4DAA4"/>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84534E7"/>
    <w:multiLevelType w:val="hybridMultilevel"/>
    <w:tmpl w:val="70586794"/>
    <w:lvl w:ilvl="0">
      <w:start w:val="1"/>
      <w:numFmt w:val="bullet"/>
      <w:lvlText w:val="-"/>
      <w:lvlJc w:val="left"/>
      <w:pPr>
        <w:ind w:left="1440" w:hanging="360"/>
      </w:pPr>
      <w:rPr>
        <w:rFonts w:ascii="Book Antiqua" w:eastAsia="Times New Roman" w:hAnsi="Book Antiqua"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9"/>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7"/>
  </w:num>
  <w:num w:numId="10">
    <w:abstractNumId w:val="14"/>
  </w:num>
  <w:num w:numId="11">
    <w:abstractNumId w:val="1"/>
  </w:num>
  <w:num w:numId="12">
    <w:abstractNumId w:val="17"/>
  </w:num>
  <w:num w:numId="13">
    <w:abstractNumId w:val="18"/>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5"/>
  </w:num>
  <w:num w:numId="20">
    <w:abstractNumId w:val="24"/>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0"/>
  </w:num>
  <w:num w:numId="27">
    <w:abstractNumId w:val="23"/>
  </w:num>
  <w:num w:numId="28">
    <w:abstractNumId w:val="16"/>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150A9"/>
    <w:rsid w:val="000079FF"/>
    <w:rsid w:val="00014ECD"/>
    <w:rsid w:val="0004003A"/>
    <w:rsid w:val="00041441"/>
    <w:rsid w:val="00054181"/>
    <w:rsid w:val="00072EFB"/>
    <w:rsid w:val="00073906"/>
    <w:rsid w:val="000832F2"/>
    <w:rsid w:val="000A6841"/>
    <w:rsid w:val="000A7D13"/>
    <w:rsid w:val="000C6B6B"/>
    <w:rsid w:val="000C7B99"/>
    <w:rsid w:val="001069E0"/>
    <w:rsid w:val="00114FA2"/>
    <w:rsid w:val="00130E41"/>
    <w:rsid w:val="001379E7"/>
    <w:rsid w:val="00140D22"/>
    <w:rsid w:val="00146C53"/>
    <w:rsid w:val="00147771"/>
    <w:rsid w:val="00173746"/>
    <w:rsid w:val="00175475"/>
    <w:rsid w:val="001859EB"/>
    <w:rsid w:val="00186009"/>
    <w:rsid w:val="0019432C"/>
    <w:rsid w:val="001B2554"/>
    <w:rsid w:val="001D2A71"/>
    <w:rsid w:val="001E55EB"/>
    <w:rsid w:val="001F5153"/>
    <w:rsid w:val="001F53B1"/>
    <w:rsid w:val="00216006"/>
    <w:rsid w:val="0022409A"/>
    <w:rsid w:val="002542B2"/>
    <w:rsid w:val="00257016"/>
    <w:rsid w:val="00266E80"/>
    <w:rsid w:val="00271196"/>
    <w:rsid w:val="002877BC"/>
    <w:rsid w:val="00297031"/>
    <w:rsid w:val="00297AE7"/>
    <w:rsid w:val="002A5C65"/>
    <w:rsid w:val="002C60F8"/>
    <w:rsid w:val="002D04A2"/>
    <w:rsid w:val="002D2CEF"/>
    <w:rsid w:val="002F24C5"/>
    <w:rsid w:val="002F7759"/>
    <w:rsid w:val="00305DFD"/>
    <w:rsid w:val="00305E36"/>
    <w:rsid w:val="00331B1B"/>
    <w:rsid w:val="00355CDB"/>
    <w:rsid w:val="00367698"/>
    <w:rsid w:val="003B793F"/>
    <w:rsid w:val="003C2782"/>
    <w:rsid w:val="003C3CFA"/>
    <w:rsid w:val="003D09F9"/>
    <w:rsid w:val="003F1550"/>
    <w:rsid w:val="003F3F79"/>
    <w:rsid w:val="004026D3"/>
    <w:rsid w:val="004042C2"/>
    <w:rsid w:val="004150A9"/>
    <w:rsid w:val="0043754C"/>
    <w:rsid w:val="00481C0F"/>
    <w:rsid w:val="00490E94"/>
    <w:rsid w:val="0049350D"/>
    <w:rsid w:val="00493F24"/>
    <w:rsid w:val="004A7E73"/>
    <w:rsid w:val="004B74D4"/>
    <w:rsid w:val="004C00C2"/>
    <w:rsid w:val="004C311A"/>
    <w:rsid w:val="004C4543"/>
    <w:rsid w:val="004C7F8E"/>
    <w:rsid w:val="004E2EF9"/>
    <w:rsid w:val="004F1564"/>
    <w:rsid w:val="005247BD"/>
    <w:rsid w:val="00536EFF"/>
    <w:rsid w:val="00552FA5"/>
    <w:rsid w:val="00573F4F"/>
    <w:rsid w:val="005842F1"/>
    <w:rsid w:val="00593996"/>
    <w:rsid w:val="005955EE"/>
    <w:rsid w:val="005A7D98"/>
    <w:rsid w:val="005B1434"/>
    <w:rsid w:val="005B52EF"/>
    <w:rsid w:val="005C1CEB"/>
    <w:rsid w:val="005D433B"/>
    <w:rsid w:val="005F19AF"/>
    <w:rsid w:val="006037A6"/>
    <w:rsid w:val="006220E9"/>
    <w:rsid w:val="00633169"/>
    <w:rsid w:val="006354B4"/>
    <w:rsid w:val="00644123"/>
    <w:rsid w:val="00652070"/>
    <w:rsid w:val="0066050F"/>
    <w:rsid w:val="00694C03"/>
    <w:rsid w:val="006C4E06"/>
    <w:rsid w:val="006C4F6A"/>
    <w:rsid w:val="006E095B"/>
    <w:rsid w:val="006F1EDD"/>
    <w:rsid w:val="00724406"/>
    <w:rsid w:val="00727CAD"/>
    <w:rsid w:val="0075665F"/>
    <w:rsid w:val="00762BCB"/>
    <w:rsid w:val="00767457"/>
    <w:rsid w:val="007C0DDE"/>
    <w:rsid w:val="007C0F3F"/>
    <w:rsid w:val="007D000A"/>
    <w:rsid w:val="007D62B6"/>
    <w:rsid w:val="007F36A3"/>
    <w:rsid w:val="00816D0A"/>
    <w:rsid w:val="00822FA4"/>
    <w:rsid w:val="00841C45"/>
    <w:rsid w:val="00855769"/>
    <w:rsid w:val="00856F6F"/>
    <w:rsid w:val="00866832"/>
    <w:rsid w:val="00867BE1"/>
    <w:rsid w:val="008748BC"/>
    <w:rsid w:val="00895DC7"/>
    <w:rsid w:val="008A75D7"/>
    <w:rsid w:val="008C0EA4"/>
    <w:rsid w:val="008E0EB3"/>
    <w:rsid w:val="008E48A1"/>
    <w:rsid w:val="008E6D9B"/>
    <w:rsid w:val="00903552"/>
    <w:rsid w:val="00907386"/>
    <w:rsid w:val="00920789"/>
    <w:rsid w:val="00936B46"/>
    <w:rsid w:val="00946D8D"/>
    <w:rsid w:val="00956678"/>
    <w:rsid w:val="00962B17"/>
    <w:rsid w:val="00980F1D"/>
    <w:rsid w:val="009949D2"/>
    <w:rsid w:val="009A757A"/>
    <w:rsid w:val="009C2960"/>
    <w:rsid w:val="009C6F8C"/>
    <w:rsid w:val="009D0DAB"/>
    <w:rsid w:val="009E16C5"/>
    <w:rsid w:val="009F489B"/>
    <w:rsid w:val="00A1114C"/>
    <w:rsid w:val="00A13D8C"/>
    <w:rsid w:val="00A14D2C"/>
    <w:rsid w:val="00A47896"/>
    <w:rsid w:val="00A53F87"/>
    <w:rsid w:val="00A66398"/>
    <w:rsid w:val="00A769D4"/>
    <w:rsid w:val="00A90D9E"/>
    <w:rsid w:val="00AA2004"/>
    <w:rsid w:val="00AA4C70"/>
    <w:rsid w:val="00AC686E"/>
    <w:rsid w:val="00AC6FEC"/>
    <w:rsid w:val="00AD4340"/>
    <w:rsid w:val="00AF0EB6"/>
    <w:rsid w:val="00AF3F40"/>
    <w:rsid w:val="00B01BFA"/>
    <w:rsid w:val="00B260D6"/>
    <w:rsid w:val="00B47400"/>
    <w:rsid w:val="00B95B10"/>
    <w:rsid w:val="00BC07D9"/>
    <w:rsid w:val="00BC3B43"/>
    <w:rsid w:val="00BE49B6"/>
    <w:rsid w:val="00BE564F"/>
    <w:rsid w:val="00C009AF"/>
    <w:rsid w:val="00C07ECC"/>
    <w:rsid w:val="00C23E25"/>
    <w:rsid w:val="00C25CF1"/>
    <w:rsid w:val="00C27276"/>
    <w:rsid w:val="00C354A9"/>
    <w:rsid w:val="00C35791"/>
    <w:rsid w:val="00C40F40"/>
    <w:rsid w:val="00C42747"/>
    <w:rsid w:val="00C556CC"/>
    <w:rsid w:val="00C92E7A"/>
    <w:rsid w:val="00C976B4"/>
    <w:rsid w:val="00CA596B"/>
    <w:rsid w:val="00CC12CE"/>
    <w:rsid w:val="00CD2706"/>
    <w:rsid w:val="00CD3CB0"/>
    <w:rsid w:val="00CF03E2"/>
    <w:rsid w:val="00CF26C3"/>
    <w:rsid w:val="00CF3FAF"/>
    <w:rsid w:val="00D01AB6"/>
    <w:rsid w:val="00D10AFF"/>
    <w:rsid w:val="00D24770"/>
    <w:rsid w:val="00D37E8E"/>
    <w:rsid w:val="00D57357"/>
    <w:rsid w:val="00D74814"/>
    <w:rsid w:val="00DC3F2C"/>
    <w:rsid w:val="00DD2E81"/>
    <w:rsid w:val="00DD7E0B"/>
    <w:rsid w:val="00DF7D91"/>
    <w:rsid w:val="00E0390F"/>
    <w:rsid w:val="00E363C6"/>
    <w:rsid w:val="00E717A8"/>
    <w:rsid w:val="00E73929"/>
    <w:rsid w:val="00E82803"/>
    <w:rsid w:val="00E87D0F"/>
    <w:rsid w:val="00EA37C4"/>
    <w:rsid w:val="00EA3CEE"/>
    <w:rsid w:val="00EA408D"/>
    <w:rsid w:val="00EB38EE"/>
    <w:rsid w:val="00EB6F7B"/>
    <w:rsid w:val="00EC15D2"/>
    <w:rsid w:val="00EC474D"/>
    <w:rsid w:val="00EE604B"/>
    <w:rsid w:val="00EF63CB"/>
    <w:rsid w:val="00F221EB"/>
    <w:rsid w:val="00F23566"/>
    <w:rsid w:val="00F306ED"/>
    <w:rsid w:val="00F33A0C"/>
    <w:rsid w:val="00F55832"/>
    <w:rsid w:val="00F6002F"/>
    <w:rsid w:val="00F62B81"/>
    <w:rsid w:val="00F6606D"/>
    <w:rsid w:val="00F82560"/>
    <w:rsid w:val="00F90825"/>
    <w:rsid w:val="00FB6736"/>
    <w:rsid w:val="00FB6AA9"/>
    <w:rsid w:val="00FE4C6E"/>
    <w:rsid w:val="00FE57C2"/>
    <w:rsid w:val="00FF11BD"/>
    <w:rsid w:val="00FF6349"/>
    <w:rsid w:val="00FF6A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pPr>
      <w:jc w:val="left"/>
    </w:pPr>
    <w:rPr>
      <w:rFonts w:ascii="Tahoma" w:hAnsi="Tahoma"/>
      <w:sz w:val="16"/>
      <w:szCs w:val="20"/>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semiHidden/>
    <w:pPr>
      <w:tabs>
        <w:tab w:val="center" w:pos="4536"/>
        <w:tab w:val="right" w:pos="9072"/>
      </w:tabs>
      <w:jc w:val="left"/>
    </w:pPr>
    <w:rPr>
      <w:szCs w:val="20"/>
    </w:rPr>
  </w:style>
  <w:style w:type="character" w:customStyle="1" w:styleId="FooterChar">
    <w:name w:val="Footer Char"/>
    <w:link w:val="Footer"/>
    <w:uiPriority w:val="99"/>
    <w:semiHidden/>
    <w:locked/>
    <w:rPr>
      <w:sz w:val="24"/>
    </w:rPr>
  </w:style>
  <w:style w:type="character" w:styleId="PageNumber">
    <w:name w:val="page number"/>
    <w:uiPriority w:val="99"/>
    <w:semiHidden/>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pPr>
      <w:spacing w:before="100" w:beforeAutospacing="1" w:after="100" w:afterAutospacing="1"/>
      <w:jc w:val="left"/>
    </w:pPr>
  </w:style>
  <w:style w:type="character" w:customStyle="1" w:styleId="apple-converted-space">
    <w:name w:val="apple-converted-space"/>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pPr>
      <w:ind w:left="708"/>
      <w:jc w:val="left"/>
    </w:pPr>
  </w:style>
  <w:style w:type="paragraph" w:customStyle="1" w:styleId="Normlny">
    <w:name w:val="_Normálny"/>
    <w:basedOn w:val="Normal"/>
    <w:pPr>
      <w:autoSpaceDE w:val="0"/>
      <w:autoSpaceDN w:val="0"/>
      <w:jc w:val="left"/>
    </w:pPr>
    <w:rPr>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jc w:val="left"/>
    </w:pPr>
    <w:rPr>
      <w:sz w:val="20"/>
      <w:szCs w:val="20"/>
    </w:rPr>
  </w:style>
  <w:style w:type="character" w:customStyle="1" w:styleId="CommentTextChar">
    <w:name w:val="Comment Text Char"/>
    <w:link w:val="CommentText"/>
    <w:uiPriority w:val="99"/>
    <w:locked/>
  </w:style>
  <w:style w:type="paragraph" w:styleId="CommentSubject">
    <w:name w:val="annotation subject"/>
    <w:basedOn w:val="CommentText"/>
    <w:next w:val="CommentText"/>
    <w:link w:val="CommentSubjectChar"/>
    <w:uiPriority w:val="99"/>
    <w:pPr>
      <w:jc w:val="left"/>
    </w:pPr>
    <w:rPr>
      <w:b/>
    </w:rPr>
  </w:style>
  <w:style w:type="character" w:customStyle="1" w:styleId="CommentSubjectChar">
    <w:name w:val="Comment Subject Char"/>
    <w:link w:val="CommentSubject"/>
    <w:uiPriority w:val="99"/>
    <w:locked/>
    <w:rPr>
      <w:b/>
    </w:rPr>
  </w:style>
  <w:style w:type="paragraph" w:styleId="Header">
    <w:name w:val="header"/>
    <w:basedOn w:val="Normal"/>
    <w:link w:val="HeaderChar"/>
    <w:uiPriority w:val="99"/>
    <w:semiHidden/>
    <w:pPr>
      <w:tabs>
        <w:tab w:val="center" w:pos="4536"/>
        <w:tab w:val="right" w:pos="9072"/>
      </w:tabs>
      <w:jc w:val="left"/>
    </w:pPr>
    <w:rPr>
      <w:szCs w:val="20"/>
    </w:rPr>
  </w:style>
  <w:style w:type="character" w:customStyle="1" w:styleId="HeaderChar">
    <w:name w:val="Header Char"/>
    <w:link w:val="Header"/>
    <w:uiPriority w:val="99"/>
    <w:locked/>
    <w:rPr>
      <w:sz w:val="24"/>
    </w:rPr>
  </w:style>
  <w:style w:type="character" w:styleId="Emphasis">
    <w:name w:val="Emphasis"/>
    <w:uiPriority w:val="20"/>
    <w:qFormat/>
    <w:rsid w:val="00257016"/>
    <w:rPr>
      <w:i/>
    </w:rPr>
  </w:style>
  <w:style w:type="character" w:customStyle="1" w:styleId="st">
    <w:name w:val="st"/>
    <w:rsid w:val="00257016"/>
  </w:style>
  <w:style w:type="character" w:styleId="PlaceholderText">
    <w:name w:val="Placeholder Text"/>
    <w:uiPriority w:val="99"/>
    <w:semiHidden/>
    <w:rsid w:val="00257016"/>
    <w:rPr>
      <w:rFonts w:ascii="Times New Roman" w:hAnsi="Times New Roman" w:cs="Times New Roman"/>
      <w:color w:val="000000"/>
    </w:rPr>
  </w:style>
  <w:style w:type="paragraph" w:styleId="BodyText2">
    <w:name w:val="Body Text 2"/>
    <w:basedOn w:val="Normal"/>
    <w:link w:val="BodyText2Char"/>
    <w:uiPriority w:val="99"/>
    <w:rsid w:val="00297AE7"/>
    <w:pPr>
      <w:autoSpaceDE w:val="0"/>
      <w:autoSpaceDN w:val="0"/>
      <w:spacing w:before="120"/>
      <w:jc w:val="both"/>
    </w:pPr>
    <w:rPr>
      <w:sz w:val="20"/>
      <w:szCs w:val="20"/>
    </w:rPr>
  </w:style>
  <w:style w:type="character" w:customStyle="1" w:styleId="BodyText2Char">
    <w:name w:val="Body Text 2 Char"/>
    <w:basedOn w:val="DefaultParagraphFont"/>
    <w:link w:val="BodyText2"/>
    <w:uiPriority w:val="99"/>
    <w:locked/>
    <w:rsid w:val="00297AE7"/>
    <w:rPr>
      <w:rFonts w:cs="Times New Roman"/>
      <w:rtl w:val="0"/>
      <w:cs w:val="0"/>
    </w:rPr>
  </w:style>
  <w:style w:type="paragraph" w:styleId="BodyTextIndent">
    <w:name w:val="Body Text Indent"/>
    <w:basedOn w:val="Normal"/>
    <w:link w:val="BodyTextIndentChar"/>
    <w:uiPriority w:val="99"/>
    <w:semiHidden/>
    <w:unhideWhenUsed/>
    <w:rsid w:val="002D04A2"/>
    <w:pPr>
      <w:spacing w:after="120"/>
      <w:ind w:left="283"/>
      <w:jc w:val="left"/>
    </w:pPr>
  </w:style>
  <w:style w:type="character" w:customStyle="1" w:styleId="BodyTextIndentChar">
    <w:name w:val="Body Text Indent Char"/>
    <w:link w:val="BodyTextIndent"/>
    <w:uiPriority w:val="99"/>
    <w:semiHidden/>
    <w:locked/>
    <w:rsid w:val="002D04A2"/>
    <w:rPr>
      <w:sz w:val="24"/>
    </w:rPr>
  </w:style>
  <w:style w:type="paragraph" w:styleId="BodyTextIndent2">
    <w:name w:val="Body Text Indent 2"/>
    <w:basedOn w:val="Normal"/>
    <w:link w:val="BodyTextIndent2Char"/>
    <w:uiPriority w:val="99"/>
    <w:semiHidden/>
    <w:unhideWhenUsed/>
    <w:rsid w:val="002D04A2"/>
    <w:pPr>
      <w:spacing w:after="120" w:line="480" w:lineRule="auto"/>
      <w:ind w:left="283"/>
      <w:jc w:val="left"/>
    </w:pPr>
  </w:style>
  <w:style w:type="character" w:customStyle="1" w:styleId="BodyTextIndent2Char">
    <w:name w:val="Body Text Indent 2 Char"/>
    <w:link w:val="BodyTextIndent2"/>
    <w:uiPriority w:val="99"/>
    <w:semiHidden/>
    <w:locked/>
    <w:rsid w:val="002D04A2"/>
    <w:rPr>
      <w:sz w:val="24"/>
    </w:rPr>
  </w:style>
  <w:style w:type="paragraph" w:customStyle="1" w:styleId="normal0">
    <w:name w:val="normal"/>
    <w:basedOn w:val="Normal"/>
    <w:rsid w:val="00072EFB"/>
    <w:pPr>
      <w:spacing w:before="120"/>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134A9-D2B8-45C5-A85C-65251FFF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2872</Words>
  <Characters>16372</Characters>
  <Application>Microsoft Office Word</Application>
  <DocSecurity>0</DocSecurity>
  <Lines>0</Lines>
  <Paragraphs>0</Paragraphs>
  <ScaleCrop>false</ScaleCrop>
  <Company>UVSR</Company>
  <LinksUpToDate>false</LinksUpToDate>
  <CharactersWithSpaces>19206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2012-09-24T12:03:00Z</cp:lastPrinted>
  <dcterms:created xsi:type="dcterms:W3CDTF">2014-09-19T12:18:00Z</dcterms:created>
  <dcterms:modified xsi:type="dcterms:W3CDTF">2014-09-19T12:18:00Z</dcterms:modified>
</cp:coreProperties>
</file>