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5DF8" w:rsidRPr="004A3E2C" w:rsidP="003665A2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4A3E2C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355DF8" w:rsidRPr="004A3E2C" w:rsidP="003665A2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355DF8" w:rsidRPr="004A3E2C" w:rsidP="003665A2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4A3E2C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450A28" w:rsidRPr="004A3E2C" w:rsidP="003665A2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355DF8" w:rsidRPr="004A3E2C" w:rsidP="003665A2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  <w:r w:rsidRPr="004A3E2C">
        <w:rPr>
          <w:rFonts w:ascii="Book Antiqua" w:hAnsi="Book Antiqua"/>
          <w:b/>
          <w:spacing w:val="30"/>
          <w:sz w:val="22"/>
          <w:szCs w:val="22"/>
        </w:rPr>
        <w:t>Návrh</w:t>
      </w:r>
    </w:p>
    <w:p w:rsidR="00450A28" w:rsidRPr="004A3E2C" w:rsidP="003665A2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450A28" w:rsidRPr="004A3E2C" w:rsidP="003665A2">
      <w:pPr>
        <w:bidi w:val="0"/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4A3E2C" w:rsidR="00355DF8">
        <w:rPr>
          <w:rFonts w:ascii="Book Antiqua" w:hAnsi="Book Antiqua"/>
          <w:b/>
          <w:caps/>
          <w:spacing w:val="30"/>
          <w:sz w:val="22"/>
          <w:szCs w:val="22"/>
        </w:rPr>
        <w:t>ÚSTAVNÝ zákon</w:t>
      </w:r>
    </w:p>
    <w:p w:rsidR="00450A28" w:rsidRPr="004A3E2C" w:rsidP="003665A2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355DF8" w:rsidRPr="004A3E2C" w:rsidP="003665A2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="0020372C">
        <w:rPr>
          <w:rFonts w:ascii="Book Antiqua" w:hAnsi="Book Antiqua"/>
          <w:sz w:val="22"/>
          <w:szCs w:val="22"/>
        </w:rPr>
        <w:t>z ... 2014</w:t>
      </w:r>
      <w:r w:rsidRPr="004A3E2C">
        <w:rPr>
          <w:rFonts w:ascii="Book Antiqua" w:hAnsi="Book Antiqua"/>
          <w:sz w:val="22"/>
          <w:szCs w:val="22"/>
        </w:rPr>
        <w:t>,</w:t>
      </w:r>
    </w:p>
    <w:p w:rsidR="00355DF8" w:rsidRPr="004A3E2C" w:rsidP="003665A2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355DF8" w:rsidRPr="004A3E2C" w:rsidP="003665A2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4A3E2C">
        <w:rPr>
          <w:rFonts w:ascii="Book Antiqua" w:hAnsi="Book Antiqua"/>
          <w:b/>
          <w:sz w:val="22"/>
          <w:szCs w:val="22"/>
        </w:rPr>
        <w:t xml:space="preserve">ktorým sa </w:t>
      </w:r>
      <w:r w:rsidR="00496A32">
        <w:rPr>
          <w:rFonts w:ascii="Book Antiqua" w:hAnsi="Book Antiqua"/>
          <w:b/>
          <w:sz w:val="22"/>
          <w:szCs w:val="22"/>
        </w:rPr>
        <w:t xml:space="preserve">mení a </w:t>
      </w:r>
      <w:r w:rsidRPr="004A3E2C">
        <w:rPr>
          <w:rFonts w:ascii="Book Antiqua" w:hAnsi="Book Antiqua"/>
          <w:b/>
          <w:sz w:val="22"/>
          <w:szCs w:val="22"/>
        </w:rPr>
        <w:t xml:space="preserve">dopĺňa Ústava Slovenskej republiky č. 460/1992 Zb. v znení neskorších predpisov </w:t>
      </w:r>
    </w:p>
    <w:p w:rsidR="00355DF8" w:rsidRPr="004A3E2C" w:rsidP="003665A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55DF8" w:rsidRPr="004A3E2C" w:rsidP="003665A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4A3E2C">
        <w:rPr>
          <w:rFonts w:ascii="Book Antiqua" w:hAnsi="Book Antiqua"/>
          <w:sz w:val="22"/>
          <w:szCs w:val="22"/>
        </w:rPr>
        <w:t xml:space="preserve">Národná rada Slovenskej republiky sa uzniesla na tomto ústavnom zákone: </w:t>
      </w:r>
    </w:p>
    <w:p w:rsidR="00355DF8" w:rsidRPr="004A3E2C" w:rsidP="003665A2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355DF8" w:rsidRPr="003665A2" w:rsidP="003665A2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4A3E2C">
        <w:rPr>
          <w:rFonts w:ascii="Book Antiqua" w:hAnsi="Book Antiqua"/>
          <w:b/>
          <w:sz w:val="22"/>
          <w:szCs w:val="22"/>
        </w:rPr>
        <w:t>Čl. I</w:t>
      </w:r>
    </w:p>
    <w:p w:rsidR="00355DF8" w:rsidP="005B7D29">
      <w:pPr>
        <w:autoSpaceDE w:val="0"/>
        <w:autoSpaceDN w:val="0"/>
        <w:bidi w:val="0"/>
        <w:adjustRightInd w:val="0"/>
        <w:spacing w:before="120" w:line="276" w:lineRule="auto"/>
        <w:ind w:firstLine="426"/>
        <w:jc w:val="both"/>
        <w:rPr>
          <w:rFonts w:ascii="Book Antiqua" w:hAnsi="Book Antiqua"/>
          <w:color w:val="231F20"/>
          <w:sz w:val="22"/>
          <w:szCs w:val="22"/>
          <w:lang w:eastAsia="en-US"/>
        </w:rPr>
      </w:pPr>
      <w:r w:rsidRPr="004A3E2C">
        <w:rPr>
          <w:rFonts w:ascii="Book Antiqua" w:hAnsi="Book Antiqua"/>
          <w:color w:val="231F20"/>
          <w:sz w:val="22"/>
          <w:szCs w:val="22"/>
          <w:lang w:eastAsia="en-US"/>
        </w:rPr>
        <w:t>Ústava Slovenskej republiky č. 460/1992 Zb. v znení ústavného zákona č. 244/1998 Z. z., ústavného zákona č. 9/1999 Z. z., ústavného zákona č. 90/2001 Z. z, ústavného zákona</w:t>
      </w:r>
      <w:r w:rsidRPr="004A3E2C" w:rsidR="009B3C7E">
        <w:rPr>
          <w:rFonts w:ascii="Book Antiqua" w:hAnsi="Book Antiqua"/>
          <w:color w:val="231F20"/>
          <w:sz w:val="22"/>
          <w:szCs w:val="22"/>
          <w:lang w:eastAsia="en-US"/>
        </w:rPr>
        <w:t xml:space="preserve"> </w:t>
      </w:r>
      <w:r w:rsidR="00496A32">
        <w:rPr>
          <w:rFonts w:ascii="Book Antiqua" w:hAnsi="Book Antiqua"/>
          <w:color w:val="231F20"/>
          <w:sz w:val="22"/>
          <w:szCs w:val="22"/>
          <w:lang w:eastAsia="en-US"/>
        </w:rPr>
        <w:t xml:space="preserve">         </w:t>
      </w:r>
      <w:r w:rsidRPr="004A3E2C">
        <w:rPr>
          <w:rFonts w:ascii="Book Antiqua" w:hAnsi="Book Antiqua"/>
          <w:color w:val="231F20"/>
          <w:sz w:val="22"/>
          <w:szCs w:val="22"/>
          <w:lang w:eastAsia="en-US"/>
        </w:rPr>
        <w:t xml:space="preserve">č. 140/2004 Z. z., ústavného zákona č. 323/2004 Z. z., ústavného zákona č. 463/2005 Z. z., ústavného zákona č. 92/2006 Z. z., ústavného zákona č. 210/2006 Z. z., ústavného zákona </w:t>
      </w:r>
      <w:r w:rsidR="00496A32">
        <w:rPr>
          <w:rFonts w:ascii="Book Antiqua" w:hAnsi="Book Antiqua"/>
          <w:color w:val="231F20"/>
          <w:sz w:val="22"/>
          <w:szCs w:val="22"/>
          <w:lang w:eastAsia="en-US"/>
        </w:rPr>
        <w:t xml:space="preserve">    </w:t>
      </w:r>
      <w:r w:rsidRPr="004A3E2C">
        <w:rPr>
          <w:rFonts w:ascii="Book Antiqua" w:hAnsi="Book Antiqua"/>
          <w:color w:val="231F20"/>
          <w:sz w:val="22"/>
          <w:szCs w:val="22"/>
          <w:lang w:eastAsia="en-US"/>
        </w:rPr>
        <w:t>č. 100/</w:t>
      </w:r>
      <w:r w:rsidRPr="00F94E39">
        <w:rPr>
          <w:rFonts w:ascii="Book Antiqua" w:hAnsi="Book Antiqua"/>
          <w:color w:val="231F20"/>
          <w:sz w:val="22"/>
          <w:szCs w:val="22"/>
          <w:lang w:eastAsia="en-US"/>
        </w:rPr>
        <w:t>2010 Z. z., ústa</w:t>
      </w:r>
      <w:r w:rsidR="002E2E4E">
        <w:rPr>
          <w:rFonts w:ascii="Book Antiqua" w:hAnsi="Book Antiqua"/>
          <w:color w:val="231F20"/>
          <w:sz w:val="22"/>
          <w:szCs w:val="22"/>
          <w:lang w:eastAsia="en-US"/>
        </w:rPr>
        <w:t>vného zákona č. 356/2011 Z. z.,</w:t>
      </w:r>
      <w:r w:rsidRPr="00F94E39">
        <w:rPr>
          <w:rFonts w:ascii="Book Antiqua" w:hAnsi="Book Antiqua"/>
          <w:color w:val="231F20"/>
          <w:sz w:val="22"/>
          <w:szCs w:val="22"/>
          <w:lang w:eastAsia="en-US"/>
        </w:rPr>
        <w:t> ústavného zákona č. 232/2012 Z. z.</w:t>
      </w:r>
      <w:r w:rsidR="002E2E4E">
        <w:rPr>
          <w:rFonts w:ascii="Book Antiqua" w:hAnsi="Book Antiqua"/>
          <w:color w:val="231F20"/>
          <w:sz w:val="22"/>
          <w:szCs w:val="22"/>
          <w:lang w:eastAsia="en-US"/>
        </w:rPr>
        <w:t xml:space="preserve">  ústavného zákona č. </w:t>
      </w:r>
      <w:r w:rsidR="003665A2">
        <w:rPr>
          <w:rFonts w:ascii="Book Antiqua" w:hAnsi="Book Antiqua"/>
          <w:color w:val="231F20"/>
          <w:sz w:val="22"/>
          <w:szCs w:val="22"/>
          <w:lang w:eastAsia="en-US"/>
        </w:rPr>
        <w:t>161/2014</w:t>
      </w:r>
      <w:r w:rsidR="002E2E4E">
        <w:rPr>
          <w:rFonts w:ascii="Book Antiqua" w:hAnsi="Book Antiqua"/>
          <w:color w:val="231F20"/>
          <w:sz w:val="22"/>
          <w:szCs w:val="22"/>
          <w:lang w:eastAsia="en-US"/>
        </w:rPr>
        <w:t xml:space="preserve"> Z.</w:t>
      </w:r>
      <w:r w:rsidR="003665A2">
        <w:rPr>
          <w:rFonts w:ascii="Book Antiqua" w:hAnsi="Book Antiqua"/>
          <w:color w:val="231F20"/>
          <w:sz w:val="22"/>
          <w:szCs w:val="22"/>
          <w:lang w:eastAsia="en-US"/>
        </w:rPr>
        <w:t xml:space="preserve"> </w:t>
      </w:r>
      <w:r w:rsidR="002E2E4E">
        <w:rPr>
          <w:rFonts w:ascii="Book Antiqua" w:hAnsi="Book Antiqua"/>
          <w:color w:val="231F20"/>
          <w:sz w:val="22"/>
          <w:szCs w:val="22"/>
          <w:lang w:eastAsia="en-US"/>
        </w:rPr>
        <w:t>z.</w:t>
      </w:r>
      <w:r w:rsidRPr="00F94E39">
        <w:rPr>
          <w:rFonts w:ascii="Book Antiqua" w:hAnsi="Book Antiqua"/>
          <w:color w:val="231F20"/>
          <w:sz w:val="22"/>
          <w:szCs w:val="22"/>
          <w:lang w:eastAsia="en-US"/>
        </w:rPr>
        <w:t xml:space="preserve"> sa </w:t>
      </w:r>
      <w:r w:rsidRPr="00F94E39" w:rsidR="00472D5D">
        <w:rPr>
          <w:rFonts w:ascii="Book Antiqua" w:hAnsi="Book Antiqua"/>
          <w:color w:val="231F20"/>
          <w:sz w:val="22"/>
          <w:szCs w:val="22"/>
          <w:lang w:eastAsia="en-US"/>
        </w:rPr>
        <w:t xml:space="preserve">mení a </w:t>
      </w:r>
      <w:r w:rsidRPr="00F94E39">
        <w:rPr>
          <w:rFonts w:ascii="Book Antiqua" w:hAnsi="Book Antiqua"/>
          <w:color w:val="231F20"/>
          <w:sz w:val="22"/>
          <w:szCs w:val="22"/>
          <w:lang w:eastAsia="en-US"/>
        </w:rPr>
        <w:t>dopĺňa</w:t>
      </w:r>
      <w:r w:rsidRPr="004A3E2C">
        <w:rPr>
          <w:rFonts w:ascii="Book Antiqua" w:hAnsi="Book Antiqua"/>
          <w:color w:val="231F20"/>
          <w:sz w:val="22"/>
          <w:szCs w:val="22"/>
          <w:lang w:eastAsia="en-US"/>
        </w:rPr>
        <w:t xml:space="preserve"> takto:</w:t>
      </w:r>
    </w:p>
    <w:p w:rsidR="003665A2" w:rsidRPr="003665A2" w:rsidP="003665A2">
      <w:pPr>
        <w:autoSpaceDE w:val="0"/>
        <w:autoSpaceDN w:val="0"/>
        <w:bidi w:val="0"/>
        <w:adjustRightInd w:val="0"/>
        <w:spacing w:before="120" w:line="276" w:lineRule="auto"/>
        <w:jc w:val="both"/>
        <w:rPr>
          <w:rFonts w:ascii="Book Antiqua" w:hAnsi="Book Antiqua"/>
          <w:color w:val="231F20"/>
          <w:sz w:val="22"/>
          <w:szCs w:val="22"/>
          <w:lang w:eastAsia="en-US"/>
        </w:rPr>
      </w:pPr>
    </w:p>
    <w:p w:rsidR="003665A2" w:rsidP="003665A2">
      <w:pPr>
        <w:numPr>
          <w:numId w:val="3"/>
        </w:numPr>
        <w:bidi w:val="0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4A3E2C" w:rsidR="00472D5D">
        <w:rPr>
          <w:rFonts w:ascii="Book Antiqua" w:hAnsi="Book Antiqua"/>
          <w:bCs/>
          <w:sz w:val="22"/>
          <w:szCs w:val="22"/>
        </w:rPr>
        <w:t xml:space="preserve">V </w:t>
      </w:r>
      <w:r w:rsidRPr="004A3E2C" w:rsidR="00273F9E">
        <w:rPr>
          <w:rFonts w:ascii="Book Antiqua" w:hAnsi="Book Antiqua"/>
          <w:bCs/>
          <w:sz w:val="22"/>
          <w:szCs w:val="22"/>
        </w:rPr>
        <w:t>č</w:t>
      </w:r>
      <w:r w:rsidRPr="004A3E2C" w:rsidR="00D33F44">
        <w:rPr>
          <w:rFonts w:ascii="Book Antiqua" w:hAnsi="Book Antiqua"/>
          <w:bCs/>
          <w:sz w:val="22"/>
          <w:szCs w:val="22"/>
        </w:rPr>
        <w:t>l. 77</w:t>
      </w:r>
      <w:r w:rsidRPr="004A3E2C" w:rsidR="00472D5D">
        <w:rPr>
          <w:rFonts w:ascii="Book Antiqua" w:hAnsi="Book Antiqua"/>
          <w:bCs/>
          <w:sz w:val="22"/>
          <w:szCs w:val="22"/>
        </w:rPr>
        <w:t xml:space="preserve"> odsek</w:t>
      </w:r>
      <w:r w:rsidRPr="004A3E2C" w:rsidR="00452619">
        <w:rPr>
          <w:rFonts w:ascii="Book Antiqua" w:hAnsi="Book Antiqua"/>
          <w:bCs/>
          <w:sz w:val="22"/>
          <w:szCs w:val="22"/>
        </w:rPr>
        <w:t xml:space="preserve"> 1 </w:t>
      </w:r>
      <w:r w:rsidRPr="004A3E2C" w:rsidR="00472D5D">
        <w:rPr>
          <w:rFonts w:ascii="Book Antiqua" w:hAnsi="Book Antiqua"/>
          <w:bCs/>
          <w:sz w:val="22"/>
          <w:szCs w:val="22"/>
        </w:rPr>
        <w:t>znie:</w:t>
      </w:r>
    </w:p>
    <w:p w:rsidR="002E2E4E" w:rsidRPr="004A3E2C" w:rsidP="003665A2">
      <w:pPr>
        <w:bidi w:val="0"/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3665A2" w:rsidR="00472D5D">
        <w:rPr>
          <w:rFonts w:ascii="Book Antiqua" w:hAnsi="Book Antiqua"/>
          <w:bCs/>
          <w:sz w:val="22"/>
          <w:szCs w:val="22"/>
        </w:rPr>
        <w:t xml:space="preserve">„(1) </w:t>
      </w:r>
      <w:r w:rsidRPr="003665A2" w:rsidR="000D2E53">
        <w:rPr>
          <w:rFonts w:ascii="Book Antiqua" w:hAnsi="Book Antiqua"/>
          <w:bCs/>
          <w:sz w:val="22"/>
          <w:szCs w:val="22"/>
        </w:rPr>
        <w:t>Funkcia poslanca je nezlučiteľná s</w:t>
      </w:r>
      <w:r w:rsidRPr="003665A2" w:rsidR="00A62BA4">
        <w:rPr>
          <w:rFonts w:ascii="Book Antiqua" w:hAnsi="Book Antiqua"/>
          <w:bCs/>
          <w:sz w:val="22"/>
          <w:szCs w:val="22"/>
        </w:rPr>
        <w:t> </w:t>
      </w:r>
      <w:r w:rsidRPr="003665A2" w:rsidR="000D2E53">
        <w:rPr>
          <w:rFonts w:ascii="Book Antiqua" w:hAnsi="Book Antiqua"/>
          <w:bCs/>
          <w:sz w:val="22"/>
          <w:szCs w:val="22"/>
        </w:rPr>
        <w:t>funkciou</w:t>
      </w:r>
      <w:r w:rsidRPr="003665A2" w:rsidR="00A62BA4">
        <w:rPr>
          <w:rFonts w:ascii="Book Antiqua" w:hAnsi="Book Antiqua"/>
          <w:bCs/>
          <w:sz w:val="22"/>
          <w:szCs w:val="22"/>
        </w:rPr>
        <w:t xml:space="preserve"> </w:t>
      </w:r>
      <w:r w:rsidR="003665A2">
        <w:rPr>
          <w:rFonts w:ascii="Book Antiqua" w:hAnsi="Book Antiqua"/>
          <w:bCs/>
          <w:sz w:val="22"/>
          <w:szCs w:val="22"/>
        </w:rPr>
        <w:t xml:space="preserve">poslanca Európskeho parlamentu, </w:t>
      </w:r>
      <w:r w:rsidRPr="003665A2" w:rsidR="004A3E2C">
        <w:rPr>
          <w:rFonts w:ascii="Book Antiqua" w:hAnsi="Book Antiqua"/>
          <w:bCs/>
          <w:sz w:val="22"/>
          <w:szCs w:val="22"/>
        </w:rPr>
        <w:t xml:space="preserve">predsedu vyššieho územného celku, starostu obce, sudcu, prokurátora, verejného ochrancu práv, </w:t>
      </w:r>
      <w:r w:rsidR="003665A2">
        <w:rPr>
          <w:rFonts w:ascii="Book Antiqua" w:hAnsi="Book Antiqua"/>
          <w:bCs/>
          <w:sz w:val="22"/>
          <w:szCs w:val="22"/>
        </w:rPr>
        <w:t xml:space="preserve">príslušníka ozbrojených síl a </w:t>
      </w:r>
      <w:r w:rsidRPr="003665A2" w:rsidR="004A3E2C">
        <w:rPr>
          <w:rFonts w:ascii="Book Antiqua" w:hAnsi="Book Antiqua"/>
          <w:bCs/>
          <w:sz w:val="22"/>
          <w:szCs w:val="22"/>
        </w:rPr>
        <w:t>príslušníka ozbrojeného zboru.</w:t>
      </w:r>
      <w:r w:rsidRPr="003665A2" w:rsidR="007B5ED5">
        <w:rPr>
          <w:rFonts w:ascii="Book Antiqua" w:hAnsi="Book Antiqua"/>
          <w:bCs/>
          <w:sz w:val="22"/>
          <w:szCs w:val="22"/>
        </w:rPr>
        <w:t>“</w:t>
      </w:r>
      <w:r w:rsidRPr="003665A2" w:rsidR="004A3E2C">
        <w:rPr>
          <w:rFonts w:ascii="Book Antiqua" w:hAnsi="Book Antiqua"/>
          <w:bCs/>
          <w:sz w:val="22"/>
          <w:szCs w:val="22"/>
        </w:rPr>
        <w:t>.</w:t>
      </w:r>
    </w:p>
    <w:p w:rsidR="003665A2" w:rsidP="003665A2">
      <w:pPr>
        <w:numPr>
          <w:numId w:val="3"/>
        </w:numPr>
        <w:bidi w:val="0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4A3E2C" w:rsidR="00D24847">
        <w:rPr>
          <w:rFonts w:ascii="Book Antiqua" w:hAnsi="Book Antiqua"/>
          <w:bCs/>
          <w:sz w:val="22"/>
          <w:szCs w:val="22"/>
        </w:rPr>
        <w:t>Za čl</w:t>
      </w:r>
      <w:r>
        <w:rPr>
          <w:rFonts w:ascii="Book Antiqua" w:hAnsi="Book Antiqua"/>
          <w:bCs/>
          <w:sz w:val="22"/>
          <w:szCs w:val="22"/>
        </w:rPr>
        <w:t>. 154d sa vkladá čl. 154e</w:t>
      </w:r>
      <w:r w:rsidRPr="004A3E2C" w:rsidR="00474ADD">
        <w:rPr>
          <w:rFonts w:ascii="Book Antiqua" w:hAnsi="Book Antiqua"/>
          <w:bCs/>
          <w:sz w:val="22"/>
          <w:szCs w:val="22"/>
        </w:rPr>
        <w:t>, ktorý znie:</w:t>
      </w:r>
    </w:p>
    <w:p w:rsidR="003665A2" w:rsidP="003665A2">
      <w:pPr>
        <w:bidi w:val="0"/>
        <w:spacing w:before="120" w:line="276" w:lineRule="auto"/>
        <w:ind w:left="851"/>
        <w:jc w:val="center"/>
        <w:rPr>
          <w:rFonts w:ascii="Book Antiqua" w:hAnsi="Book Antiqua"/>
          <w:bCs/>
          <w:sz w:val="22"/>
          <w:szCs w:val="22"/>
        </w:rPr>
      </w:pPr>
      <w:r w:rsidRPr="003665A2" w:rsidR="00474ADD">
        <w:rPr>
          <w:rFonts w:ascii="Book Antiqua" w:hAnsi="Book Antiqua"/>
          <w:bCs/>
          <w:sz w:val="22"/>
          <w:szCs w:val="22"/>
        </w:rPr>
        <w:t>„</w:t>
      </w:r>
      <w:r>
        <w:rPr>
          <w:rFonts w:ascii="Book Antiqua" w:hAnsi="Book Antiqua"/>
          <w:b/>
          <w:bCs/>
          <w:sz w:val="22"/>
          <w:szCs w:val="22"/>
        </w:rPr>
        <w:t>Čl. 154e</w:t>
      </w:r>
    </w:p>
    <w:p w:rsidR="00474ADD" w:rsidRPr="003665A2" w:rsidP="003665A2">
      <w:pPr>
        <w:bidi w:val="0"/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3665A2" w:rsidR="005B0047">
        <w:rPr>
          <w:rFonts w:ascii="Book Antiqua" w:hAnsi="Book Antiqua"/>
          <w:bCs/>
          <w:sz w:val="22"/>
          <w:szCs w:val="22"/>
        </w:rPr>
        <w:t xml:space="preserve">Na poslanca vykonávajúceho funkciu </w:t>
      </w:r>
      <w:r w:rsidRPr="003665A2" w:rsidR="004A3E2C">
        <w:rPr>
          <w:rFonts w:ascii="Book Antiqua" w:hAnsi="Book Antiqua"/>
          <w:bCs/>
          <w:sz w:val="22"/>
          <w:szCs w:val="22"/>
        </w:rPr>
        <w:t xml:space="preserve">predsedu vyššieho územného celku a starostu obce </w:t>
      </w:r>
      <w:r w:rsidRPr="003665A2" w:rsidR="005B0047">
        <w:rPr>
          <w:rFonts w:ascii="Book Antiqua" w:hAnsi="Book Antiqua"/>
          <w:bCs/>
          <w:sz w:val="22"/>
          <w:szCs w:val="22"/>
        </w:rPr>
        <w:t>vo funkčnom období, ktoré začalo</w:t>
      </w:r>
      <w:r w:rsidRPr="003665A2" w:rsidR="004931CF">
        <w:rPr>
          <w:rFonts w:ascii="Book Antiqua" w:hAnsi="Book Antiqua"/>
          <w:bCs/>
          <w:sz w:val="22"/>
          <w:szCs w:val="22"/>
        </w:rPr>
        <w:t xml:space="preserve"> pre</w:t>
      </w:r>
      <w:r w:rsidRPr="003665A2" w:rsidR="002E4B21">
        <w:rPr>
          <w:rFonts w:ascii="Book Antiqua" w:hAnsi="Book Antiqua"/>
          <w:bCs/>
          <w:sz w:val="22"/>
          <w:szCs w:val="22"/>
        </w:rPr>
        <w:t>d</w:t>
      </w:r>
      <w:r w:rsidRPr="003665A2" w:rsidR="004931CF">
        <w:rPr>
          <w:rFonts w:ascii="Book Antiqua" w:hAnsi="Book Antiqua"/>
          <w:bCs/>
          <w:sz w:val="22"/>
          <w:szCs w:val="22"/>
        </w:rPr>
        <w:t xml:space="preserve"> </w:t>
      </w:r>
      <w:r w:rsidR="00AA1B4E">
        <w:rPr>
          <w:rFonts w:ascii="Book Antiqua" w:hAnsi="Book Antiqua"/>
          <w:bCs/>
          <w:sz w:val="22"/>
          <w:szCs w:val="22"/>
        </w:rPr>
        <w:t>1. januárom 2015</w:t>
      </w:r>
      <w:r w:rsidRPr="003665A2" w:rsidR="005B0047">
        <w:rPr>
          <w:rFonts w:ascii="Book Antiqua" w:hAnsi="Book Antiqua"/>
          <w:bCs/>
          <w:sz w:val="22"/>
          <w:szCs w:val="22"/>
        </w:rPr>
        <w:t>, sa vzťahuje</w:t>
      </w:r>
      <w:r w:rsidRPr="003665A2" w:rsidR="00317EA7">
        <w:rPr>
          <w:rFonts w:ascii="Book Antiqua" w:hAnsi="Book Antiqua"/>
          <w:bCs/>
          <w:sz w:val="22"/>
          <w:szCs w:val="22"/>
        </w:rPr>
        <w:t xml:space="preserve"> právna úprava podľa doterajších právnych predpisov.</w:t>
      </w:r>
      <w:r w:rsidRPr="003665A2">
        <w:rPr>
          <w:rFonts w:ascii="Book Antiqua" w:hAnsi="Book Antiqua"/>
          <w:bCs/>
          <w:sz w:val="22"/>
          <w:szCs w:val="22"/>
        </w:rPr>
        <w:t>“</w:t>
      </w:r>
      <w:r w:rsidRPr="003665A2" w:rsidR="00A37F27">
        <w:rPr>
          <w:rFonts w:ascii="Book Antiqua" w:hAnsi="Book Antiqua"/>
          <w:bCs/>
          <w:sz w:val="22"/>
          <w:szCs w:val="22"/>
        </w:rPr>
        <w:t>.</w:t>
      </w:r>
    </w:p>
    <w:p w:rsidR="00E21846" w:rsidRPr="004A3E2C" w:rsidP="003665A2">
      <w:pPr>
        <w:bidi w:val="0"/>
        <w:spacing w:before="120" w:line="276" w:lineRule="auto"/>
        <w:rPr>
          <w:rFonts w:ascii="Book Antiqua" w:hAnsi="Book Antiqua"/>
          <w:bCs/>
          <w:sz w:val="22"/>
          <w:szCs w:val="22"/>
        </w:rPr>
      </w:pPr>
    </w:p>
    <w:p w:rsidR="003665A2" w:rsidP="003665A2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4A3E2C" w:rsidR="00355DF8">
        <w:rPr>
          <w:rFonts w:ascii="Book Antiqua" w:hAnsi="Book Antiqua"/>
          <w:b/>
          <w:sz w:val="22"/>
          <w:szCs w:val="22"/>
        </w:rPr>
        <w:t>Čl. II</w:t>
      </w:r>
    </w:p>
    <w:p w:rsidR="003665A2" w:rsidRPr="003665A2" w:rsidP="003665A2">
      <w:pPr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4A3E2C" w:rsidR="00355DF8">
        <w:rPr>
          <w:rFonts w:ascii="Book Antiqua" w:hAnsi="Book Antiqua"/>
          <w:sz w:val="22"/>
          <w:szCs w:val="22"/>
        </w:rPr>
        <w:t xml:space="preserve">Tento </w:t>
      </w:r>
      <w:r w:rsidRPr="004A3E2C" w:rsidR="00F444F8">
        <w:rPr>
          <w:rFonts w:ascii="Book Antiqua" w:hAnsi="Book Antiqua"/>
          <w:sz w:val="22"/>
          <w:szCs w:val="22"/>
        </w:rPr>
        <w:t xml:space="preserve">ústavný </w:t>
      </w:r>
      <w:r w:rsidR="007B2565">
        <w:rPr>
          <w:rFonts w:ascii="Book Antiqua" w:hAnsi="Book Antiqua"/>
          <w:sz w:val="22"/>
          <w:szCs w:val="22"/>
        </w:rPr>
        <w:t xml:space="preserve">zákon nadobúda účinnosť </w:t>
      </w:r>
      <w:r w:rsidR="006A16F3">
        <w:rPr>
          <w:rFonts w:ascii="Book Antiqua" w:hAnsi="Book Antiqua"/>
          <w:sz w:val="22"/>
          <w:szCs w:val="22"/>
        </w:rPr>
        <w:t>1. januára 2015.</w:t>
      </w:r>
    </w:p>
    <w:sectPr w:rsidSect="00450A2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8526B"/>
    <w:multiLevelType w:val="hybridMultilevel"/>
    <w:tmpl w:val="A1A0216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color w:val="231F2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2D362570"/>
    <w:multiLevelType w:val="hybridMultilevel"/>
    <w:tmpl w:val="E41CA1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4E1F30A5"/>
    <w:multiLevelType w:val="hybridMultilevel"/>
    <w:tmpl w:val="F5A8D0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55DF8"/>
    <w:rsid w:val="00006215"/>
    <w:rsid w:val="00026FF8"/>
    <w:rsid w:val="000D2E53"/>
    <w:rsid w:val="000F4272"/>
    <w:rsid w:val="00113A5A"/>
    <w:rsid w:val="0011595B"/>
    <w:rsid w:val="00120770"/>
    <w:rsid w:val="001717B1"/>
    <w:rsid w:val="001E271E"/>
    <w:rsid w:val="0020372C"/>
    <w:rsid w:val="002637A5"/>
    <w:rsid w:val="00273F9E"/>
    <w:rsid w:val="002835DF"/>
    <w:rsid w:val="002A10BC"/>
    <w:rsid w:val="002E2E4E"/>
    <w:rsid w:val="002E4B21"/>
    <w:rsid w:val="00317EA7"/>
    <w:rsid w:val="0035373E"/>
    <w:rsid w:val="00355DF8"/>
    <w:rsid w:val="003665A2"/>
    <w:rsid w:val="00392D5C"/>
    <w:rsid w:val="003A3B7B"/>
    <w:rsid w:val="00450A28"/>
    <w:rsid w:val="00452619"/>
    <w:rsid w:val="00472D5D"/>
    <w:rsid w:val="00474ADD"/>
    <w:rsid w:val="004931CF"/>
    <w:rsid w:val="00496A32"/>
    <w:rsid w:val="00496EE0"/>
    <w:rsid w:val="004A3E2C"/>
    <w:rsid w:val="00511153"/>
    <w:rsid w:val="005B0047"/>
    <w:rsid w:val="005B7D29"/>
    <w:rsid w:val="005D18E8"/>
    <w:rsid w:val="005E5D59"/>
    <w:rsid w:val="006A16F3"/>
    <w:rsid w:val="00740E04"/>
    <w:rsid w:val="007A60C4"/>
    <w:rsid w:val="007B2565"/>
    <w:rsid w:val="007B5ED5"/>
    <w:rsid w:val="008A0781"/>
    <w:rsid w:val="0094671B"/>
    <w:rsid w:val="00950795"/>
    <w:rsid w:val="009B3C7E"/>
    <w:rsid w:val="009D01E7"/>
    <w:rsid w:val="00A37F27"/>
    <w:rsid w:val="00A62BA4"/>
    <w:rsid w:val="00A90DCB"/>
    <w:rsid w:val="00AA1B4E"/>
    <w:rsid w:val="00B16FB6"/>
    <w:rsid w:val="00B32B22"/>
    <w:rsid w:val="00BA26F3"/>
    <w:rsid w:val="00C210C5"/>
    <w:rsid w:val="00C31F50"/>
    <w:rsid w:val="00D24847"/>
    <w:rsid w:val="00D33F44"/>
    <w:rsid w:val="00D51254"/>
    <w:rsid w:val="00DB457A"/>
    <w:rsid w:val="00E21846"/>
    <w:rsid w:val="00E34811"/>
    <w:rsid w:val="00F444F8"/>
    <w:rsid w:val="00F63AF2"/>
    <w:rsid w:val="00F94E39"/>
    <w:rsid w:val="00FC34C8"/>
    <w:rsid w:val="00FE3A0B"/>
    <w:rsid w:val="00FF34B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F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5DF8"/>
    <w:pPr>
      <w:ind w:left="720"/>
      <w:contextualSpacing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2835DF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5DF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835DF"/>
    <w:rPr>
      <w:rFonts w:ascii="Times New Roman" w:hAnsi="Times New Roman"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5DF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835DF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5DF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35DF"/>
    <w:rPr>
      <w:rFonts w:ascii="Tahoma" w:hAnsi="Tahoma" w:cs="Times New Roman"/>
      <w:sz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204</Words>
  <Characters>1169</Characters>
  <Application>Microsoft Office Word</Application>
  <DocSecurity>0</DocSecurity>
  <Lines>0</Lines>
  <Paragraphs>0</Paragraphs>
  <ScaleCrop>false</ScaleCrop>
  <Company>Kancelaria NR SR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Meszaros</dc:creator>
  <cp:lastModifiedBy>Gašparíková, Jarmila</cp:lastModifiedBy>
  <cp:revision>2</cp:revision>
  <cp:lastPrinted>2013-01-10T16:21:00Z</cp:lastPrinted>
  <dcterms:created xsi:type="dcterms:W3CDTF">2014-09-19T11:49:00Z</dcterms:created>
  <dcterms:modified xsi:type="dcterms:W3CDTF">2014-09-19T11:49:00Z</dcterms:modified>
</cp:coreProperties>
</file>