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7A78" w:rsidP="00787A78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="001D794E">
        <w:rPr>
          <w:rFonts w:ascii="Times New Roman" w:hAnsi="Times New Roman"/>
          <w:b/>
          <w:bCs/>
          <w:lang w:val="sk-SK"/>
        </w:rPr>
        <w:t>....</w:t>
      </w:r>
    </w:p>
    <w:p w:rsidR="00787A78" w:rsidP="00787A78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87A78" w:rsidP="00787A78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87A78" w:rsidP="00787A78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87A78" w:rsidP="00787A78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87A78" w:rsidP="00787A78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87A78" w:rsidP="00787A78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87A78" w:rsidP="00787A78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87A78" w:rsidP="00787A78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87A78" w:rsidP="00787A78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87A78" w:rsidRPr="004F5D5C" w:rsidP="00787A78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787A78" w:rsidP="00787A78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787A78" w:rsidP="00787A78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787A78" w:rsidP="00787A78">
      <w:pPr>
        <w:bidi w:val="0"/>
        <w:jc w:val="center"/>
        <w:rPr>
          <w:rFonts w:ascii="Times New Roman" w:hAnsi="Times New Roman"/>
          <w:b/>
          <w:lang w:val="sk-SK"/>
        </w:rPr>
      </w:pPr>
      <w:r w:rsidRPr="00607AF6">
        <w:rPr>
          <w:rFonts w:ascii="Times New Roman" w:hAnsi="Times New Roman"/>
          <w:b/>
          <w:lang w:val="sk-SK"/>
        </w:rPr>
        <w:t xml:space="preserve">z </w:t>
      </w:r>
      <w:r w:rsidR="00CA49CC">
        <w:rPr>
          <w:rFonts w:ascii="Times New Roman" w:hAnsi="Times New Roman"/>
          <w:b/>
          <w:lang w:val="sk-SK"/>
        </w:rPr>
        <w:t>10</w:t>
      </w:r>
      <w:r w:rsidRPr="00607AF6">
        <w:rPr>
          <w:rFonts w:ascii="Times New Roman" w:hAnsi="Times New Roman"/>
          <w:b/>
          <w:bCs/>
          <w:lang w:val="sk-SK"/>
        </w:rPr>
        <w:t xml:space="preserve">. septembra </w:t>
      </w:r>
      <w:r w:rsidRPr="00607AF6">
        <w:rPr>
          <w:rFonts w:ascii="Times New Roman" w:hAnsi="Times New Roman"/>
          <w:b/>
          <w:lang w:val="sk-SK"/>
        </w:rPr>
        <w:t>2014</w:t>
      </w:r>
    </w:p>
    <w:p w:rsidR="00AA41EC" w:rsidP="00787A78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AA41EC" w:rsidP="00787A78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787A78" w:rsidRPr="00607AF6" w:rsidP="00787A78">
      <w:pPr>
        <w:bidi w:val="0"/>
        <w:jc w:val="center"/>
        <w:rPr>
          <w:rFonts w:ascii="Times New Roman" w:hAnsi="Times New Roman"/>
          <w:lang w:val="sk-SK"/>
        </w:rPr>
      </w:pPr>
    </w:p>
    <w:p w:rsidR="00787A78" w:rsidRPr="00607AF6" w:rsidP="00787A78">
      <w:pPr>
        <w:bidi w:val="0"/>
        <w:jc w:val="center"/>
        <w:rPr>
          <w:rFonts w:ascii="Times New Roman" w:hAnsi="Times New Roman"/>
          <w:b/>
          <w:lang w:val="sk-SK"/>
        </w:rPr>
      </w:pPr>
      <w:r w:rsidRPr="00607AF6">
        <w:rPr>
          <w:rFonts w:ascii="Times New Roman" w:hAnsi="Times New Roman"/>
          <w:b/>
          <w:lang w:val="sk-SK"/>
        </w:rPr>
        <w:t>o pôsobnosti orgánov štátnej správy vo veciach prekurzorov výbušnín a o zmene a doplnení niektorých zákonov</w:t>
      </w:r>
    </w:p>
    <w:p w:rsidR="00787A78" w:rsidP="00787A78">
      <w:pPr>
        <w:bidi w:val="0"/>
        <w:rPr>
          <w:rFonts w:ascii="Times New Roman" w:hAnsi="Times New Roman"/>
          <w:lang w:val="sk-SK"/>
        </w:rPr>
      </w:pPr>
    </w:p>
    <w:p w:rsidR="00AA41EC" w:rsidP="00787A78">
      <w:pPr>
        <w:bidi w:val="0"/>
        <w:rPr>
          <w:rFonts w:ascii="Times New Roman" w:hAnsi="Times New Roman"/>
          <w:lang w:val="sk-SK"/>
        </w:rPr>
      </w:pPr>
    </w:p>
    <w:p w:rsidR="00787A78" w:rsidRPr="00607AF6" w:rsidP="00787A78">
      <w:pPr>
        <w:bidi w:val="0"/>
        <w:rPr>
          <w:rFonts w:ascii="Times New Roman" w:hAnsi="Times New Roman"/>
          <w:lang w:val="sk-SK"/>
        </w:rPr>
      </w:pPr>
    </w:p>
    <w:p w:rsidR="00787A78" w:rsidRPr="00607AF6" w:rsidP="00787A78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607AF6">
        <w:rPr>
          <w:rFonts w:ascii="Times New Roman" w:hAnsi="Times New Roman"/>
          <w:color w:val="auto"/>
          <w:szCs w:val="24"/>
        </w:rPr>
        <w:t>Národná rada Slovenskej republiky sa uzniesla na tomto zákone:</w:t>
      </w:r>
    </w:p>
    <w:p w:rsidR="00787A78" w:rsidRPr="00607AF6" w:rsidP="00787A78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</w:p>
    <w:p w:rsidR="00787A78" w:rsidRPr="00607AF6" w:rsidP="00787A78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</w:p>
    <w:p w:rsidR="00787A78" w:rsidRPr="00607AF6" w:rsidP="00787A78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  <w:r w:rsidRPr="00607AF6">
        <w:rPr>
          <w:rFonts w:ascii="Times New Roman" w:hAnsi="Times New Roman"/>
          <w:color w:val="auto"/>
          <w:szCs w:val="24"/>
        </w:rPr>
        <w:t>Čl. I</w:t>
      </w:r>
    </w:p>
    <w:p w:rsidR="00787A78" w:rsidRPr="00607AF6" w:rsidP="00787A78">
      <w:pPr>
        <w:bidi w:val="0"/>
        <w:rPr>
          <w:rFonts w:ascii="Times New Roman" w:hAnsi="Times New Roman"/>
          <w:lang w:val="sk-SK"/>
        </w:rPr>
      </w:pPr>
    </w:p>
    <w:p w:rsidR="00787A78" w:rsidRPr="00607AF6" w:rsidP="00787A78">
      <w:pPr>
        <w:bidi w:val="0"/>
        <w:jc w:val="center"/>
        <w:rPr>
          <w:rFonts w:ascii="Times New Roman" w:hAnsi="Times New Roman"/>
          <w:lang w:val="sk-SK"/>
        </w:rPr>
      </w:pPr>
    </w:p>
    <w:p w:rsidR="00787A78" w:rsidRPr="00607AF6" w:rsidP="00787A78">
      <w:pPr>
        <w:bidi w:val="0"/>
        <w:jc w:val="center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 xml:space="preserve">§ 1 </w:t>
      </w:r>
    </w:p>
    <w:p w:rsidR="00787A78" w:rsidRPr="00607AF6" w:rsidP="00787A78">
      <w:pPr>
        <w:bidi w:val="0"/>
        <w:jc w:val="center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>Predmet úpravy</w:t>
      </w:r>
    </w:p>
    <w:p w:rsidR="00787A78" w:rsidRPr="00607AF6" w:rsidP="00787A78">
      <w:pPr>
        <w:bidi w:val="0"/>
        <w:jc w:val="center"/>
        <w:rPr>
          <w:rFonts w:ascii="Times New Roman" w:hAnsi="Times New Roman"/>
          <w:lang w:val="sk-SK"/>
        </w:rPr>
      </w:pPr>
    </w:p>
    <w:p w:rsidR="00787A78" w:rsidRPr="00607AF6" w:rsidP="00787A78">
      <w:pPr>
        <w:bidi w:val="0"/>
        <w:jc w:val="both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 xml:space="preserve">Tento zákon ustanovuje </w:t>
      </w:r>
    </w:p>
    <w:p w:rsidR="00787A78" w:rsidRPr="00607AF6" w:rsidP="00787A78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AF6">
        <w:rPr>
          <w:rFonts w:ascii="Times New Roman" w:hAnsi="Times New Roman" w:cs="Times New Roman"/>
          <w:sz w:val="24"/>
          <w:szCs w:val="24"/>
        </w:rPr>
        <w:t>pôsobnosť orgánov štátnej správy vo veciach</w:t>
      </w:r>
    </w:p>
    <w:p w:rsidR="00787A78" w:rsidRPr="00607AF6" w:rsidP="00787A78">
      <w:pPr>
        <w:pStyle w:val="ListParagraph"/>
        <w:numPr>
          <w:numId w:val="2"/>
        </w:numPr>
        <w:bidi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7AF6">
        <w:rPr>
          <w:rFonts w:ascii="Times New Roman" w:hAnsi="Times New Roman" w:cs="Times New Roman"/>
          <w:sz w:val="24"/>
          <w:szCs w:val="24"/>
        </w:rPr>
        <w:t xml:space="preserve">sprístupňovania, dovozu, vlastníctva a používania obmedzených prekurzorov výbušnín, </w:t>
      </w:r>
    </w:p>
    <w:p w:rsidR="00787A78" w:rsidRPr="00607AF6" w:rsidP="00787A78">
      <w:pPr>
        <w:pStyle w:val="ListParagraph"/>
        <w:numPr>
          <w:numId w:val="2"/>
        </w:numPr>
        <w:bidi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7AF6">
        <w:rPr>
          <w:rFonts w:ascii="Times New Roman" w:hAnsi="Times New Roman" w:cs="Times New Roman"/>
          <w:sz w:val="24"/>
          <w:szCs w:val="24"/>
        </w:rPr>
        <w:t xml:space="preserve">nahlasovania podozrivých transakcií  prekurzorov výbušnín, </w:t>
      </w:r>
    </w:p>
    <w:p w:rsidR="00787A78" w:rsidRPr="00607AF6" w:rsidP="00787A78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AF6">
        <w:rPr>
          <w:rFonts w:ascii="Times New Roman" w:hAnsi="Times New Roman" w:cs="Times New Roman"/>
          <w:sz w:val="24"/>
          <w:szCs w:val="24"/>
        </w:rPr>
        <w:t>opatrenia na kontrolu zaobchádzania s prekurzormi výbušnín.</w:t>
      </w:r>
    </w:p>
    <w:p w:rsidR="00787A78" w:rsidRPr="00607AF6" w:rsidP="00787A78">
      <w:pPr>
        <w:bidi w:val="0"/>
        <w:jc w:val="center"/>
        <w:rPr>
          <w:rFonts w:ascii="Times New Roman" w:hAnsi="Times New Roman"/>
          <w:lang w:val="sk-SK"/>
        </w:rPr>
      </w:pPr>
    </w:p>
    <w:p w:rsidR="00787A78" w:rsidRPr="00607AF6" w:rsidP="00787A78">
      <w:pPr>
        <w:bidi w:val="0"/>
        <w:jc w:val="center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>§ 2</w:t>
      </w:r>
    </w:p>
    <w:p w:rsidR="00787A78" w:rsidRPr="00607AF6" w:rsidP="00787A78">
      <w:pPr>
        <w:bidi w:val="0"/>
        <w:jc w:val="center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>Orgány štátnej správy vo veciach prekurzorov výbušnín</w:t>
      </w:r>
    </w:p>
    <w:p w:rsidR="00787A78" w:rsidRPr="00607AF6" w:rsidP="00787A78">
      <w:pPr>
        <w:bidi w:val="0"/>
        <w:jc w:val="both"/>
        <w:rPr>
          <w:rFonts w:ascii="Times New Roman" w:hAnsi="Times New Roman"/>
          <w:lang w:val="sk-SK"/>
        </w:rPr>
      </w:pPr>
    </w:p>
    <w:p w:rsidR="00787A78" w:rsidRPr="00607AF6" w:rsidP="00787A78">
      <w:pPr>
        <w:bidi w:val="0"/>
        <w:ind w:left="357" w:hanging="357"/>
        <w:jc w:val="both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 xml:space="preserve">Orgánmi štátnej správy </w:t>
      </w:r>
      <w:r w:rsidRPr="00607AF6">
        <w:rPr>
          <w:rFonts w:ascii="Times New Roman" w:hAnsi="Times New Roman" w:cs="Calibri"/>
          <w:lang w:val="sk-SK"/>
        </w:rPr>
        <w:t>vo veciach prekurzorov výbušnín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2"/>
      </w:r>
      <w:r w:rsidRPr="00607AF6">
        <w:rPr>
          <w:rFonts w:ascii="Times New Roman" w:hAnsi="Times New Roman"/>
          <w:lang w:val="sk-SK"/>
        </w:rPr>
        <w:t>) sú</w:t>
      </w:r>
    </w:p>
    <w:p w:rsidR="00787A78" w:rsidRPr="00607AF6" w:rsidP="00787A78">
      <w:pPr>
        <w:pStyle w:val="ListParagraph"/>
        <w:numPr>
          <w:numId w:val="3"/>
        </w:numPr>
        <w:bidi w:val="0"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 w:hint="default"/>
          <w:sz w:val="24"/>
          <w:szCs w:val="24"/>
        </w:rPr>
      </w:pP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Ministerstvo hospodá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rstva Slovenskej republiky (ď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alej len „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ministerstvo hospodá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rstva“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),</w:t>
      </w:r>
    </w:p>
    <w:p w:rsidR="00787A78" w:rsidRPr="00607AF6" w:rsidP="00787A78">
      <w:pPr>
        <w:pStyle w:val="ListParagraph"/>
        <w:numPr>
          <w:numId w:val="3"/>
        </w:numPr>
        <w:bidi w:val="0"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 w:hint="default"/>
          <w:sz w:val="24"/>
          <w:szCs w:val="24"/>
        </w:rPr>
      </w:pP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Ministerstvo vnú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tra Slovenskej republiky (ď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alej len „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ministerstvo vnú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tra“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),</w:t>
      </w:r>
    </w:p>
    <w:p w:rsidR="00787A78" w:rsidRPr="00607AF6" w:rsidP="00787A78">
      <w:pPr>
        <w:pStyle w:val="ListParagraph"/>
        <w:numPr>
          <w:numId w:val="3"/>
        </w:numPr>
        <w:bidi w:val="0"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 w:hint="default"/>
          <w:sz w:val="24"/>
          <w:szCs w:val="24"/>
        </w:rPr>
      </w:pP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Slovenská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 xml:space="preserve"> obchodná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 xml:space="preserve"> inš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pekcia,</w:t>
      </w:r>
    </w:p>
    <w:p w:rsidR="00787A78" w:rsidRPr="00607AF6" w:rsidP="00787A78">
      <w:pPr>
        <w:pStyle w:val="ListParagraph"/>
        <w:numPr>
          <w:numId w:val="3"/>
        </w:numPr>
        <w:bidi w:val="0"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 w:hint="default"/>
          <w:sz w:val="24"/>
          <w:szCs w:val="24"/>
        </w:rPr>
      </w:pP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colné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 xml:space="preserve"> ú</w:t>
      </w:r>
      <w:r w:rsidRPr="00607AF6">
        <w:rPr>
          <w:rFonts w:ascii="Times New Roman" w:eastAsia="Arial Unicode MS" w:hAnsi="Times New Roman" w:cs="Times New Roman" w:hint="default"/>
          <w:sz w:val="24"/>
          <w:szCs w:val="24"/>
        </w:rPr>
        <w:t>rady.</w:t>
      </w:r>
    </w:p>
    <w:p w:rsidR="00787A78" w:rsidRPr="00607AF6" w:rsidP="00787A78">
      <w:pPr>
        <w:bidi w:val="0"/>
        <w:jc w:val="center"/>
        <w:rPr>
          <w:rFonts w:ascii="Times New Roman" w:hAnsi="Times New Roman"/>
          <w:lang w:val="sk-SK"/>
        </w:rPr>
      </w:pPr>
    </w:p>
    <w:p w:rsidR="00787A78" w:rsidRPr="00607AF6" w:rsidP="00787A78">
      <w:pPr>
        <w:bidi w:val="0"/>
        <w:jc w:val="center"/>
        <w:rPr>
          <w:rFonts w:ascii="Times New Roman" w:hAnsi="Times New Roman"/>
          <w:lang w:val="sk-SK"/>
        </w:rPr>
      </w:pPr>
    </w:p>
    <w:p w:rsidR="00787A78" w:rsidRPr="00607AF6" w:rsidP="00787A78">
      <w:pPr>
        <w:bidi w:val="0"/>
        <w:jc w:val="center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>§ 3</w:t>
      </w:r>
    </w:p>
    <w:p w:rsidR="00787A78" w:rsidRPr="00607AF6" w:rsidP="00787A78">
      <w:pPr>
        <w:bidi w:val="0"/>
        <w:jc w:val="center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>Ministerstvo hospodárstva</w:t>
      </w:r>
    </w:p>
    <w:p w:rsidR="00787A78" w:rsidRPr="00607AF6" w:rsidP="00787A78">
      <w:pPr>
        <w:bidi w:val="0"/>
        <w:rPr>
          <w:rFonts w:ascii="Times New Roman" w:hAnsi="Times New Roman"/>
          <w:lang w:val="sk-SK"/>
        </w:rPr>
      </w:pPr>
    </w:p>
    <w:p w:rsidR="00787A78" w:rsidRPr="00607AF6" w:rsidP="00787A78">
      <w:pPr>
        <w:numPr>
          <w:numId w:val="4"/>
        </w:numPr>
        <w:tabs>
          <w:tab w:val="num" w:pos="284"/>
          <w:tab w:val="clear" w:pos="720"/>
        </w:tabs>
        <w:bidi w:val="0"/>
        <w:ind w:left="357" w:hanging="357"/>
        <w:jc w:val="both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 xml:space="preserve"> Ministerstvo hospodárstva vo veciach prekurzorov výbušnín</w:t>
      </w:r>
    </w:p>
    <w:p w:rsidR="00787A78" w:rsidRPr="00607AF6" w:rsidP="00787A78">
      <w:pPr>
        <w:numPr>
          <w:numId w:val="5"/>
        </w:numPr>
        <w:bidi w:val="0"/>
        <w:ind w:left="709" w:hanging="283"/>
        <w:contextualSpacing/>
        <w:jc w:val="both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>riadi výkon štátnej správy vo veciach prekurzorov výbušnín,</w:t>
      </w:r>
    </w:p>
    <w:p w:rsidR="00787A78" w:rsidRPr="00607AF6" w:rsidP="00787A78">
      <w:pPr>
        <w:numPr>
          <w:numId w:val="5"/>
        </w:numPr>
        <w:bidi w:val="0"/>
        <w:ind w:left="709" w:hanging="283"/>
        <w:contextualSpacing/>
        <w:jc w:val="both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 xml:space="preserve">spolupracuje s Európskou komisiou a členskými štátmi </w:t>
      </w:r>
      <w:r w:rsidRPr="00607AF6">
        <w:rPr>
          <w:rFonts w:ascii="Times New Roman" w:hAnsi="Times New Roman" w:cs="Calibri"/>
          <w:lang w:val="sk-SK"/>
        </w:rPr>
        <w:t>Európskej únie a inými štátmi, ktoré sú zmluvnými stranami Dohody o Európskom hospodárskom priestore</w:t>
      </w:r>
      <w:r w:rsidRPr="00607AF6">
        <w:rPr>
          <w:rFonts w:ascii="Times New Roman" w:hAnsi="Times New Roman"/>
          <w:lang w:val="sk-SK"/>
        </w:rPr>
        <w:t xml:space="preserve"> podľa osobitného predpisu, </w:t>
      </w:r>
      <w:r>
        <w:rPr>
          <w:rFonts w:ascii="Times New Roman" w:hAnsi="Times New Roman"/>
          <w:vertAlign w:val="superscript"/>
          <w:rtl w:val="0"/>
          <w:lang w:val="sk-SK"/>
        </w:rPr>
        <w:footnoteReference w:id="3"/>
      </w:r>
      <w:r w:rsidRPr="00607AF6">
        <w:rPr>
          <w:rFonts w:ascii="Times New Roman" w:hAnsi="Times New Roman"/>
          <w:lang w:val="sk-SK"/>
        </w:rPr>
        <w:t>)</w:t>
      </w:r>
    </w:p>
    <w:p w:rsidR="00787A78" w:rsidRPr="00607AF6" w:rsidP="00787A78">
      <w:pPr>
        <w:numPr>
          <w:numId w:val="5"/>
        </w:numPr>
        <w:bidi w:val="0"/>
        <w:ind w:left="709" w:hanging="283"/>
        <w:contextualSpacing/>
        <w:jc w:val="both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>zverejňuje na svojom webovom sídle informácie pre hospodárske subjekty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4"/>
      </w:r>
      <w:r w:rsidRPr="00607AF6">
        <w:rPr>
          <w:rFonts w:ascii="Times New Roman" w:hAnsi="Times New Roman"/>
          <w:lang w:val="sk-SK"/>
        </w:rPr>
        <w:t>) v súlade s osobitným predpisom,</w:t>
      </w:r>
      <w:r>
        <w:rPr>
          <w:rFonts w:ascii="Times New Roman" w:hAnsi="Times New Roman"/>
          <w:vertAlign w:val="superscript"/>
          <w:rtl w:val="0"/>
          <w:lang w:val="sk-SK"/>
        </w:rPr>
        <w:footnoteReference w:id="5"/>
      </w:r>
      <w:r w:rsidRPr="00607AF6">
        <w:rPr>
          <w:rFonts w:ascii="Times New Roman" w:hAnsi="Times New Roman"/>
          <w:lang w:val="sk-SK"/>
        </w:rPr>
        <w:t>)</w:t>
      </w:r>
    </w:p>
    <w:p w:rsidR="00787A78" w:rsidRPr="00607AF6" w:rsidP="00787A78">
      <w:pPr>
        <w:numPr>
          <w:numId w:val="5"/>
        </w:numPr>
        <w:bidi w:val="0"/>
        <w:ind w:left="709" w:hanging="283"/>
        <w:contextualSpacing/>
        <w:jc w:val="both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>vydáva jednorazové povolenia na dovoz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6"/>
      </w:r>
      <w:r w:rsidRPr="00607AF6">
        <w:rPr>
          <w:rFonts w:ascii="Times New Roman" w:hAnsi="Times New Roman"/>
          <w:lang w:val="sk-SK"/>
        </w:rPr>
        <w:t>) obmedzených prekurzorov výbušnín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7"/>
      </w:r>
      <w:r w:rsidRPr="00607AF6">
        <w:rPr>
          <w:rFonts w:ascii="Times New Roman" w:hAnsi="Times New Roman"/>
          <w:lang w:val="sk-SK"/>
        </w:rPr>
        <w:t>) uvedených v osobitnom predpise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8"/>
      </w:r>
      <w:r w:rsidRPr="00607AF6">
        <w:rPr>
          <w:rFonts w:ascii="Times New Roman" w:hAnsi="Times New Roman"/>
          <w:lang w:val="sk-SK"/>
        </w:rPr>
        <w:t>) pre člena širokej verejnosti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9"/>
      </w:r>
      <w:r w:rsidRPr="00607AF6">
        <w:rPr>
          <w:rFonts w:ascii="Times New Roman" w:hAnsi="Times New Roman"/>
          <w:lang w:val="sk-SK"/>
        </w:rPr>
        <w:t>) na základe žiadosti podľa § 7 ods. 7; pri rozhodovaní o vydaní jednorazového povolenia postupuje ministerstvo hospodárstva podľa osobitného predpisu,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10"/>
      </w:r>
      <w:r w:rsidRPr="00607AF6">
        <w:rPr>
          <w:rFonts w:ascii="Times New Roman" w:hAnsi="Times New Roman"/>
          <w:lang w:val="sk-SK"/>
        </w:rPr>
        <w:t xml:space="preserve">) </w:t>
      </w:r>
    </w:p>
    <w:p w:rsidR="00787A78" w:rsidRPr="00607AF6" w:rsidP="00787A78">
      <w:pPr>
        <w:numPr>
          <w:numId w:val="5"/>
        </w:numPr>
        <w:bidi w:val="0"/>
        <w:ind w:left="709" w:hanging="283"/>
        <w:contextualSpacing/>
        <w:jc w:val="both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>prejednáva priestupky a ukladá pokuty podľa § 9.</w:t>
      </w:r>
    </w:p>
    <w:p w:rsidR="00787A78" w:rsidRPr="00607AF6" w:rsidP="00787A78">
      <w:pPr>
        <w:pStyle w:val="ListParagraph"/>
        <w:numPr>
          <w:numId w:val="4"/>
        </w:numPr>
        <w:tabs>
          <w:tab w:val="num" w:pos="426"/>
          <w:tab w:val="clear" w:pos="720"/>
        </w:tabs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7AF6">
        <w:rPr>
          <w:rFonts w:ascii="Times New Roman" w:hAnsi="Times New Roman" w:cs="Times New Roman"/>
          <w:sz w:val="24"/>
          <w:szCs w:val="24"/>
        </w:rPr>
        <w:t>Pri rozhodovaní o jednorazovom povolení podľa odseku 1 písm. d) ministerstvo hospodárstva žiadosť zamietne aj z dôvodov vzťahujúcich sa na zamietnutie podozrivej transakcie podľa osobitného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1"/>
      </w:r>
      <w:r w:rsidRPr="00607AF6">
        <w:rPr>
          <w:rFonts w:ascii="Times New Roman" w:hAnsi="Times New Roman" w:cs="Times New Roman"/>
          <w:sz w:val="24"/>
          <w:szCs w:val="24"/>
        </w:rPr>
        <w:t>)</w:t>
      </w:r>
    </w:p>
    <w:p w:rsidR="00787A78" w:rsidRPr="00607AF6" w:rsidP="00787A78">
      <w:pPr>
        <w:pStyle w:val="ListParagraph"/>
        <w:numPr>
          <w:numId w:val="4"/>
        </w:numPr>
        <w:tabs>
          <w:tab w:val="num" w:pos="426"/>
          <w:tab w:val="clear" w:pos="720"/>
        </w:tabs>
        <w:bidi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7AF6">
        <w:rPr>
          <w:rFonts w:ascii="Times New Roman" w:hAnsi="Times New Roman" w:cs="Times New Roman"/>
          <w:sz w:val="24"/>
          <w:szCs w:val="24"/>
        </w:rPr>
        <w:t>Ministerstvo hospodárstva vydá v súlade s  osobitným predpisom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2"/>
      </w:r>
      <w:r w:rsidRPr="00607AF6">
        <w:rPr>
          <w:rFonts w:ascii="Times New Roman" w:hAnsi="Times New Roman" w:cs="Times New Roman"/>
          <w:sz w:val="24"/>
          <w:szCs w:val="24"/>
        </w:rPr>
        <w:t xml:space="preserve">) všeobecne záväzný právny predpis, ktorým ustanoví </w:t>
      </w:r>
    </w:p>
    <w:p w:rsidR="00787A78" w:rsidRPr="00607AF6" w:rsidP="00787A78">
      <w:pPr>
        <w:pStyle w:val="ListParagraph"/>
        <w:numPr>
          <w:numId w:val="6"/>
        </w:numPr>
        <w:bidi w:val="0"/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7AF6">
        <w:rPr>
          <w:rFonts w:ascii="Times New Roman" w:hAnsi="Times New Roman" w:cs="Times New Roman"/>
          <w:sz w:val="24"/>
          <w:szCs w:val="24"/>
        </w:rPr>
        <w:t>zmenu prahových hodnôt obmedzených prekurzorov výbušnín,</w:t>
      </w:r>
    </w:p>
    <w:p w:rsidR="00787A78" w:rsidRPr="00607AF6" w:rsidP="00787A78">
      <w:pPr>
        <w:pStyle w:val="ListParagraph"/>
        <w:numPr>
          <w:numId w:val="6"/>
        </w:numPr>
        <w:bidi w:val="0"/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7AF6">
        <w:rPr>
          <w:rFonts w:ascii="Times New Roman" w:hAnsi="Times New Roman" w:cs="Times New Roman"/>
          <w:sz w:val="24"/>
          <w:szCs w:val="24"/>
        </w:rPr>
        <w:t>zoznam látok, ktoré nie sú obmedzenými prekurzormi výbušnín a u ktorých je dôvodné podozrenie, že by mohli byť zneužité na nedovolenú výrobu výbušnín vrátane prahových hodnôt koncentrácií týchto látok, na účel ich obmedzenia alebo zákazu ich sprístupnenia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3"/>
      </w:r>
      <w:r w:rsidRPr="00AA565E">
        <w:rPr>
          <w:rFonts w:ascii="Times New Roman" w:hAnsi="Times New Roman" w:cs="Times New Roman"/>
          <w:sz w:val="24"/>
          <w:szCs w:val="24"/>
        </w:rPr>
        <w:t>)</w:t>
      </w:r>
      <w:r w:rsidRPr="00607AF6">
        <w:rPr>
          <w:rFonts w:ascii="Times New Roman" w:hAnsi="Times New Roman" w:cs="Times New Roman"/>
          <w:sz w:val="24"/>
          <w:szCs w:val="24"/>
        </w:rPr>
        <w:t xml:space="preserve"> na trh pre </w:t>
      </w:r>
      <w:r w:rsidRPr="00607AF6">
        <w:t>člena</w:t>
      </w:r>
      <w:r w:rsidRPr="00607AF6">
        <w:rPr>
          <w:rFonts w:ascii="Times New Roman" w:hAnsi="Times New Roman" w:cs="Times New Roman"/>
          <w:sz w:val="24"/>
          <w:szCs w:val="24"/>
        </w:rPr>
        <w:t xml:space="preserve"> širokej verejnosti,</w:t>
      </w:r>
    </w:p>
    <w:p w:rsidR="00787A78" w:rsidRPr="00AA565E" w:rsidP="00787A78">
      <w:pPr>
        <w:pStyle w:val="ListParagraph"/>
        <w:numPr>
          <w:numId w:val="6"/>
        </w:numPr>
        <w:bidi w:val="0"/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7AF6">
        <w:rPr>
          <w:rFonts w:ascii="Times New Roman" w:hAnsi="Times New Roman" w:cs="Times New Roman"/>
          <w:sz w:val="24"/>
          <w:szCs w:val="24"/>
        </w:rPr>
        <w:t>prahové hodnoty koncentrácií látok uvedených v osobitnom predpise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4"/>
      </w:r>
      <w:r w:rsidRPr="00607AF6">
        <w:rPr>
          <w:rFonts w:ascii="Times New Roman" w:hAnsi="Times New Roman" w:cs="Times New Roman"/>
          <w:sz w:val="24"/>
          <w:szCs w:val="24"/>
        </w:rPr>
        <w:t xml:space="preserve">) na účel ich obmedzenia alebo zákazu ich sprístupnenia na trh pre </w:t>
      </w:r>
      <w:r w:rsidRPr="00AA565E">
        <w:t>člena</w:t>
      </w:r>
      <w:r w:rsidRPr="00AA565E">
        <w:rPr>
          <w:rFonts w:ascii="Times New Roman" w:hAnsi="Times New Roman" w:cs="Times New Roman"/>
          <w:sz w:val="24"/>
          <w:szCs w:val="24"/>
        </w:rPr>
        <w:t xml:space="preserve"> širokej verejnosti.</w:t>
      </w:r>
    </w:p>
    <w:p w:rsidR="00787A78" w:rsidRPr="00AA565E" w:rsidP="00787A7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87A78" w:rsidRPr="00AA565E" w:rsidP="00787A78">
      <w:pPr>
        <w:bidi w:val="0"/>
        <w:jc w:val="center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§ 4</w:t>
      </w:r>
    </w:p>
    <w:p w:rsidR="00787A78" w:rsidRPr="00AA565E" w:rsidP="00787A78">
      <w:pPr>
        <w:bidi w:val="0"/>
        <w:jc w:val="center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Ministerstvo vnútra</w:t>
      </w:r>
    </w:p>
    <w:p w:rsidR="00787A78" w:rsidRPr="00AA565E" w:rsidP="00787A78">
      <w:pPr>
        <w:bidi w:val="0"/>
        <w:rPr>
          <w:rFonts w:ascii="Times New Roman" w:hAnsi="Times New Roman"/>
          <w:lang w:val="sk-SK"/>
        </w:rPr>
      </w:pPr>
    </w:p>
    <w:p w:rsidR="00787A78" w:rsidRPr="00AA565E" w:rsidP="00787A78">
      <w:pPr>
        <w:numPr>
          <w:numId w:val="7"/>
        </w:numPr>
        <w:tabs>
          <w:tab w:val="num" w:pos="426"/>
          <w:tab w:val="clear" w:pos="720"/>
        </w:tabs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Ministerstvo vnútra vo veciach prekurzorov výbušnín zhromažďuje a vyhodnocuje informácie o nahlasovaných podozrivých transakciách,</w:t>
      </w:r>
      <w:r w:rsidRPr="00AA565E">
        <w:rPr>
          <w:rStyle w:val="FootnoteReference"/>
          <w:rFonts w:ascii="Times New Roman" w:hAnsi="Times New Roman"/>
          <w:lang w:val="sk-SK"/>
        </w:rPr>
        <w:t xml:space="preserve"> 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15"/>
      </w:r>
      <w:r w:rsidRPr="00AA565E">
        <w:rPr>
          <w:rFonts w:ascii="Times New Roman" w:hAnsi="Times New Roman"/>
          <w:lang w:val="sk-SK"/>
        </w:rPr>
        <w:t>)</w:t>
      </w:r>
      <w:r w:rsidRPr="00607AF6">
        <w:rPr>
          <w:rFonts w:ascii="Times New Roman" w:hAnsi="Times New Roman"/>
          <w:lang w:val="sk-SK"/>
        </w:rPr>
        <w:t xml:space="preserve"> zamietnutých podozrivých </w:t>
      </w:r>
      <w:r w:rsidRPr="00AA565E">
        <w:rPr>
          <w:rFonts w:ascii="Times New Roman" w:hAnsi="Times New Roman"/>
          <w:lang w:val="sk-SK"/>
        </w:rPr>
        <w:t>transakciách, stratách a krádežiach, ktoré mu poskytol hospodársky subjekt podľa osobitného predpisu.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16"/>
      </w:r>
      <w:r w:rsidRPr="00AA565E">
        <w:rPr>
          <w:rFonts w:ascii="Times New Roman" w:hAnsi="Times New Roman"/>
          <w:lang w:val="sk-SK"/>
        </w:rPr>
        <w:t>)</w:t>
      </w:r>
    </w:p>
    <w:p w:rsidR="00787A78" w:rsidRPr="00607AF6" w:rsidP="00787A78">
      <w:pPr>
        <w:numPr>
          <w:numId w:val="8"/>
        </w:numPr>
        <w:tabs>
          <w:tab w:val="left" w:pos="426"/>
          <w:tab w:val="clear" w:pos="720"/>
        </w:tabs>
        <w:autoSpaceDE w:val="0"/>
        <w:autoSpaceDN w:val="0"/>
        <w:bidi w:val="0"/>
        <w:adjustRightInd w:val="0"/>
        <w:ind w:left="426" w:hanging="426"/>
        <w:jc w:val="both"/>
        <w:rPr>
          <w:rFonts w:ascii="Times New Roman" w:eastAsia="Arial Unicode MS" w:hAnsi="Times New Roman" w:hint="default"/>
          <w:lang w:val="sk-SK"/>
        </w:rPr>
      </w:pPr>
      <w:r w:rsidRPr="00607AF6">
        <w:rPr>
          <w:rFonts w:ascii="Times New Roman" w:eastAsia="Arial Unicode MS" w:hAnsi="Times New Roman" w:hint="default"/>
          <w:lang w:val="sk-SK"/>
        </w:rPr>
        <w:t>Kontaktné</w:t>
      </w:r>
      <w:r w:rsidRPr="00607AF6">
        <w:rPr>
          <w:rFonts w:ascii="Times New Roman" w:eastAsia="Arial Unicode MS" w:hAnsi="Times New Roman" w:hint="default"/>
          <w:lang w:val="sk-SK"/>
        </w:rPr>
        <w:t xml:space="preserve"> miesto</w:t>
      </w:r>
      <w:r>
        <w:rPr>
          <w:rFonts w:ascii="Times New Roman" w:eastAsia="Arial Unicode MS" w:hAnsi="Times New Roman"/>
          <w:vertAlign w:val="superscript"/>
          <w:rtl w:val="0"/>
          <w:lang w:val="sk-SK"/>
        </w:rPr>
        <w:footnoteReference w:id="17"/>
      </w:r>
      <w:r w:rsidRPr="00AA565E">
        <w:rPr>
          <w:rFonts w:ascii="Times New Roman" w:eastAsia="Arial Unicode MS" w:hAnsi="Times New Roman"/>
          <w:lang w:val="sk-SK"/>
        </w:rPr>
        <w:t>)</w:t>
      </w:r>
      <w:r w:rsidRPr="00607AF6">
        <w:rPr>
          <w:rFonts w:ascii="Times New Roman" w:eastAsia="Arial Unicode MS" w:hAnsi="Times New Roman" w:hint="default"/>
          <w:lang w:val="sk-SK"/>
        </w:rPr>
        <w:t xml:space="preserve"> zriaď</w:t>
      </w:r>
      <w:r w:rsidRPr="00607AF6">
        <w:rPr>
          <w:rFonts w:ascii="Times New Roman" w:eastAsia="Arial Unicode MS" w:hAnsi="Times New Roman" w:hint="default"/>
          <w:lang w:val="sk-SK"/>
        </w:rPr>
        <w:t>uje ministerstvo vnú</w:t>
      </w:r>
      <w:r w:rsidRPr="00607AF6">
        <w:rPr>
          <w:rFonts w:ascii="Times New Roman" w:eastAsia="Arial Unicode MS" w:hAnsi="Times New Roman" w:hint="default"/>
          <w:lang w:val="sk-SK"/>
        </w:rPr>
        <w:t xml:space="preserve">tra </w:t>
      </w:r>
      <w:r>
        <w:rPr>
          <w:rFonts w:ascii="Times New Roman" w:eastAsia="Arial Unicode MS" w:hAnsi="Times New Roman" w:hint="default"/>
          <w:lang w:val="sk-SK"/>
        </w:rPr>
        <w:t>na úč</w:t>
      </w:r>
      <w:r>
        <w:rPr>
          <w:rFonts w:ascii="Times New Roman" w:eastAsia="Arial Unicode MS" w:hAnsi="Times New Roman" w:hint="default"/>
          <w:lang w:val="sk-SK"/>
        </w:rPr>
        <w:t>el</w:t>
      </w:r>
      <w:r w:rsidRPr="00607AF6">
        <w:rPr>
          <w:rFonts w:ascii="Times New Roman" w:eastAsia="Arial Unicode MS" w:hAnsi="Times New Roman" w:hint="default"/>
          <w:lang w:val="sk-SK"/>
        </w:rPr>
        <w:t xml:space="preserve"> zberu informá</w:t>
      </w:r>
      <w:r w:rsidRPr="00607AF6">
        <w:rPr>
          <w:rFonts w:ascii="Times New Roman" w:eastAsia="Arial Unicode MS" w:hAnsi="Times New Roman" w:hint="default"/>
          <w:lang w:val="sk-SK"/>
        </w:rPr>
        <w:t>cií</w:t>
      </w:r>
      <w:r w:rsidRPr="00607AF6">
        <w:rPr>
          <w:rFonts w:ascii="Times New Roman" w:eastAsia="Arial Unicode MS" w:hAnsi="Times New Roman" w:hint="default"/>
          <w:lang w:val="sk-SK"/>
        </w:rPr>
        <w:t xml:space="preserve"> podľ</w:t>
      </w:r>
      <w:r w:rsidRPr="00607AF6">
        <w:rPr>
          <w:rFonts w:ascii="Times New Roman" w:eastAsia="Arial Unicode MS" w:hAnsi="Times New Roman" w:hint="default"/>
          <w:lang w:val="sk-SK"/>
        </w:rPr>
        <w:t>a odseku 1.</w:t>
      </w:r>
    </w:p>
    <w:p w:rsidR="00787A78" w:rsidRPr="00AA565E" w:rsidP="00787A78">
      <w:pPr>
        <w:tabs>
          <w:tab w:val="left" w:pos="523"/>
        </w:tabs>
        <w:autoSpaceDE w:val="0"/>
        <w:autoSpaceDN w:val="0"/>
        <w:bidi w:val="0"/>
        <w:adjustRightInd w:val="0"/>
        <w:ind w:firstLine="215"/>
        <w:jc w:val="center"/>
        <w:rPr>
          <w:rFonts w:ascii="Times New Roman" w:eastAsia="Arial Unicode MS" w:hAnsi="Times New Roman" w:hint="default"/>
          <w:lang w:val="sk-SK"/>
        </w:rPr>
      </w:pPr>
      <w:r w:rsidRPr="00AA565E">
        <w:rPr>
          <w:rFonts w:ascii="Times New Roman" w:eastAsia="Arial Unicode MS" w:hAnsi="Times New Roman" w:hint="default"/>
          <w:lang w:val="sk-SK"/>
        </w:rPr>
        <w:t>§</w:t>
      </w:r>
      <w:r w:rsidRPr="00AA565E">
        <w:rPr>
          <w:rFonts w:ascii="Times New Roman" w:eastAsia="Arial Unicode MS" w:hAnsi="Times New Roman" w:hint="default"/>
          <w:lang w:val="sk-SK"/>
        </w:rPr>
        <w:t xml:space="preserve"> 5</w:t>
      </w:r>
    </w:p>
    <w:p w:rsidR="00787A78" w:rsidRPr="00AA565E" w:rsidP="00787A78">
      <w:pPr>
        <w:tabs>
          <w:tab w:val="left" w:pos="523"/>
        </w:tabs>
        <w:autoSpaceDE w:val="0"/>
        <w:autoSpaceDN w:val="0"/>
        <w:bidi w:val="0"/>
        <w:adjustRightInd w:val="0"/>
        <w:jc w:val="center"/>
        <w:rPr>
          <w:rFonts w:ascii="Times New Roman" w:eastAsia="Arial Unicode MS" w:hAnsi="Times New Roman" w:hint="default"/>
          <w:lang w:val="sk-SK"/>
        </w:rPr>
      </w:pPr>
      <w:r w:rsidRPr="00AA565E">
        <w:rPr>
          <w:rFonts w:ascii="Times New Roman" w:eastAsia="Arial Unicode MS" w:hAnsi="Times New Roman" w:hint="default"/>
          <w:lang w:val="sk-SK"/>
        </w:rPr>
        <w:t>Slovenská</w:t>
      </w:r>
      <w:r w:rsidRPr="00AA565E">
        <w:rPr>
          <w:rFonts w:ascii="Times New Roman" w:eastAsia="Arial Unicode MS" w:hAnsi="Times New Roman" w:hint="default"/>
          <w:lang w:val="sk-SK"/>
        </w:rPr>
        <w:t xml:space="preserve"> obchodná</w:t>
      </w:r>
      <w:r w:rsidRPr="00AA565E">
        <w:rPr>
          <w:rFonts w:ascii="Times New Roman" w:eastAsia="Arial Unicode MS" w:hAnsi="Times New Roman" w:hint="default"/>
          <w:lang w:val="sk-SK"/>
        </w:rPr>
        <w:t xml:space="preserve"> inš</w:t>
      </w:r>
      <w:r w:rsidRPr="00AA565E">
        <w:rPr>
          <w:rFonts w:ascii="Times New Roman" w:eastAsia="Arial Unicode MS" w:hAnsi="Times New Roman" w:hint="default"/>
          <w:lang w:val="sk-SK"/>
        </w:rPr>
        <w:t>pekcia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ind w:left="360"/>
        <w:jc w:val="center"/>
        <w:rPr>
          <w:rFonts w:ascii="Times New Roman" w:hAnsi="Times New Roman"/>
          <w:lang w:val="sk-SK"/>
        </w:rPr>
      </w:pP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ind w:left="360" w:hanging="360"/>
        <w:outlineLvl w:val="0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 xml:space="preserve">Slovenská obchodná inšpekcia </w:t>
      </w:r>
    </w:p>
    <w:p w:rsidR="00787A78" w:rsidRPr="00607AF6" w:rsidP="00787A78">
      <w:pPr>
        <w:widowControl w:val="0"/>
        <w:numPr>
          <w:numId w:val="9"/>
        </w:numPr>
        <w:tabs>
          <w:tab w:val="num" w:pos="426"/>
        </w:tabs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kontroluje dodržiavanie podmienok na sprístupňovanie obmedzených prekurzorov výbušnín podľa osobitného predpisu</w:t>
      </w:r>
      <w:r>
        <w:rPr>
          <w:rFonts w:ascii="Times New Roman" w:hAnsi="Times New Roman"/>
          <w:vertAlign w:val="superscript"/>
          <w:rtl w:val="0"/>
          <w:lang w:val="sk-SK"/>
        </w:rPr>
        <w:footnoteReference w:id="18"/>
      </w:r>
      <w:r w:rsidRPr="00607AF6">
        <w:rPr>
          <w:rFonts w:ascii="Times New Roman" w:hAnsi="Times New Roman"/>
          <w:lang w:val="sk-SK"/>
        </w:rPr>
        <w:t>) pri kontrole ich  predaja a poskytovania služieb spotrebiteľom,</w:t>
      </w:r>
      <w:r>
        <w:rPr>
          <w:rFonts w:ascii="Times New Roman" w:hAnsi="Times New Roman"/>
          <w:vertAlign w:val="superscript"/>
          <w:rtl w:val="0"/>
          <w:lang w:val="sk-SK"/>
        </w:rPr>
        <w:footnoteReference w:id="19"/>
      </w:r>
      <w:r w:rsidRPr="00AA565E">
        <w:rPr>
          <w:rFonts w:ascii="Times New Roman" w:hAnsi="Times New Roman"/>
          <w:lang w:val="sk-SK"/>
        </w:rPr>
        <w:t>)</w:t>
      </w:r>
    </w:p>
    <w:p w:rsidR="00787A78" w:rsidRPr="00607AF6" w:rsidP="00787A78">
      <w:pPr>
        <w:widowControl w:val="0"/>
        <w:numPr>
          <w:numId w:val="9"/>
        </w:numPr>
        <w:tabs>
          <w:tab w:val="num" w:pos="426"/>
        </w:tabs>
        <w:autoSpaceDE w:val="0"/>
        <w:autoSpaceDN w:val="0"/>
        <w:bidi w:val="0"/>
        <w:adjustRightInd w:val="0"/>
        <w:ind w:left="714" w:hanging="714"/>
        <w:jc w:val="both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>prejed</w:t>
      </w:r>
      <w:r>
        <w:rPr>
          <w:rFonts w:ascii="Times New Roman" w:hAnsi="Times New Roman"/>
          <w:lang w:val="sk-SK"/>
        </w:rPr>
        <w:t>n</w:t>
      </w:r>
      <w:r w:rsidRPr="00607AF6">
        <w:rPr>
          <w:rFonts w:ascii="Times New Roman" w:hAnsi="Times New Roman"/>
          <w:lang w:val="sk-SK"/>
        </w:rPr>
        <w:t>áva správne delikty a ukladá pokuty podľa § 8.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§ 6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Colný úrad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ind w:left="360"/>
        <w:jc w:val="center"/>
        <w:rPr>
          <w:rFonts w:ascii="Times New Roman" w:hAnsi="Times New Roman"/>
          <w:lang w:val="sk-SK"/>
        </w:rPr>
      </w:pPr>
    </w:p>
    <w:p w:rsidR="00787A78" w:rsidRPr="00607AF6" w:rsidP="00787A78">
      <w:pPr>
        <w:pStyle w:val="ListParagraph"/>
        <w:widowControl w:val="0"/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 xml:space="preserve">Colný úrad vykonáva kontrolu dovozu </w:t>
      </w:r>
      <w:r w:rsidRPr="00AA565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A565E">
        <w:rPr>
          <w:rFonts w:ascii="Times New Roman" w:hAnsi="Times New Roman" w:cs="Times New Roman"/>
          <w:sz w:val="24"/>
          <w:szCs w:val="24"/>
        </w:rPr>
        <w:t>obmedzených prekurzorov výbušnín členom širokej verejnosti v rámci colného dohľadu podľa osobitného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0"/>
      </w:r>
      <w:r w:rsidRPr="00AA565E">
        <w:rPr>
          <w:rFonts w:ascii="Times New Roman" w:hAnsi="Times New Roman" w:cs="Times New Roman"/>
          <w:sz w:val="24"/>
          <w:szCs w:val="24"/>
        </w:rPr>
        <w:t>)</w:t>
      </w:r>
    </w:p>
    <w:p w:rsidR="00787A78" w:rsidRPr="00AA565E" w:rsidP="00787A78">
      <w:pPr>
        <w:pStyle w:val="ListParagraph"/>
        <w:widowControl w:val="0"/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 xml:space="preserve">Colný úrad neprepustí obmedzený prekurzor výbušnín do colného režimu voľný obeh, ak člen širokej verejnosti nepredloží jednorazové povolenie podľa § 3 ods. 1 písm. d). </w:t>
      </w:r>
    </w:p>
    <w:p w:rsidR="00787A78" w:rsidRPr="00AA565E" w:rsidP="00787A78">
      <w:p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</w:rPr>
        <w:t>(3)  </w:t>
      </w:r>
      <w:r w:rsidRPr="00AA565E">
        <w:rPr>
          <w:rFonts w:ascii="Times New Roman" w:hAnsi="Times New Roman"/>
          <w:lang w:val="sk-SK"/>
        </w:rPr>
        <w:t>Ak pri dovoze obmedzeného prekurzora výbušnín došlo k spáchaniu colného priestupku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customMarkFollows="1" w:id="21"/>
        <w:t xml:space="preserve">2</w:t>
      </w:r>
      <w:r w:rsidRPr="00AA565E">
        <w:rPr>
          <w:rStyle w:val="FootnoteReference"/>
          <w:rFonts w:ascii="Times New Roman" w:hAnsi="Times New Roman"/>
          <w:lang w:val="sk-SK"/>
        </w:rPr>
        <w:t>0</w:t>
      </w:r>
      <w:r w:rsidRPr="00AA565E">
        <w:rPr>
          <w:rFonts w:ascii="Times New Roman" w:hAnsi="Times New Roman"/>
          <w:lang w:val="sk-SK"/>
        </w:rPr>
        <w:t>)</w:t>
      </w:r>
      <w:r w:rsidRPr="00AA565E">
        <w:rPr>
          <w:rFonts w:ascii="Times New Roman" w:hAnsi="Times New Roman"/>
          <w:vertAlign w:val="superscript"/>
          <w:lang w:val="sk-SK"/>
        </w:rPr>
        <w:t xml:space="preserve"> </w:t>
      </w:r>
      <w:r w:rsidRPr="00AA565E">
        <w:rPr>
          <w:rFonts w:ascii="Times New Roman" w:hAnsi="Times New Roman"/>
          <w:lang w:val="sk-SK"/>
        </w:rPr>
        <w:t>a dovezený obmedzený prekurzor výbušnín patrí jeho páchateľovi,  colný úrad v konaní o colnom priestupku vždy uloží sankciu prepadnutie tovaru alebo veci; colný úrad môže v takom prípade uložiť v konaní o colnom priestupku sankciu prepadnutie tovaru alebo veci samostatne alebo spolu s pokutou.</w:t>
      </w:r>
    </w:p>
    <w:p w:rsidR="00787A78" w:rsidRPr="00AA565E" w:rsidP="00787A78">
      <w:pPr>
        <w:widowControl w:val="0"/>
        <w:bidi w:val="0"/>
        <w:ind w:left="426" w:hanging="426"/>
        <w:jc w:val="both"/>
        <w:rPr>
          <w:rFonts w:ascii="Times New Roman" w:hAnsi="Times New Roman"/>
          <w:noProof/>
          <w:lang w:val="sk-SK"/>
        </w:rPr>
      </w:pPr>
      <w:r w:rsidRPr="00AA565E">
        <w:rPr>
          <w:rFonts w:ascii="Times New Roman" w:hAnsi="Times New Roman"/>
          <w:noProof/>
          <w:lang w:val="sk-SK"/>
        </w:rPr>
        <w:t>(4) Ak colný úrad v konaní o colnom priestupku neuloží sankciu prepadnutie tovaru alebo veci podľa odseku 3, vždy rozhodne o zhabaní obmedzeného prekurzora výbušnín podľa osobitného predpisu.</w:t>
      </w:r>
      <w:r>
        <w:rPr>
          <w:rStyle w:val="FootnoteReference"/>
          <w:rFonts w:ascii="Times New Roman" w:hAnsi="Times New Roman"/>
          <w:noProof/>
          <w:rtl w:val="0"/>
          <w:lang w:val="sk-SK"/>
        </w:rPr>
        <w:footnoteReference w:customMarkFollows="1" w:id="22"/>
        <w:t xml:space="preserve">2</w:t>
      </w:r>
      <w:r w:rsidRPr="00AA565E">
        <w:rPr>
          <w:rStyle w:val="FootnoteReference"/>
          <w:rFonts w:ascii="Times New Roman" w:hAnsi="Times New Roman"/>
          <w:noProof/>
          <w:lang w:val="sk-SK"/>
        </w:rPr>
        <w:t>1</w:t>
      </w:r>
      <w:r w:rsidRPr="00AA565E">
        <w:rPr>
          <w:rFonts w:ascii="Times New Roman" w:hAnsi="Times New Roman"/>
          <w:noProof/>
          <w:lang w:val="sk-SK"/>
        </w:rPr>
        <w:t>)</w:t>
      </w:r>
    </w:p>
    <w:p w:rsidR="00787A78" w:rsidRPr="00AA565E" w:rsidP="00787A78">
      <w:pPr>
        <w:bidi w:val="0"/>
        <w:jc w:val="center"/>
        <w:rPr>
          <w:rFonts w:ascii="Times New Roman" w:hAnsi="Times New Roman"/>
          <w:lang w:val="sk-SK"/>
        </w:rPr>
      </w:pPr>
    </w:p>
    <w:p w:rsidR="00787A78" w:rsidRPr="00AA565E" w:rsidP="00787A78">
      <w:pPr>
        <w:bidi w:val="0"/>
        <w:jc w:val="center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 xml:space="preserve">§ 7   </w:t>
      </w:r>
    </w:p>
    <w:p w:rsidR="00787A78" w:rsidRPr="00AA565E" w:rsidP="00787A78">
      <w:pPr>
        <w:bidi w:val="0"/>
        <w:jc w:val="center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Práva a povinnosti hospodárskeho subjektu a člena širokej verejnosti</w:t>
      </w:r>
    </w:p>
    <w:p w:rsidR="00787A78" w:rsidRPr="00AA565E" w:rsidP="00787A78">
      <w:pPr>
        <w:bidi w:val="0"/>
        <w:jc w:val="center"/>
        <w:rPr>
          <w:rFonts w:ascii="Times New Roman" w:hAnsi="Times New Roman"/>
          <w:lang w:val="sk-SK"/>
        </w:rPr>
      </w:pPr>
    </w:p>
    <w:p w:rsidR="00787A78" w:rsidRPr="00607AF6" w:rsidP="00787A78">
      <w:pPr>
        <w:pStyle w:val="ListParagraph"/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Hospodársky subjekt môže obmedzené prekurzory výbušnín sprístupniť členovi širokej verejnosti</w:t>
      </w:r>
      <w:r w:rsidRPr="00AA565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A565E">
        <w:rPr>
          <w:rFonts w:ascii="Times New Roman" w:hAnsi="Times New Roman" w:cs="Times New Roman"/>
          <w:sz w:val="24"/>
          <w:szCs w:val="24"/>
        </w:rPr>
        <w:t>len za podmienok podľa osobitného predpisu.</w:t>
      </w:r>
      <w:r w:rsidRPr="00AA565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AA565E">
        <w:rPr>
          <w:rFonts w:ascii="Times New Roman" w:hAnsi="Times New Roman" w:cs="Times New Roman"/>
          <w:sz w:val="24"/>
          <w:szCs w:val="24"/>
        </w:rPr>
        <w:t>)</w:t>
      </w:r>
    </w:p>
    <w:p w:rsidR="00787A78" w:rsidRPr="00607AF6" w:rsidP="00787A78">
      <w:pPr>
        <w:pStyle w:val="ListParagraph"/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Hospodársky subjekt, ktorý podľa odseku 1 sprístupňuje obmedzené prekurzory výbušnín členovi širokej verejnosti, je povinný viesť register transakcií</w:t>
      </w:r>
      <w:r w:rsidRPr="00AA56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565E">
        <w:rPr>
          <w:rFonts w:ascii="Times New Roman" w:hAnsi="Times New Roman" w:cs="Times New Roman"/>
          <w:sz w:val="24"/>
          <w:szCs w:val="24"/>
        </w:rPr>
        <w:t>v súlade s osobitným predpisom.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23"/>
        <w:t xml:space="preserve">2</w:t>
      </w:r>
      <w:r w:rsidRPr="00AA565E">
        <w:rPr>
          <w:rStyle w:val="FootnoteReference"/>
          <w:rFonts w:ascii="Times New Roman" w:hAnsi="Times New Roman"/>
          <w:sz w:val="24"/>
          <w:szCs w:val="24"/>
        </w:rPr>
        <w:t>2</w:t>
      </w:r>
      <w:r w:rsidRPr="00AA565E">
        <w:rPr>
          <w:rFonts w:ascii="Times New Roman" w:hAnsi="Times New Roman" w:cs="Times New Roman"/>
          <w:sz w:val="24"/>
          <w:szCs w:val="24"/>
        </w:rPr>
        <w:t>)</w:t>
      </w:r>
    </w:p>
    <w:p w:rsidR="00787A78" w:rsidRPr="00AA565E" w:rsidP="00787A78">
      <w:pPr>
        <w:pStyle w:val="ListParagraph"/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607AF6">
        <w:rPr>
          <w:rFonts w:ascii="Times New Roman" w:hAnsi="Times New Roman" w:cs="Times New Roman"/>
          <w:sz w:val="24"/>
          <w:szCs w:val="24"/>
        </w:rPr>
        <w:t>Hospodársky subjekt, ktorý sprístupňuje alebo používa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24"/>
        <w:t xml:space="preserve">2</w:t>
      </w:r>
      <w:r w:rsidRPr="00607AF6">
        <w:rPr>
          <w:rStyle w:val="FootnoteReference"/>
          <w:rFonts w:ascii="Times New Roman" w:hAnsi="Times New Roman"/>
          <w:sz w:val="24"/>
          <w:szCs w:val="24"/>
        </w:rPr>
        <w:t>3</w:t>
      </w:r>
      <w:r w:rsidRPr="00AA565E">
        <w:rPr>
          <w:rFonts w:ascii="Times New Roman" w:hAnsi="Times New Roman" w:cs="Times New Roman"/>
          <w:sz w:val="24"/>
          <w:szCs w:val="24"/>
        </w:rPr>
        <w:t>)</w:t>
      </w:r>
      <w:r w:rsidRPr="00607AF6">
        <w:rPr>
          <w:rFonts w:ascii="Times New Roman" w:hAnsi="Times New Roman" w:cs="Times New Roman"/>
          <w:sz w:val="24"/>
          <w:szCs w:val="24"/>
        </w:rPr>
        <w:t xml:space="preserve"> prekurzory výbušnín, je povinný bezodkladne oznámiť kontaktnému miestu podľa § 4 ods. 2 podozrivú transakciu a</w:t>
      </w:r>
      <w:r w:rsidRPr="00F0287F">
        <w:rPr>
          <w:rFonts w:ascii="Times New Roman" w:hAnsi="Times New Roman" w:cs="Times New Roman"/>
          <w:sz w:val="24"/>
          <w:szCs w:val="24"/>
        </w:rPr>
        <w:t>lebo pokus o ňu, zamietnutú podozrivú transakciu</w:t>
      </w:r>
      <w:r w:rsidR="00A75DB1">
        <w:rPr>
          <w:rFonts w:ascii="Times New Roman" w:hAnsi="Times New Roman" w:cs="Times New Roman"/>
          <w:sz w:val="24"/>
          <w:szCs w:val="24"/>
        </w:rPr>
        <w:t>,</w:t>
      </w:r>
      <w:r w:rsidRPr="00AA565E">
        <w:rPr>
          <w:rFonts w:ascii="Times New Roman" w:hAnsi="Times New Roman" w:cs="Times New Roman"/>
          <w:sz w:val="24"/>
          <w:szCs w:val="24"/>
        </w:rPr>
        <w:t xml:space="preserve"> stratu alebo krádež podľa osobitného predpisu.</w:t>
      </w:r>
      <w:r w:rsidRPr="00AA565E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AA565E">
        <w:rPr>
          <w:rFonts w:ascii="Times New Roman" w:hAnsi="Times New Roman" w:cs="Times New Roman"/>
          <w:sz w:val="24"/>
          <w:szCs w:val="24"/>
        </w:rPr>
        <w:t>)</w:t>
      </w:r>
    </w:p>
    <w:p w:rsidR="00787A78" w:rsidRPr="00AA565E" w:rsidP="00787A78">
      <w:pPr>
        <w:pStyle w:val="ListParagraph"/>
        <w:numPr>
          <w:numId w:val="11"/>
        </w:numPr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 xml:space="preserve">Člen širokej verejnosti môže obmedzený prekurzor výbušnín vlastniť alebo používať, len ak mu bol sprístupnený podľa odseku 1.  </w:t>
      </w:r>
    </w:p>
    <w:p w:rsidR="00787A78" w:rsidRPr="00AA565E" w:rsidP="00787A78">
      <w:pPr>
        <w:pStyle w:val="ListParagraph"/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Člen širokej verejnosti je povinný pri dovoze obmedzeného prekurzora výbušnín predložiť colnému úradu jednorazové povolenie na dovoz vydané podľa § 3 ods. 1  písm. d).</w:t>
      </w:r>
    </w:p>
    <w:p w:rsidR="00787A78" w:rsidRPr="00AA565E" w:rsidP="00787A78">
      <w:pPr>
        <w:pStyle w:val="ListParagraph"/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 xml:space="preserve">Písomnú žiadosť o vydanie jednorazového povolenia podľa § 3 ods. 1 písm. d) môže ministerstvu hospodárstva podať člen širokej verejnosti starší ako 18 rokov. </w:t>
      </w:r>
    </w:p>
    <w:p w:rsidR="00787A78" w:rsidRPr="00AA565E" w:rsidP="00787A78">
      <w:pPr>
        <w:pStyle w:val="ListParagraph"/>
        <w:widowControl w:val="0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Žiadosť podľa odseku 6 musí obsahovať</w:t>
      </w:r>
    </w:p>
    <w:p w:rsidR="00787A78" w:rsidRPr="00AA565E" w:rsidP="00787A78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meno, priezvisko, adresu, dátum narodenia člena širokej verejnosti a číslo dokladu totožnosti,</w:t>
      </w:r>
    </w:p>
    <w:p w:rsidR="00787A78" w:rsidRPr="00AA565E" w:rsidP="00787A78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názov a množstvo obmedzeného prekurzora výbušnín alebo zmesi, v ktorej je obsiahnutý, vrátane miery jeho koncentrácie,</w:t>
      </w:r>
    </w:p>
    <w:p w:rsidR="00787A78" w:rsidRPr="00AA565E" w:rsidP="00787A78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účel použitia obmedzeného prekurzora výbušnín,</w:t>
      </w:r>
    </w:p>
    <w:p w:rsidR="00787A78" w:rsidRPr="00AA565E" w:rsidP="00787A78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dátum a miesto dovozu obmedzeného prekurzora výbušnín.</w:t>
      </w:r>
    </w:p>
    <w:p w:rsidR="00787A78" w:rsidRPr="00AA565E" w:rsidP="00787A7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§ 8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 xml:space="preserve">Správne delikty 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</w:p>
    <w:p w:rsidR="00787A78" w:rsidRPr="00AA565E" w:rsidP="00787A78">
      <w:pPr>
        <w:widowControl w:val="0"/>
        <w:numPr>
          <w:numId w:val="13"/>
        </w:numPr>
        <w:autoSpaceDE w:val="0"/>
        <w:autoSpaceDN w:val="0"/>
        <w:bidi w:val="0"/>
        <w:adjustRightInd w:val="0"/>
        <w:ind w:left="357" w:hanging="357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 xml:space="preserve">Slovenská obchodná inšpekcia uloží pokutu od 500 eur do 5000 eur hospodárskemu subjektu, ktorý </w:t>
      </w:r>
    </w:p>
    <w:p w:rsidR="00787A78" w:rsidRPr="00607AF6" w:rsidP="00787A78">
      <w:pPr>
        <w:pStyle w:val="ListParagraph"/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sprístupnil obmedzený prekurzor výbušnín v rozpore s týmto zákonom alebo osobitným predpisom,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25"/>
        <w:t xml:space="preserve">2</w:t>
      </w:r>
      <w:r w:rsidRPr="00607AF6">
        <w:rPr>
          <w:rStyle w:val="FootnoteReference"/>
          <w:rFonts w:ascii="Times New Roman" w:hAnsi="Times New Roman"/>
          <w:sz w:val="24"/>
          <w:szCs w:val="24"/>
        </w:rPr>
        <w:t>4</w:t>
      </w:r>
      <w:r w:rsidRPr="00AA565E">
        <w:rPr>
          <w:rFonts w:ascii="Times New Roman" w:hAnsi="Times New Roman" w:cs="Times New Roman"/>
          <w:sz w:val="24"/>
          <w:szCs w:val="24"/>
        </w:rPr>
        <w:t>)</w:t>
      </w:r>
    </w:p>
    <w:p w:rsidR="00787A78" w:rsidRPr="00607AF6" w:rsidP="00787A78">
      <w:pPr>
        <w:pStyle w:val="ListParagraph"/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označil obmedzený prekurzor výbušnín v rozpore s týmto zákonom alebo osobitným predpisom,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26"/>
        <w:t xml:space="preserve">2</w:t>
      </w:r>
      <w:r w:rsidRPr="00AA565E">
        <w:rPr>
          <w:rStyle w:val="FootnoteReference"/>
          <w:rFonts w:ascii="Times New Roman" w:hAnsi="Times New Roman"/>
          <w:sz w:val="24"/>
          <w:szCs w:val="24"/>
        </w:rPr>
        <w:t>5</w:t>
      </w:r>
      <w:r w:rsidRPr="00AA565E">
        <w:rPr>
          <w:rFonts w:ascii="Times New Roman" w:hAnsi="Times New Roman" w:cs="Times New Roman"/>
          <w:sz w:val="24"/>
          <w:szCs w:val="24"/>
        </w:rPr>
        <w:t>)</w:t>
      </w:r>
    </w:p>
    <w:p w:rsidR="00787A78" w:rsidRPr="00AA565E" w:rsidP="00787A78">
      <w:pPr>
        <w:pStyle w:val="ListParagraph"/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nevedie register transakcií podľa § 7 ods. 2,</w:t>
      </w:r>
    </w:p>
    <w:p w:rsidR="00787A78" w:rsidRPr="00AA565E" w:rsidP="00787A78">
      <w:pPr>
        <w:pStyle w:val="ListParagraph"/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neoznámil kontaktnému miestu informácie podľa § 7 ods. 3.</w:t>
      </w:r>
    </w:p>
    <w:p w:rsidR="00787A78" w:rsidRPr="00AA565E" w:rsidP="00787A78">
      <w:pPr>
        <w:widowControl w:val="0"/>
        <w:numPr>
          <w:numId w:val="13"/>
        </w:numPr>
        <w:autoSpaceDE w:val="0"/>
        <w:autoSpaceDN w:val="0"/>
        <w:bidi w:val="0"/>
        <w:adjustRightInd w:val="0"/>
        <w:ind w:left="357" w:hanging="357"/>
        <w:jc w:val="both"/>
        <w:rPr>
          <w:rFonts w:ascii="Times New Roman" w:hAnsi="Times New Roman"/>
          <w:i/>
          <w:lang w:val="sk-SK"/>
        </w:rPr>
      </w:pPr>
      <w:r w:rsidRPr="00AA565E">
        <w:rPr>
          <w:rFonts w:ascii="Times New Roman" w:hAnsi="Times New Roman"/>
          <w:lang w:val="sk-SK"/>
        </w:rPr>
        <w:t>Pri určovaní výšky pokuty sa prihliada na závažnosť protiprávneho konania, spôsob, čas a následky protiprávneho konania.</w:t>
      </w:r>
    </w:p>
    <w:p w:rsidR="00787A78" w:rsidRPr="00AA565E" w:rsidP="00787A78">
      <w:pPr>
        <w:widowControl w:val="0"/>
        <w:numPr>
          <w:numId w:val="13"/>
        </w:numPr>
        <w:autoSpaceDE w:val="0"/>
        <w:autoSpaceDN w:val="0"/>
        <w:bidi w:val="0"/>
        <w:adjustRightInd w:val="0"/>
        <w:ind w:left="357" w:hanging="357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Konanie o uloženie pokuty možno začať do troch rokov odo dňa, keď sa správny orgán dozvedel o porušení povinnosti, najneskôr však do desiatich rokov odo dňa, keď k porušeniu povinnosti došlo.</w:t>
      </w:r>
    </w:p>
    <w:p w:rsidR="00787A78" w:rsidRPr="00AA565E" w:rsidP="00787A78">
      <w:pPr>
        <w:widowControl w:val="0"/>
        <w:numPr>
          <w:numId w:val="13"/>
        </w:numPr>
        <w:autoSpaceDE w:val="0"/>
        <w:autoSpaceDN w:val="0"/>
        <w:bidi w:val="0"/>
        <w:adjustRightInd w:val="0"/>
        <w:ind w:left="357" w:hanging="357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Výnos pokút je príjmom štátneho rozpočtu.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ind w:left="357"/>
        <w:jc w:val="both"/>
        <w:rPr>
          <w:rFonts w:ascii="Times New Roman" w:hAnsi="Times New Roman"/>
          <w:lang w:val="sk-SK"/>
        </w:rPr>
      </w:pP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eastAsia="Arial Unicode MS" w:hAnsi="Times New Roman" w:hint="default"/>
          <w:lang w:val="sk-SK"/>
        </w:rPr>
      </w:pPr>
      <w:r w:rsidRPr="00AA565E">
        <w:rPr>
          <w:rFonts w:ascii="Times New Roman" w:eastAsia="Arial Unicode MS" w:hAnsi="Times New Roman" w:hint="default"/>
          <w:lang w:val="sk-SK"/>
        </w:rPr>
        <w:t>§</w:t>
      </w:r>
      <w:r w:rsidRPr="00AA565E">
        <w:rPr>
          <w:rFonts w:ascii="Times New Roman" w:eastAsia="Arial Unicode MS" w:hAnsi="Times New Roman" w:hint="default"/>
          <w:lang w:val="sk-SK"/>
        </w:rPr>
        <w:t xml:space="preserve"> 9 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eastAsia="Arial Unicode MS" w:hAnsi="Times New Roman" w:hint="default"/>
          <w:lang w:val="sk-SK"/>
        </w:rPr>
      </w:pPr>
      <w:r w:rsidRPr="00AA565E">
        <w:rPr>
          <w:rFonts w:ascii="Times New Roman" w:eastAsia="Arial Unicode MS" w:hAnsi="Times New Roman" w:hint="default"/>
          <w:lang w:val="sk-SK"/>
        </w:rPr>
        <w:t>Priestupky</w:t>
      </w:r>
    </w:p>
    <w:p w:rsidR="00787A78" w:rsidRPr="00AA565E" w:rsidP="00787A78">
      <w:pPr>
        <w:widowControl w:val="0"/>
        <w:numPr>
          <w:numId w:val="19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Priestupku sa dopustí člen širokej verejnosti, ktorý</w:t>
      </w:r>
    </w:p>
    <w:p w:rsidR="00787A78" w:rsidRPr="00607AF6" w:rsidP="00787A78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709" w:hanging="292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nadobudol obmedzený prekurzor výbušnín v rozpore s týmto zákonom alebo osobitným predpisom,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27"/>
        <w:t xml:space="preserve">2</w:t>
      </w:r>
      <w:r w:rsidRPr="00AA565E">
        <w:rPr>
          <w:rStyle w:val="FootnoteReference"/>
          <w:rFonts w:ascii="Times New Roman" w:hAnsi="Times New Roman"/>
          <w:sz w:val="24"/>
          <w:szCs w:val="24"/>
        </w:rPr>
        <w:t>6</w:t>
      </w:r>
      <w:r w:rsidRPr="00AA565E">
        <w:rPr>
          <w:rFonts w:ascii="Times New Roman" w:hAnsi="Times New Roman" w:cs="Times New Roman"/>
          <w:sz w:val="24"/>
          <w:szCs w:val="24"/>
        </w:rPr>
        <w:t>)</w:t>
      </w:r>
      <w:r w:rsidRPr="00607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A78" w:rsidRPr="00607AF6" w:rsidP="00787A78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709" w:hanging="292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drží obmedzený prekurzor výbušnín v rozpore s týmto zákonom alebo osobitným predpisom.</w:t>
      </w:r>
      <w:r w:rsidRPr="00AA565E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Pr="00AA565E">
        <w:rPr>
          <w:rFonts w:ascii="Times New Roman" w:hAnsi="Times New Roman" w:cs="Times New Roman"/>
          <w:sz w:val="24"/>
          <w:szCs w:val="24"/>
        </w:rPr>
        <w:t>)</w:t>
      </w:r>
    </w:p>
    <w:p w:rsidR="00787A78" w:rsidRPr="00AA565E" w:rsidP="00787A78">
      <w:pPr>
        <w:widowControl w:val="0"/>
        <w:numPr>
          <w:numId w:val="19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 xml:space="preserve">Za priestupok podľa odseku 1 ministerstvo hospodárstva uloží vždy sankciu prepadnutie veci a pokutu do 5000 eur. </w:t>
      </w:r>
    </w:p>
    <w:p w:rsidR="00787A78" w:rsidRPr="00AA565E" w:rsidP="00787A78">
      <w:pPr>
        <w:widowControl w:val="0"/>
        <w:numPr>
          <w:numId w:val="19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eastAsia="Arial Unicode MS" w:hAnsi="Times New Roman" w:hint="default"/>
          <w:lang w:val="sk-SK"/>
        </w:rPr>
        <w:t>Na priestupky a ich prejednanie sa vzť</w:t>
      </w:r>
      <w:r w:rsidRPr="00AA565E">
        <w:rPr>
          <w:rFonts w:ascii="Times New Roman" w:eastAsia="Arial Unicode MS" w:hAnsi="Times New Roman" w:hint="default"/>
          <w:lang w:val="sk-SK"/>
        </w:rPr>
        <w:t>ahuje vš</w:t>
      </w:r>
      <w:r w:rsidRPr="00AA565E">
        <w:rPr>
          <w:rFonts w:ascii="Times New Roman" w:eastAsia="Arial Unicode MS" w:hAnsi="Times New Roman" w:hint="default"/>
          <w:lang w:val="sk-SK"/>
        </w:rPr>
        <w:t>eobecný</w:t>
      </w:r>
      <w:r w:rsidRPr="00AA565E">
        <w:rPr>
          <w:rFonts w:ascii="Times New Roman" w:eastAsia="Arial Unicode MS" w:hAnsi="Times New Roman" w:hint="default"/>
          <w:lang w:val="sk-SK"/>
        </w:rPr>
        <w:t xml:space="preserve"> predpis o priestupkoch.</w:t>
      </w:r>
      <w:r w:rsidRPr="00AA565E">
        <w:rPr>
          <w:rFonts w:ascii="Times New Roman" w:eastAsia="Arial Unicode MS" w:hAnsi="Times New Roman"/>
          <w:vertAlign w:val="superscript"/>
          <w:lang w:val="sk-SK"/>
        </w:rPr>
        <w:t>21</w:t>
      </w:r>
      <w:r w:rsidRPr="00AA565E">
        <w:rPr>
          <w:rFonts w:ascii="Times New Roman" w:eastAsia="Arial Unicode MS" w:hAnsi="Times New Roman"/>
          <w:lang w:val="sk-SK"/>
        </w:rPr>
        <w:t>)</w:t>
      </w:r>
      <w:r w:rsidRPr="00607AF6">
        <w:rPr>
          <w:rFonts w:ascii="Times New Roman" w:eastAsia="Arial Unicode MS" w:hAnsi="Times New Roman" w:hint="default"/>
          <w:lang w:val="sk-SK"/>
        </w:rPr>
        <w:t xml:space="preserve"> Na colné</w:t>
      </w:r>
      <w:r w:rsidRPr="00607AF6">
        <w:rPr>
          <w:rFonts w:ascii="Times New Roman" w:eastAsia="Arial Unicode MS" w:hAnsi="Times New Roman" w:hint="default"/>
          <w:lang w:val="sk-SK"/>
        </w:rPr>
        <w:t xml:space="preserve"> priestupky a </w:t>
      </w:r>
      <w:r w:rsidRPr="00607AF6">
        <w:rPr>
          <w:rFonts w:ascii="Times New Roman" w:eastAsia="Arial Unicode MS" w:hAnsi="Times New Roman" w:hint="default"/>
          <w:lang w:val="sk-SK"/>
        </w:rPr>
        <w:t>ich prejednanie sa vzť</w:t>
      </w:r>
      <w:r w:rsidRPr="00607AF6">
        <w:rPr>
          <w:rFonts w:ascii="Times New Roman" w:eastAsia="Arial Unicode MS" w:hAnsi="Times New Roman" w:hint="default"/>
          <w:lang w:val="sk-SK"/>
        </w:rPr>
        <w:t>ahuje osobitný</w:t>
      </w:r>
      <w:r w:rsidRPr="00607AF6">
        <w:rPr>
          <w:rFonts w:ascii="Times New Roman" w:eastAsia="Arial Unicode MS" w:hAnsi="Times New Roman" w:hint="default"/>
          <w:lang w:val="sk-SK"/>
        </w:rPr>
        <w:t xml:space="preserve"> predpis</w:t>
      </w:r>
      <w:r w:rsidRPr="00AA565E">
        <w:rPr>
          <w:rFonts w:ascii="Times New Roman" w:eastAsia="Arial Unicode MS" w:hAnsi="Times New Roman"/>
          <w:lang w:val="sk-SK"/>
        </w:rPr>
        <w:t>.</w:t>
      </w:r>
      <w:r>
        <w:rPr>
          <w:rStyle w:val="FootnoteReference"/>
          <w:rFonts w:ascii="Times New Roman" w:eastAsia="Arial Unicode MS" w:hAnsi="Times New Roman"/>
          <w:rtl w:val="0"/>
          <w:lang w:val="sk-SK"/>
        </w:rPr>
        <w:footnoteReference w:customMarkFollows="1" w:id="28"/>
        <w:t xml:space="preserve">2</w:t>
      </w:r>
      <w:r w:rsidRPr="00AA565E">
        <w:rPr>
          <w:rStyle w:val="FootnoteReference"/>
          <w:rFonts w:ascii="Times New Roman" w:eastAsia="Arial Unicode MS" w:hAnsi="Times New Roman"/>
          <w:lang w:val="sk-SK"/>
        </w:rPr>
        <w:t>7</w:t>
      </w:r>
      <w:r w:rsidRPr="00AA565E">
        <w:rPr>
          <w:rFonts w:ascii="Times New Roman" w:eastAsia="Arial Unicode MS" w:hAnsi="Times New Roman"/>
          <w:lang w:val="sk-SK"/>
        </w:rPr>
        <w:t>)</w:t>
      </w:r>
    </w:p>
    <w:p w:rsidR="00787A78" w:rsidRPr="00607AF6" w:rsidP="00787A78">
      <w:pPr>
        <w:widowControl w:val="0"/>
        <w:numPr>
          <w:numId w:val="19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lang w:val="sk-SK"/>
        </w:rPr>
      </w:pPr>
      <w:r w:rsidRPr="00607AF6">
        <w:rPr>
          <w:rFonts w:ascii="Times New Roman" w:hAnsi="Times New Roman"/>
          <w:lang w:val="sk-SK"/>
        </w:rPr>
        <w:t>Výnos pokút uložených za priestupky podľa tohto zákona je príjmom štátneho rozpočtu.</w:t>
      </w:r>
    </w:p>
    <w:p w:rsidR="00787A78" w:rsidRPr="00AA565E" w:rsidP="00787A78">
      <w:pPr>
        <w:bidi w:val="0"/>
        <w:rPr>
          <w:rFonts w:ascii="Times New Roman" w:hAnsi="Times New Roman"/>
          <w:lang w:val="sk-SK"/>
        </w:rPr>
      </w:pPr>
    </w:p>
    <w:p w:rsidR="00787A78" w:rsidRPr="00AA565E" w:rsidP="00787A78">
      <w:pPr>
        <w:bidi w:val="0"/>
        <w:jc w:val="center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§ 10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Spolupráca orgánov štátnej správy vo veciach obmedzených prekurzorov výbušnín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ind w:left="360"/>
        <w:jc w:val="center"/>
        <w:outlineLvl w:val="0"/>
        <w:rPr>
          <w:rFonts w:ascii="Times New Roman" w:hAnsi="Times New Roman"/>
          <w:lang w:val="sk-SK"/>
        </w:rPr>
      </w:pPr>
    </w:p>
    <w:p w:rsidR="00787A78" w:rsidRPr="00607AF6" w:rsidP="00787A78">
      <w:pPr>
        <w:numPr>
          <w:numId w:val="16"/>
        </w:numPr>
        <w:tabs>
          <w:tab w:val="left" w:pos="426"/>
          <w:tab w:val="clear" w:pos="830"/>
        </w:tabs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 xml:space="preserve">Orgány štátnej správy vo veciach obmedzených prekurzorov výbušnín podľa § 2 spolupracujú pri vykonávaní tohto zákona, najmä si navzájom poskytujú informácie o všetkých skutočnostiach súvisiacich s porušovaním ustanovení tohto zákona </w:t>
      </w:r>
      <w:r w:rsidRPr="00AA565E">
        <w:rPr>
          <w:rFonts w:ascii="Times New Roman" w:hAnsi="Times New Roman" w:cs="Calibri"/>
          <w:lang w:val="sk-SK"/>
        </w:rPr>
        <w:t>alebo osobitného predpisu.</w:t>
      </w:r>
      <w:r w:rsidRPr="00AA565E">
        <w:rPr>
          <w:rFonts w:ascii="Times New Roman" w:hAnsi="Times New Roman" w:cs="Calibri"/>
          <w:vertAlign w:val="superscript"/>
          <w:lang w:val="sk-SK"/>
        </w:rPr>
        <w:t>26</w:t>
      </w:r>
      <w:r w:rsidRPr="00AA565E">
        <w:rPr>
          <w:rFonts w:ascii="Times New Roman" w:hAnsi="Times New Roman" w:cs="Calibri"/>
          <w:lang w:val="sk-SK"/>
        </w:rPr>
        <w:t>)</w:t>
      </w:r>
    </w:p>
    <w:p w:rsidR="00787A78" w:rsidRPr="00AA565E" w:rsidP="00787A78">
      <w:pPr>
        <w:numPr>
          <w:numId w:val="16"/>
        </w:numPr>
        <w:tabs>
          <w:tab w:val="left" w:pos="426"/>
          <w:tab w:val="clear" w:pos="830"/>
          <w:tab w:val="left" w:pos="851"/>
        </w:tabs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eastAsia="Arial Unicode MS" w:hAnsi="Times New Roman" w:hint="default"/>
          <w:lang w:val="sk-SK"/>
        </w:rPr>
        <w:t>Ak Ministerstvo obrany Slovenskej republiky, Ministerstvo pô</w:t>
      </w:r>
      <w:r w:rsidRPr="00AA565E">
        <w:rPr>
          <w:rFonts w:ascii="Times New Roman" w:eastAsia="Arial Unicode MS" w:hAnsi="Times New Roman" w:hint="default"/>
          <w:lang w:val="sk-SK"/>
        </w:rPr>
        <w:t>dohospodá</w:t>
      </w:r>
      <w:r w:rsidRPr="00AA565E">
        <w:rPr>
          <w:rFonts w:ascii="Times New Roman" w:eastAsia="Arial Unicode MS" w:hAnsi="Times New Roman" w:hint="default"/>
          <w:lang w:val="sk-SK"/>
        </w:rPr>
        <w:t>rstva a rozvoja vidieka Slovenskej republi</w:t>
      </w:r>
      <w:r w:rsidRPr="00AA565E">
        <w:rPr>
          <w:rFonts w:ascii="Times New Roman" w:eastAsia="Arial Unicode MS" w:hAnsi="Times New Roman" w:hint="default"/>
          <w:lang w:val="sk-SK"/>
        </w:rPr>
        <w:t>ky alebo Hasič</w:t>
      </w:r>
      <w:r w:rsidRPr="00AA565E">
        <w:rPr>
          <w:rFonts w:ascii="Times New Roman" w:eastAsia="Arial Unicode MS" w:hAnsi="Times New Roman" w:hint="default"/>
          <w:lang w:val="sk-SK"/>
        </w:rPr>
        <w:t>ský</w:t>
      </w:r>
      <w:r w:rsidRPr="00AA565E">
        <w:rPr>
          <w:rFonts w:ascii="Times New Roman" w:eastAsia="Arial Unicode MS" w:hAnsi="Times New Roman" w:hint="default"/>
          <w:lang w:val="sk-SK"/>
        </w:rPr>
        <w:t xml:space="preserve"> a zá</w:t>
      </w:r>
      <w:r w:rsidRPr="00AA565E">
        <w:rPr>
          <w:rFonts w:ascii="Times New Roman" w:eastAsia="Arial Unicode MS" w:hAnsi="Times New Roman" w:hint="default"/>
          <w:lang w:val="sk-SK"/>
        </w:rPr>
        <w:t>chranný</w:t>
      </w:r>
      <w:r w:rsidRPr="00AA565E">
        <w:rPr>
          <w:rFonts w:ascii="Times New Roman" w:eastAsia="Arial Unicode MS" w:hAnsi="Times New Roman" w:hint="default"/>
          <w:lang w:val="sk-SK"/>
        </w:rPr>
        <w:t xml:space="preserve"> zbor pri plnení</w:t>
      </w:r>
      <w:r w:rsidRPr="00AA565E">
        <w:rPr>
          <w:rFonts w:ascii="Times New Roman" w:eastAsia="Arial Unicode MS" w:hAnsi="Times New Roman" w:hint="default"/>
          <w:lang w:val="sk-SK"/>
        </w:rPr>
        <w:t xml:space="preserve"> ú</w:t>
      </w:r>
      <w:r w:rsidRPr="00AA565E">
        <w:rPr>
          <w:rFonts w:ascii="Times New Roman" w:eastAsia="Arial Unicode MS" w:hAnsi="Times New Roman" w:hint="default"/>
          <w:lang w:val="sk-SK"/>
        </w:rPr>
        <w:t>loh podľ</w:t>
      </w:r>
      <w:r w:rsidRPr="00AA565E">
        <w:rPr>
          <w:rFonts w:ascii="Times New Roman" w:eastAsia="Arial Unicode MS" w:hAnsi="Times New Roman" w:hint="default"/>
          <w:lang w:val="sk-SK"/>
        </w:rPr>
        <w:t>a osobitný</w:t>
      </w:r>
      <w:r w:rsidRPr="00AA565E">
        <w:rPr>
          <w:rFonts w:ascii="Times New Roman" w:eastAsia="Arial Unicode MS" w:hAnsi="Times New Roman" w:hint="default"/>
          <w:lang w:val="sk-SK"/>
        </w:rPr>
        <w:t>ch predpisov</w:t>
      </w:r>
      <w:r>
        <w:rPr>
          <w:rStyle w:val="FootnoteReference"/>
          <w:rFonts w:ascii="Times New Roman" w:eastAsia="Arial Unicode MS" w:hAnsi="Times New Roman"/>
          <w:rtl w:val="0"/>
          <w:lang w:val="sk-SK"/>
        </w:rPr>
        <w:footnoteReference w:customMarkFollows="1" w:id="29"/>
        <w:t xml:space="preserve">2</w:t>
      </w:r>
      <w:r w:rsidRPr="00AA565E">
        <w:rPr>
          <w:rStyle w:val="FootnoteReference"/>
          <w:rFonts w:ascii="Times New Roman" w:eastAsia="Arial Unicode MS" w:hAnsi="Times New Roman"/>
          <w:lang w:val="sk-SK"/>
        </w:rPr>
        <w:t>8</w:t>
      </w:r>
      <w:r w:rsidRPr="00AA565E">
        <w:rPr>
          <w:rFonts w:ascii="Times New Roman" w:eastAsia="Arial Unicode MS" w:hAnsi="Times New Roman"/>
          <w:lang w:val="sk-SK"/>
        </w:rPr>
        <w:t>)</w:t>
      </w:r>
      <w:r w:rsidRPr="00607AF6">
        <w:rPr>
          <w:rFonts w:ascii="Times New Roman" w:eastAsia="Arial Unicode MS" w:hAnsi="Times New Roman" w:hint="default"/>
          <w:lang w:val="sk-SK"/>
        </w:rPr>
        <w:t xml:space="preserve"> zistia nesprá</w:t>
      </w:r>
      <w:r w:rsidRPr="00607AF6">
        <w:rPr>
          <w:rFonts w:ascii="Times New Roman" w:eastAsia="Arial Unicode MS" w:hAnsi="Times New Roman" w:hint="default"/>
          <w:lang w:val="sk-SK"/>
        </w:rPr>
        <w:t>vne zaobchá</w:t>
      </w:r>
      <w:r w:rsidRPr="00607AF6">
        <w:rPr>
          <w:rFonts w:ascii="Times New Roman" w:eastAsia="Arial Unicode MS" w:hAnsi="Times New Roman" w:hint="default"/>
          <w:lang w:val="sk-SK"/>
        </w:rPr>
        <w:t>dzanie s </w:t>
      </w:r>
      <w:r w:rsidRPr="00607AF6">
        <w:rPr>
          <w:rFonts w:ascii="Times New Roman" w:eastAsia="Arial Unicode MS" w:hAnsi="Times New Roman" w:hint="default"/>
          <w:lang w:val="sk-SK"/>
        </w:rPr>
        <w:t>obmedzený</w:t>
      </w:r>
      <w:r w:rsidRPr="00607AF6">
        <w:rPr>
          <w:rFonts w:ascii="Times New Roman" w:eastAsia="Arial Unicode MS" w:hAnsi="Times New Roman" w:hint="default"/>
          <w:lang w:val="sk-SK"/>
        </w:rPr>
        <w:t>mi prekurzormi vý</w:t>
      </w:r>
      <w:r w:rsidRPr="00607AF6">
        <w:rPr>
          <w:rFonts w:ascii="Times New Roman" w:eastAsia="Arial Unicode MS" w:hAnsi="Times New Roman" w:hint="default"/>
          <w:lang w:val="sk-SK"/>
        </w:rPr>
        <w:t>buš</w:t>
      </w:r>
      <w:r w:rsidRPr="00607AF6">
        <w:rPr>
          <w:rFonts w:ascii="Times New Roman" w:eastAsia="Arial Unicode MS" w:hAnsi="Times New Roman" w:hint="default"/>
          <w:lang w:val="sk-SK"/>
        </w:rPr>
        <w:t>ní</w:t>
      </w:r>
      <w:r w:rsidRPr="00607AF6">
        <w:rPr>
          <w:rFonts w:ascii="Times New Roman" w:eastAsia="Arial Unicode MS" w:hAnsi="Times New Roman" w:hint="default"/>
          <w:lang w:val="sk-SK"/>
        </w:rPr>
        <w:t>n, tú</w:t>
      </w:r>
      <w:r w:rsidRPr="00607AF6">
        <w:rPr>
          <w:rFonts w:ascii="Times New Roman" w:eastAsia="Arial Unicode MS" w:hAnsi="Times New Roman" w:hint="default"/>
          <w:lang w:val="sk-SK"/>
        </w:rPr>
        <w:t>to skutoč</w:t>
      </w:r>
      <w:r w:rsidRPr="00607AF6">
        <w:rPr>
          <w:rFonts w:ascii="Times New Roman" w:eastAsia="Arial Unicode MS" w:hAnsi="Times New Roman" w:hint="default"/>
          <w:lang w:val="sk-SK"/>
        </w:rPr>
        <w:t>nosť</w:t>
      </w:r>
      <w:r w:rsidRPr="00607AF6">
        <w:rPr>
          <w:rFonts w:ascii="Times New Roman" w:eastAsia="Arial Unicode MS" w:hAnsi="Times New Roman" w:hint="default"/>
          <w:lang w:val="sk-SK"/>
        </w:rPr>
        <w:t xml:space="preserve"> neodkladne ozná</w:t>
      </w:r>
      <w:r w:rsidRPr="00607AF6">
        <w:rPr>
          <w:rFonts w:ascii="Times New Roman" w:eastAsia="Arial Unicode MS" w:hAnsi="Times New Roman" w:hint="default"/>
          <w:lang w:val="sk-SK"/>
        </w:rPr>
        <w:t>mia ministerstvu hospodá</w:t>
      </w:r>
      <w:r w:rsidRPr="00607AF6">
        <w:rPr>
          <w:rFonts w:ascii="Times New Roman" w:eastAsia="Arial Unicode MS" w:hAnsi="Times New Roman" w:hint="default"/>
          <w:lang w:val="sk-SK"/>
        </w:rPr>
        <w:t>rstva a </w:t>
      </w:r>
      <w:r w:rsidRPr="00607AF6">
        <w:rPr>
          <w:rFonts w:ascii="Times New Roman" w:eastAsia="Arial Unicode MS" w:hAnsi="Times New Roman" w:hint="default"/>
          <w:lang w:val="sk-SK"/>
        </w:rPr>
        <w:t>ministerstvu vnú</w:t>
      </w:r>
      <w:r w:rsidRPr="00607AF6">
        <w:rPr>
          <w:rFonts w:ascii="Times New Roman" w:eastAsia="Arial Unicode MS" w:hAnsi="Times New Roman" w:hint="default"/>
          <w:lang w:val="sk-SK"/>
        </w:rPr>
        <w:t xml:space="preserve">tra. 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§ 11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Spoločné ustanovenie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outlineLvl w:val="0"/>
        <w:rPr>
          <w:rFonts w:ascii="Times New Roman" w:hAnsi="Times New Roman"/>
          <w:lang w:val="sk-SK"/>
        </w:rPr>
      </w:pPr>
    </w:p>
    <w:p w:rsidR="00787A78" w:rsidRPr="00607AF6" w:rsidP="00787A78">
      <w:pPr>
        <w:widowControl w:val="0"/>
        <w:numPr>
          <w:numId w:val="17"/>
        </w:numPr>
        <w:tabs>
          <w:tab w:val="num" w:pos="426"/>
          <w:tab w:val="clear" w:pos="958"/>
        </w:tabs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 xml:space="preserve">Hospodársky subjekt, ktorý sprístupňuje obmedzené prekurzory výbušnín a orgány štátnej správy podľa § 2 sú povinné </w:t>
      </w:r>
      <w:r w:rsidRPr="00AA565E">
        <w:rPr>
          <w:rFonts w:ascii="Times New Roman" w:hAnsi="Times New Roman" w:cs="Calibri"/>
          <w:lang w:val="sk-SK"/>
        </w:rPr>
        <w:t xml:space="preserve">spracúvať osobné údaje </w:t>
      </w:r>
      <w:r w:rsidRPr="00AA565E">
        <w:rPr>
          <w:rFonts w:ascii="Times New Roman" w:hAnsi="Times New Roman"/>
          <w:lang w:val="sk-SK"/>
        </w:rPr>
        <w:t>člena širokej verejnosti podľa osobitného predpisu.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customMarkFollows="1" w:id="30"/>
        <w:t xml:space="preserve">2</w:t>
      </w:r>
      <w:r w:rsidRPr="00AA565E">
        <w:rPr>
          <w:rStyle w:val="FootnoteReference"/>
          <w:rFonts w:ascii="Times New Roman" w:hAnsi="Times New Roman"/>
          <w:lang w:val="sk-SK"/>
        </w:rPr>
        <w:t>9</w:t>
      </w:r>
      <w:r w:rsidRPr="00AA565E">
        <w:rPr>
          <w:rFonts w:ascii="Times New Roman" w:hAnsi="Times New Roman"/>
          <w:lang w:val="sk-SK"/>
        </w:rPr>
        <w:t>)</w:t>
      </w:r>
    </w:p>
    <w:p w:rsidR="00787A78" w:rsidRPr="00AA565E" w:rsidP="00787A78">
      <w:pPr>
        <w:widowControl w:val="0"/>
        <w:numPr>
          <w:numId w:val="17"/>
        </w:numPr>
        <w:tabs>
          <w:tab w:val="num" w:pos="426"/>
          <w:tab w:val="clear" w:pos="958"/>
        </w:tabs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i/>
          <w:lang w:val="sk-SK"/>
        </w:rPr>
      </w:pPr>
      <w:r w:rsidRPr="00AA565E">
        <w:rPr>
          <w:rFonts w:ascii="Times New Roman" w:hAnsi="Times New Roman" w:cs="Calibri"/>
          <w:lang w:val="sk-SK"/>
        </w:rPr>
        <w:t xml:space="preserve">Hospodárske subjekty a orgány štátnej správy na účely tohto zákona spracúvajú tieto osobné údaje </w:t>
      </w:r>
      <w:r w:rsidRPr="00AA565E">
        <w:rPr>
          <w:rFonts w:ascii="Times New Roman" w:hAnsi="Times New Roman"/>
          <w:lang w:val="sk-SK"/>
        </w:rPr>
        <w:t>člena širokej verejnosti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ind w:left="426"/>
        <w:rPr>
          <w:rFonts w:ascii="Times New Roman" w:hAnsi="Times New Roman"/>
          <w:i/>
          <w:lang w:val="sk-SK"/>
        </w:rPr>
      </w:pPr>
      <w:r w:rsidRPr="00AA565E">
        <w:rPr>
          <w:rFonts w:ascii="Times New Roman" w:hAnsi="Times New Roman" w:cs="Calibri"/>
          <w:lang w:val="sk-SK"/>
        </w:rPr>
        <w:t xml:space="preserve">a)  titul, meno, priezvisko, rodné priezvisko, </w:t>
        <w:br/>
        <w:t xml:space="preserve">b)  dátum a miesto narodenia, </w:t>
        <w:br/>
        <w:t xml:space="preserve">c)  rodné číslo, </w:t>
        <w:br/>
        <w:t xml:space="preserve">d)  adresa trvalého pobytu, </w:t>
        <w:br/>
        <w:t xml:space="preserve">e)  adresa prechodného pobytu, </w:t>
        <w:br/>
        <w:t xml:space="preserve">f)  štátna príslušnosť, </w:t>
        <w:br/>
        <w:t>g)  číslo občianskeho preukazu alebo cestovného dokladu.</w:t>
      </w:r>
    </w:p>
    <w:p w:rsidR="00787A78" w:rsidRPr="00AA565E" w:rsidP="00787A78">
      <w:pPr>
        <w:pStyle w:val="ListParagraph"/>
        <w:widowControl w:val="0"/>
        <w:numPr>
          <w:numId w:val="17"/>
        </w:numPr>
        <w:tabs>
          <w:tab w:val="num" w:pos="426"/>
          <w:tab w:val="clear" w:pos="958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Na konanie podľa tohto zákona sa vzťahuje všeobecný predpis o správnom konaní.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customMarkFollows="1" w:id="31"/>
        <w:t xml:space="preserve">3</w:t>
      </w:r>
      <w:r w:rsidRPr="00AA565E">
        <w:rPr>
          <w:rStyle w:val="FootnoteReference"/>
          <w:rFonts w:ascii="Times New Roman" w:hAnsi="Times New Roman"/>
          <w:sz w:val="24"/>
          <w:szCs w:val="24"/>
        </w:rPr>
        <w:t>0</w:t>
      </w:r>
      <w:r w:rsidRPr="00AA56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87A78" w:rsidRPr="00AA565E" w:rsidP="00787A78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§ 12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Prechodné ustanovenie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lang w:val="sk-SK"/>
        </w:rPr>
      </w:pP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Člen širokej verejnosti, ktorý nadobudol obmedzený prekurzor výbušnín pred účinnosťou tohto zákona je povinný do 2. marca 2016 obmedzený prekurzor výbušnín predať hospodárskemu subjektu alebo zneškodniť podľa osobitného predpisu</w:t>
      </w:r>
      <w:r w:rsidRPr="00AA565E">
        <w:rPr>
          <w:rFonts w:ascii="Times New Roman" w:eastAsia="Arial Unicode MS" w:hAnsi="Times New Roman"/>
          <w:lang w:val="sk-SK"/>
        </w:rPr>
        <w:t>.</w:t>
      </w:r>
      <w:r>
        <w:rPr>
          <w:rStyle w:val="FootnoteReference"/>
          <w:rFonts w:ascii="Times New Roman" w:eastAsia="Arial Unicode MS" w:hAnsi="Times New Roman"/>
          <w:rtl w:val="0"/>
          <w:lang w:val="sk-SK"/>
        </w:rPr>
        <w:footnoteReference w:customMarkFollows="1" w:id="32"/>
        <w:t xml:space="preserve">3</w:t>
      </w:r>
      <w:r w:rsidRPr="00AA565E">
        <w:rPr>
          <w:rStyle w:val="FootnoteReference"/>
          <w:rFonts w:ascii="Times New Roman" w:eastAsia="Arial Unicode MS" w:hAnsi="Times New Roman"/>
          <w:lang w:val="sk-SK"/>
        </w:rPr>
        <w:t>1</w:t>
      </w:r>
      <w:r w:rsidRPr="00AA565E">
        <w:rPr>
          <w:rFonts w:ascii="Times New Roman" w:eastAsia="Arial Unicode MS" w:hAnsi="Times New Roman"/>
          <w:lang w:val="sk-SK"/>
        </w:rPr>
        <w:t>)</w:t>
      </w:r>
    </w:p>
    <w:p w:rsidR="00787A78" w:rsidRPr="00AA565E" w:rsidP="00787A78">
      <w:pPr>
        <w:tabs>
          <w:tab w:val="left" w:pos="499"/>
        </w:tabs>
        <w:autoSpaceDE w:val="0"/>
        <w:autoSpaceDN w:val="0"/>
        <w:bidi w:val="0"/>
        <w:adjustRightInd w:val="0"/>
        <w:ind w:left="1211"/>
        <w:jc w:val="both"/>
        <w:rPr>
          <w:rFonts w:ascii="Times New Roman" w:eastAsia="Arial Unicode MS" w:hAnsi="Times New Roman"/>
          <w:lang w:val="sk-SK"/>
        </w:rPr>
      </w:pPr>
    </w:p>
    <w:p w:rsidR="00787A78" w:rsidRPr="00AA565E" w:rsidP="00787A78">
      <w:pPr>
        <w:tabs>
          <w:tab w:val="left" w:pos="4253"/>
        </w:tabs>
        <w:bidi w:val="0"/>
        <w:ind w:firstLine="1985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 xml:space="preserve">                                       Čl. II</w:t>
      </w:r>
    </w:p>
    <w:p w:rsidR="00787A78" w:rsidRPr="00AA565E" w:rsidP="00787A78">
      <w:pPr>
        <w:widowControl w:val="0"/>
        <w:tabs>
          <w:tab w:val="left" w:pos="4253"/>
          <w:tab w:val="left" w:pos="4536"/>
        </w:tabs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color w:val="FF0000"/>
          <w:lang w:val="sk-SK"/>
        </w:rPr>
      </w:pPr>
    </w:p>
    <w:p w:rsidR="00787A78" w:rsidRPr="00AA41EC" w:rsidP="00787A78">
      <w:pPr>
        <w:bidi w:val="0"/>
        <w:ind w:firstLine="708"/>
        <w:jc w:val="both"/>
        <w:rPr>
          <w:rFonts w:ascii="Times New Roman" w:hAnsi="Times New Roman"/>
          <w:color w:val="000000" w:themeColor="tx1" w:themeShade="FF"/>
          <w:lang w:val="sk-SK"/>
        </w:rPr>
      </w:pPr>
      <w:r w:rsidRPr="00AA565E">
        <w:rPr>
          <w:rFonts w:ascii="Times New Roman" w:hAnsi="Times New Roman"/>
          <w:lang w:val="sk-SK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č.577/2007 Z. z., zákona č. 647/2007 Z. z., zákona č. 661/2007 Z. z., zákona č. 92/2008 Z. z., 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 zákona č. 307/2009 Z. z., zákona č. </w:t>
      </w:r>
      <w:r w:rsidRPr="00AA565E">
        <w:rPr>
          <w:rFonts w:ascii="Times New Roman" w:hAnsi="Times New Roman"/>
          <w:color w:val="000000"/>
          <w:lang w:val="sk-SK"/>
        </w:rPr>
        <w:t>465/2009 Z. z.,</w:t>
      </w:r>
      <w:r w:rsidRPr="00AA565E">
        <w:rPr>
          <w:rFonts w:ascii="ms sans serif" w:hAnsi="ms sans serif"/>
          <w:color w:val="000000"/>
          <w:sz w:val="20"/>
          <w:szCs w:val="20"/>
          <w:lang w:val="sk-SK"/>
        </w:rPr>
        <w:t xml:space="preserve"> </w:t>
      </w:r>
      <w:r w:rsidRPr="00AA565E">
        <w:rPr>
          <w:rFonts w:ascii="Times New Roman" w:hAnsi="Times New Roman"/>
          <w:lang w:val="sk-SK"/>
        </w:rPr>
        <w:t xml:space="preserve">zákona č. 478/2009, Z. z.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 zákona č. 256/2011 Z. z., zákona č. 258/2011 Z. z., zákona č. 254/2011 Z. z., zákona č. 256/2011 Z. z., zákona č. </w:t>
      </w:r>
      <w:hyperlink r:id="rId5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258/2011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, zákona č. </w:t>
      </w:r>
      <w:hyperlink r:id="rId6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324/2011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, zákona č. </w:t>
      </w:r>
      <w:hyperlink r:id="rId7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342/2011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, zákona č. </w:t>
      </w:r>
      <w:hyperlink r:id="rId8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363/2011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>, zákona č.</w:t>
      </w:r>
      <w:hyperlink r:id="rId9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381/2011 Z. z.</w:t>
        </w:r>
      </w:hyperlink>
      <w:r w:rsidRPr="00AA41EC">
        <w:rPr>
          <w:rStyle w:val="Hyperlink"/>
          <w:rFonts w:ascii="Times New Roman" w:hAnsi="Times New Roman"/>
          <w:color w:val="000000" w:themeColor="tx1" w:themeShade="FF"/>
          <w:u w:val="none"/>
          <w:lang w:val="sk-SK"/>
        </w:rPr>
        <w:t>,</w:t>
      </w:r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 zákona č. </w:t>
      </w:r>
      <w:hyperlink r:id="rId10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392/2011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, zákona č. </w:t>
      </w:r>
      <w:hyperlink r:id="rId11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404/2011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, zákona č. </w:t>
      </w:r>
      <w:hyperlink r:id="rId12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405/2011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, zákona č. </w:t>
      </w:r>
      <w:hyperlink r:id="rId13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409/2011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, </w:t>
        <w:br/>
        <w:t xml:space="preserve">zákona č. </w:t>
      </w:r>
      <w:hyperlink r:id="rId14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519/2011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>, zákona č.</w:t>
      </w:r>
      <w:hyperlink r:id="rId15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547/2011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, zákona č. </w:t>
      </w:r>
      <w:hyperlink r:id="rId16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49/2012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, zákona č. </w:t>
      </w:r>
      <w:hyperlink r:id="rId17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96/2012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>, zákona č. 251/2012 Z. z., zákona č. 286/2012 Z. z., zákona č. 336/2012 Z. z., zákona č. 339/2012 Z. z., zákona č. 351/2012 Z. z., zákona č. 439/2012 Z.</w:t>
      </w:r>
      <w:r w:rsidRPr="00AA565E">
        <w:rPr>
          <w:rFonts w:ascii="Times New Roman" w:hAnsi="Times New Roman"/>
          <w:lang w:val="sk-SK"/>
        </w:rPr>
        <w:t xml:space="preserve"> z., zákona č. 447/2012 Z. z., zákona č. 459/2012 Z. z., zákona č. 8/2013 Z. z.,</w:t>
      </w:r>
      <w:r w:rsidR="00AA41EC">
        <w:rPr>
          <w:rFonts w:ascii="Times New Roman" w:hAnsi="Times New Roman"/>
          <w:lang w:val="sk-SK"/>
        </w:rPr>
        <w:t xml:space="preserve"> </w:t>
      </w:r>
      <w:r w:rsidRPr="00AA565E">
        <w:rPr>
          <w:rFonts w:ascii="Times New Roman" w:hAnsi="Times New Roman"/>
          <w:lang w:val="sk-SK"/>
        </w:rPr>
        <w:t xml:space="preserve">zákona č. 39/2013 Z. z., </w:t>
        <w:br/>
        <w:t>zákona č. 40/2013 Z. z., zákona č. 72/2013  Z. z., zákona č. 75</w:t>
      </w:r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/2013 Z. z., zákona č. 94/2013 Z. z., zákona č. 96/2013 Z. z., zákona č. 122/2013 Z. z., zákona č. 144/2013 Z. z., zákona č. 154/2013 Z. z., zákona č. 213/2013 Z. z., zákona č. </w:t>
      </w:r>
      <w:hyperlink r:id="rId18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311/2013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, zákona č. </w:t>
      </w:r>
      <w:hyperlink r:id="rId19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319/2013 Z. z.</w:t>
        </w:r>
      </w:hyperlink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, zákona č. </w:t>
      </w:r>
      <w:hyperlink r:id="rId20" w:history="1">
        <w:r w:rsidRPr="00AA41EC">
          <w:rPr>
            <w:rStyle w:val="Hyperlink"/>
            <w:rFonts w:ascii="Times New Roman" w:hAnsi="Times New Roman"/>
            <w:color w:val="000000" w:themeColor="tx1" w:themeShade="FF"/>
            <w:u w:val="none"/>
            <w:lang w:val="sk-SK"/>
          </w:rPr>
          <w:t>347/2013 Z. z.</w:t>
        </w:r>
      </w:hyperlink>
      <w:r w:rsidRPr="00AA41EC">
        <w:rPr>
          <w:rStyle w:val="Hyperlink"/>
          <w:rFonts w:ascii="Times New Roman" w:hAnsi="Times New Roman"/>
          <w:color w:val="000000" w:themeColor="tx1" w:themeShade="FF"/>
          <w:u w:val="none"/>
          <w:lang w:val="sk-SK"/>
        </w:rPr>
        <w:t>,</w:t>
      </w:r>
      <w:r w:rsidRPr="00AA41EC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zá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kona č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. 387/2013  Z. z., zá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kona č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. 388/2013 Z. z., zá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kona č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. 474/2013 Z. z., zá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kona č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. 506/2013 Z. z., zá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kona č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. 35/2014 Z. z., zá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kona č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 xml:space="preserve">. 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58/2014 Z. z., 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zá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kona č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. 84/2014 Z. z., zá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kona č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. 152/2014 Z. z., zá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kona č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. 162/2014 Z. z., zá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kona č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. 182/2014 Z. z. a 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zá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>kona č</w:t>
      </w:r>
      <w:r w:rsidRPr="00AA41EC">
        <w:rPr>
          <w:rFonts w:ascii="Times New Roman" w:eastAsia="MS Mincho" w:hAnsi="Times New Roman" w:hint="default"/>
          <w:color w:val="000000" w:themeColor="tx1" w:themeShade="FF"/>
          <w:lang w:val="sk-SK"/>
        </w:rPr>
        <w:t xml:space="preserve">. 204/2014 Z. z. sa </w:t>
      </w:r>
      <w:r w:rsidRPr="00AA41EC">
        <w:rPr>
          <w:rFonts w:ascii="Times New Roman" w:hAnsi="Times New Roman"/>
          <w:color w:val="000000" w:themeColor="tx1" w:themeShade="FF"/>
          <w:lang w:val="sk-SK"/>
        </w:rPr>
        <w:t>dopĺňa takto:</w:t>
      </w:r>
    </w:p>
    <w:p w:rsidR="00787A78" w:rsidRPr="00AA41EC" w:rsidP="00787A78">
      <w:pPr>
        <w:bidi w:val="0"/>
        <w:ind w:firstLine="708"/>
        <w:jc w:val="both"/>
        <w:rPr>
          <w:rFonts w:ascii="Times New Roman" w:hAnsi="Times New Roman"/>
          <w:color w:val="000000" w:themeColor="tx1" w:themeShade="FF"/>
          <w:lang w:val="sk-SK"/>
        </w:rPr>
      </w:pPr>
    </w:p>
    <w:p w:rsidR="00787A78" w:rsidRPr="00AA41EC" w:rsidP="00787A78">
      <w:pPr>
        <w:bidi w:val="0"/>
        <w:ind w:firstLine="708"/>
        <w:rPr>
          <w:rFonts w:ascii="Times New Roman" w:hAnsi="Times New Roman"/>
          <w:color w:val="000000" w:themeColor="tx1" w:themeShade="FF"/>
          <w:lang w:val="sk-SK"/>
        </w:rPr>
      </w:pPr>
    </w:p>
    <w:p w:rsidR="00787A78" w:rsidRPr="00AA565E" w:rsidP="00787A78">
      <w:pPr>
        <w:tabs>
          <w:tab w:val="left" w:pos="680"/>
        </w:tabs>
        <w:suppressAutoHyphens/>
        <w:bidi w:val="0"/>
        <w:jc w:val="both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V prílohe Sadzobník</w:t>
      </w:r>
      <w:r w:rsidRPr="00607AF6">
        <w:rPr>
          <w:rFonts w:ascii="Times New Roman" w:hAnsi="Times New Roman"/>
          <w:lang w:val="sk-SK"/>
        </w:rPr>
        <w:t xml:space="preserve"> správnych poplatkov v časti VIII Finančná správa a obchodná č</w:t>
      </w:r>
      <w:r w:rsidRPr="00AA565E">
        <w:rPr>
          <w:rFonts w:ascii="Times New Roman" w:hAnsi="Times New Roman"/>
          <w:lang w:val="sk-SK"/>
        </w:rPr>
        <w:t>innosť  položke</w:t>
      </w:r>
      <w:r w:rsidRPr="00607AF6">
        <w:rPr>
          <w:rFonts w:ascii="Times New Roman" w:hAnsi="Times New Roman"/>
          <w:lang w:val="sk-SK"/>
        </w:rPr>
        <w:t xml:space="preserve"> 154 písm. g) sa </w:t>
      </w:r>
      <w:r w:rsidRPr="00F0287F">
        <w:rPr>
          <w:rFonts w:ascii="Times New Roman" w:hAnsi="Times New Roman"/>
          <w:lang w:val="sk-SK"/>
        </w:rPr>
        <w:t>za slová „dovoz určených látok” vkladajú slová „alebo j</w:t>
      </w:r>
      <w:r w:rsidRPr="00AA565E">
        <w:rPr>
          <w:rFonts w:ascii="Times New Roman" w:hAnsi="Times New Roman"/>
          <w:lang w:val="sk-SK"/>
        </w:rPr>
        <w:t>ednorazového povolenia na dovoz obmedzených prekurzorov výbušnín podľa osobitného predpisu</w:t>
      </w:r>
      <w:r w:rsidRPr="00AA565E">
        <w:rPr>
          <w:rFonts w:ascii="Times New Roman" w:hAnsi="Times New Roman"/>
          <w:vertAlign w:val="superscript"/>
          <w:lang w:val="sk-SK"/>
        </w:rPr>
        <w:t>36u</w:t>
      </w:r>
      <w:r w:rsidRPr="00AA565E">
        <w:rPr>
          <w:rFonts w:ascii="Times New Roman" w:hAnsi="Times New Roman"/>
          <w:lang w:val="sk-SK"/>
        </w:rPr>
        <w:t xml:space="preserve">)“. 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Times New Roman" w:hAnsi="Times New Roman"/>
          <w:lang w:val="sk-SK"/>
        </w:rPr>
      </w:pP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Poznámka pod čiarou k odkazu 36u znie:</w:t>
      </w:r>
    </w:p>
    <w:p w:rsidR="00787A78" w:rsidRPr="00F0287F" w:rsidP="00787A78">
      <w:pPr>
        <w:widowControl w:val="0"/>
        <w:autoSpaceDE w:val="0"/>
        <w:autoSpaceDN w:val="0"/>
        <w:bidi w:val="0"/>
        <w:adjustRightInd w:val="0"/>
        <w:ind w:left="567" w:hanging="567"/>
        <w:outlineLvl w:val="0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„</w:t>
      </w:r>
      <w:r w:rsidRPr="00AA565E">
        <w:rPr>
          <w:rFonts w:ascii="Times New Roman" w:hAnsi="Times New Roman"/>
          <w:vertAlign w:val="superscript"/>
          <w:lang w:val="sk-SK"/>
        </w:rPr>
        <w:t>36u</w:t>
      </w:r>
      <w:r w:rsidRPr="00AA565E">
        <w:rPr>
          <w:rFonts w:ascii="Times New Roman" w:hAnsi="Times New Roman"/>
          <w:lang w:val="sk-SK"/>
        </w:rPr>
        <w:t>)</w:t>
      </w:r>
      <w:r>
        <w:rPr>
          <w:rFonts w:ascii="Times New Roman" w:hAnsi="Times New Roman"/>
          <w:lang w:val="sk-SK"/>
        </w:rPr>
        <w:t> </w:t>
      </w:r>
      <w:r w:rsidRPr="00AA565E">
        <w:rPr>
          <w:rFonts w:ascii="Times New Roman" w:hAnsi="Times New Roman"/>
          <w:lang w:val="sk-SK"/>
        </w:rPr>
        <w:t>§</w:t>
      </w:r>
      <w:r>
        <w:rPr>
          <w:rFonts w:ascii="Times New Roman" w:hAnsi="Times New Roman"/>
          <w:lang w:val="sk-SK"/>
        </w:rPr>
        <w:t> </w:t>
      </w:r>
      <w:r w:rsidRPr="00F0287F">
        <w:rPr>
          <w:rFonts w:ascii="Times New Roman" w:hAnsi="Times New Roman"/>
          <w:lang w:val="sk-SK"/>
        </w:rPr>
        <w:t>3</w:t>
      </w:r>
      <w:r>
        <w:rPr>
          <w:rFonts w:ascii="Times New Roman" w:hAnsi="Times New Roman"/>
          <w:lang w:val="sk-SK"/>
        </w:rPr>
        <w:t> </w:t>
      </w:r>
      <w:r w:rsidRPr="00F0287F">
        <w:rPr>
          <w:rFonts w:ascii="Times New Roman" w:hAnsi="Times New Roman"/>
          <w:lang w:val="sk-SK"/>
        </w:rPr>
        <w:t>ods. 1</w:t>
      </w:r>
      <w:r>
        <w:rPr>
          <w:rFonts w:ascii="Times New Roman" w:hAnsi="Times New Roman"/>
          <w:lang w:val="sk-SK"/>
        </w:rPr>
        <w:t> </w:t>
      </w:r>
      <w:r w:rsidRPr="00F0287F">
        <w:rPr>
          <w:rFonts w:ascii="Times New Roman" w:hAnsi="Times New Roman"/>
          <w:lang w:val="sk-SK"/>
        </w:rPr>
        <w:t>písm. d) zákona č.</w:t>
      </w:r>
      <w:r>
        <w:rPr>
          <w:rFonts w:ascii="Times New Roman" w:hAnsi="Times New Roman"/>
          <w:lang w:val="sk-SK"/>
        </w:rPr>
        <w:t> </w:t>
      </w:r>
      <w:r w:rsidRPr="00F0287F">
        <w:rPr>
          <w:rFonts w:ascii="Times New Roman" w:hAnsi="Times New Roman"/>
          <w:lang w:val="sk-SK"/>
        </w:rPr>
        <w:t>…/2014</w:t>
      </w:r>
      <w:r>
        <w:rPr>
          <w:rFonts w:ascii="Times New Roman" w:hAnsi="Times New Roman"/>
          <w:lang w:val="sk-SK"/>
        </w:rPr>
        <w:t> </w:t>
      </w:r>
      <w:r w:rsidRPr="00F0287F">
        <w:rPr>
          <w:rFonts w:ascii="Times New Roman" w:hAnsi="Times New Roman"/>
          <w:lang w:val="sk-SK"/>
        </w:rPr>
        <w:t>Z. z.</w:t>
      </w:r>
      <w:r>
        <w:rPr>
          <w:rFonts w:ascii="Times New Roman" w:hAnsi="Times New Roman"/>
          <w:lang w:val="sk-SK"/>
        </w:rPr>
        <w:t> </w:t>
      </w:r>
      <w:r w:rsidRPr="00F0287F">
        <w:rPr>
          <w:rFonts w:ascii="Times New Roman" w:hAnsi="Times New Roman"/>
          <w:lang w:val="sk-SK"/>
        </w:rPr>
        <w:t>o pôsobnosti orgánov štátnej správy</w:t>
      </w:r>
      <w:r>
        <w:rPr>
          <w:rFonts w:ascii="Times New Roman" w:hAnsi="Times New Roman"/>
          <w:lang w:val="sk-SK"/>
        </w:rPr>
        <w:t> </w:t>
      </w:r>
      <w:r w:rsidRPr="00F0287F">
        <w:rPr>
          <w:rFonts w:ascii="Times New Roman" w:hAnsi="Times New Roman"/>
          <w:lang w:val="sk-SK"/>
        </w:rPr>
        <w:t>vo veciach prekurzorov výbušnín a o zmene a doplnení niektorých zákonov.“.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Times New Roman" w:hAnsi="Times New Roman"/>
          <w:lang w:val="sk-SK"/>
        </w:rPr>
      </w:pP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lang w:val="sk-SK"/>
        </w:rPr>
      </w:pP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Čl. III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lang w:val="sk-SK"/>
        </w:rPr>
      </w:pPr>
    </w:p>
    <w:p w:rsidR="00787A78" w:rsidRPr="00AA565E" w:rsidP="00787A78">
      <w:pPr>
        <w:bidi w:val="0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Zákon č. 67/2010 Z. z. o podmienkach uvedenia chemických látok a chemických zmesí na trh a o zmene a doplnení niektorých zákonov (chemický zákon) v znení zákona č. 339/2012 Z. z. a zákona č. 319/2013 Z. z. sa mení takto:</w:t>
      </w:r>
    </w:p>
    <w:p w:rsidR="00787A78" w:rsidRPr="00AA565E" w:rsidP="00787A78">
      <w:pPr>
        <w:bidi w:val="0"/>
        <w:rPr>
          <w:rFonts w:ascii="Times New Roman" w:hAnsi="Times New Roman"/>
          <w:lang w:val="sk-SK"/>
        </w:rPr>
      </w:pPr>
    </w:p>
    <w:p w:rsidR="00787A78" w:rsidRPr="00AA565E" w:rsidP="00787A78">
      <w:pPr>
        <w:bidi w:val="0"/>
        <w:rPr>
          <w:rFonts w:ascii="ms sans serif" w:hAnsi="ms sans serif"/>
          <w:sz w:val="20"/>
          <w:szCs w:val="20"/>
          <w:lang w:val="sk-SK"/>
        </w:rPr>
      </w:pPr>
    </w:p>
    <w:p w:rsidR="00787A78" w:rsidRPr="0054157D" w:rsidP="0054157D">
      <w:pPr>
        <w:bidi w:val="0"/>
        <w:rPr>
          <w:rFonts w:ascii="Times New Roman" w:hAnsi="Times New Roman"/>
        </w:rPr>
      </w:pPr>
      <w:r w:rsidRPr="0054157D" w:rsidR="0054157D">
        <w:rPr>
          <w:rFonts w:ascii="Times New Roman" w:hAnsi="Times New Roman"/>
        </w:rPr>
        <w:t xml:space="preserve">1. </w:t>
      </w:r>
      <w:r w:rsidRPr="0054157D">
        <w:rPr>
          <w:rFonts w:ascii="Times New Roman" w:hAnsi="Times New Roman"/>
        </w:rPr>
        <w:t>§ 36 znie: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„§ 36</w:t>
      </w:r>
    </w:p>
    <w:p w:rsidR="00787A78" w:rsidRPr="00AA565E" w:rsidP="00787A78">
      <w:pPr>
        <w:pStyle w:val="ListParagraph"/>
        <w:bidi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787A78" w:rsidRPr="00AA565E" w:rsidP="00787A78">
      <w:pPr>
        <w:pStyle w:val="ListParagraph"/>
        <w:bidi w:val="0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="0054157D">
        <w:rPr>
          <w:rFonts w:ascii="Times New Roman" w:hAnsi="Times New Roman" w:cs="Times New Roman"/>
          <w:sz w:val="24"/>
          <w:szCs w:val="24"/>
        </w:rPr>
        <w:t xml:space="preserve">  </w:t>
      </w:r>
      <w:r w:rsidRPr="00AA565E">
        <w:rPr>
          <w:rFonts w:ascii="Times New Roman" w:hAnsi="Times New Roman" w:cs="Times New Roman"/>
          <w:sz w:val="24"/>
          <w:szCs w:val="24"/>
        </w:rPr>
        <w:t>Príslušný kontrolný orgán podľa § 24 ods. 6 uloží pokutu</w:t>
      </w:r>
    </w:p>
    <w:p w:rsidR="00787A78" w:rsidRPr="00AA565E" w:rsidP="0054157D">
      <w:pPr>
        <w:pStyle w:val="ListParagraph"/>
        <w:numPr>
          <w:numId w:val="18"/>
        </w:numPr>
        <w:bidi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od 500 eur do 16 500 eur, ak ide o správny delikt podľa § 33 ods. 3, § 34 ods. 3  písm. h) a j) a ods. 4 písm. b), § 35 písm. c), g) až i),</w:t>
      </w:r>
    </w:p>
    <w:p w:rsidR="00787A78" w:rsidRPr="00AA565E" w:rsidP="0054157D">
      <w:pPr>
        <w:pStyle w:val="ListParagraph"/>
        <w:numPr>
          <w:numId w:val="18"/>
        </w:numPr>
        <w:bidi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 xml:space="preserve">od 500 eur do 30 000 eur, ak ide o správny delikt podľa § 33 ods. 1 písm. c) až e), § 34 ods. 1 písm. g), § 34 ods. 2 písm. b) až d) a g), § 34 ods. 3 písm. a), c) až g) a k), § 34 ods. 4 písm. a), c) a d), § 34 ods. 5, § 35 písm. a), b), d) až f), k), m) až p), </w:t>
      </w:r>
    </w:p>
    <w:p w:rsidR="00787A78" w:rsidRPr="00AA565E" w:rsidP="0054157D">
      <w:pPr>
        <w:pStyle w:val="ListParagraph"/>
        <w:numPr>
          <w:numId w:val="18"/>
        </w:numPr>
        <w:bidi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 xml:space="preserve">od 500 eur do 50 000 eur, ak ide o správny delikt podľa § 33 ods. 1 písm. a) a b), § 33 ods. 2, § 34 ods. 1 písm. d) až f), k), l), n) a o), § 34 ods. 2 písm. a), e) a f), § 34 ods. 3 písm. b) a i), § 34 ods. 7 a 8, § 35 písm. j), l) a q), </w:t>
      </w:r>
    </w:p>
    <w:p w:rsidR="00787A78" w:rsidRPr="00AA565E" w:rsidP="0054157D">
      <w:pPr>
        <w:pStyle w:val="ListParagraph"/>
        <w:numPr>
          <w:numId w:val="18"/>
        </w:numPr>
        <w:bidi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65E">
        <w:rPr>
          <w:rFonts w:ascii="Times New Roman" w:hAnsi="Times New Roman" w:cs="Times New Roman"/>
          <w:sz w:val="24"/>
          <w:szCs w:val="24"/>
        </w:rPr>
        <w:t>od 1 000 eur do 99 500 eur, ak ide o správny delikt podľa § 33 ods. 1 písm. f), § 34 ods. 1 písm. a) až c), h) až j), m) a p) až s), § 34 ods. 6, § 35 písm. r).“.</w:t>
      </w: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outlineLvl w:val="0"/>
        <w:rPr>
          <w:rFonts w:ascii="Times New Roman" w:hAnsi="Times New Roman"/>
          <w:lang w:val="sk-SK"/>
        </w:rPr>
      </w:pPr>
    </w:p>
    <w:p w:rsidR="00787A78" w:rsidRPr="00AA565E" w:rsidP="00787A7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65E">
        <w:rPr>
          <w:rFonts w:ascii="Times New Roman" w:hAnsi="Times New Roman" w:cs="Times New Roman"/>
          <w:bCs/>
          <w:sz w:val="24"/>
          <w:szCs w:val="24"/>
        </w:rPr>
        <w:t xml:space="preserve">2.  Za § 40 sa vkladá § 40a, ktorý vrátane nadpisu znie: </w:t>
      </w:r>
    </w:p>
    <w:p w:rsidR="00787A78" w:rsidRPr="00AA565E" w:rsidP="00787A7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78" w:rsidRPr="00AA565E" w:rsidP="00787A7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565E">
        <w:rPr>
          <w:rFonts w:ascii="Times New Roman" w:hAnsi="Times New Roman" w:cs="Times New Roman"/>
          <w:bCs/>
          <w:sz w:val="24"/>
          <w:szCs w:val="24"/>
        </w:rPr>
        <w:t xml:space="preserve">„§ 40a </w:t>
      </w:r>
    </w:p>
    <w:p w:rsidR="00787A78" w:rsidRPr="00AA565E" w:rsidP="00787A7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565E">
        <w:rPr>
          <w:rFonts w:ascii="Times New Roman" w:hAnsi="Times New Roman" w:cs="Times New Roman"/>
          <w:bCs/>
          <w:sz w:val="24"/>
          <w:szCs w:val="24"/>
        </w:rPr>
        <w:t>Prechodné ustanovenie</w:t>
      </w:r>
    </w:p>
    <w:p w:rsidR="00787A78" w:rsidRPr="00AA565E" w:rsidP="00787A7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565E">
        <w:rPr>
          <w:rFonts w:ascii="Times New Roman" w:hAnsi="Times New Roman" w:cs="Times New Roman"/>
          <w:bCs/>
          <w:sz w:val="24"/>
          <w:szCs w:val="24"/>
        </w:rPr>
        <w:t>k úpravám účinným od 1. novembra 2014</w:t>
      </w:r>
    </w:p>
    <w:p w:rsidR="00787A78" w:rsidRPr="00AA565E" w:rsidP="00787A7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78" w:rsidRPr="00AA565E" w:rsidP="00787A7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65E">
        <w:rPr>
          <w:rFonts w:ascii="Times New Roman" w:hAnsi="Times New Roman" w:cs="Times New Roman"/>
          <w:bCs/>
          <w:sz w:val="24"/>
          <w:szCs w:val="24"/>
        </w:rPr>
        <w:t>Konania o uložení pokuty podľa § 36 začaté a právoplatne neukončené pred 1. novembrom 2014 sa dokončia podľa doterajších predpisov.“.</w:t>
      </w:r>
    </w:p>
    <w:p w:rsidR="00787A78" w:rsidRPr="00AA565E" w:rsidP="00787A7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7A78" w:rsidRPr="00AA565E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44369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87A78" w:rsidRPr="004F5D5C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  <w:r w:rsidRPr="00AA565E">
        <w:rPr>
          <w:rFonts w:ascii="Times New Roman" w:hAnsi="Times New Roman"/>
          <w:lang w:val="sk-SK"/>
        </w:rPr>
        <w:t>Čl. IV</w:t>
      </w:r>
    </w:p>
    <w:p w:rsidR="00787A78" w:rsidRPr="004F5D5C" w:rsidP="00787A78">
      <w:pPr>
        <w:widowControl w:val="0"/>
        <w:autoSpaceDE w:val="0"/>
        <w:autoSpaceDN w:val="0"/>
        <w:bidi w:val="0"/>
        <w:adjustRightInd w:val="0"/>
        <w:ind w:left="284"/>
        <w:jc w:val="center"/>
        <w:outlineLvl w:val="0"/>
        <w:rPr>
          <w:rFonts w:ascii="Times New Roman" w:hAnsi="Times New Roman"/>
          <w:lang w:val="sk-SK"/>
        </w:rPr>
      </w:pPr>
    </w:p>
    <w:p w:rsidR="00787A78" w:rsidRPr="004F5D5C" w:rsidP="00787A78">
      <w:pPr>
        <w:bidi w:val="0"/>
        <w:jc w:val="both"/>
        <w:rPr>
          <w:rFonts w:ascii="Times New Roman" w:hAnsi="Times New Roman"/>
          <w:lang w:val="sk-SK" w:eastAsia="cs-CZ"/>
        </w:rPr>
      </w:pPr>
      <w:r w:rsidRPr="004F5D5C">
        <w:rPr>
          <w:rFonts w:ascii="Times New Roman" w:hAnsi="Times New Roman"/>
          <w:lang w:val="sk-SK"/>
        </w:rPr>
        <w:t>Tento zákon nadobúda účinnosť 1. novembra 2014.</w:t>
      </w:r>
    </w:p>
    <w:p w:rsidR="00787A78" w:rsidRPr="004F5D5C" w:rsidP="00787A78">
      <w:pPr>
        <w:bidi w:val="0"/>
        <w:rPr>
          <w:rFonts w:ascii="Times New Roman" w:hAnsi="Times New Roman"/>
          <w:lang w:val="sk-SK"/>
        </w:rPr>
      </w:pPr>
    </w:p>
    <w:p w:rsidR="00787A78" w:rsidRPr="004F5D5C" w:rsidP="00787A78">
      <w:pPr>
        <w:bidi w:val="0"/>
        <w:rPr>
          <w:rFonts w:ascii="Times New Roman" w:hAnsi="Times New Roman"/>
          <w:lang w:val="sk-SK"/>
        </w:rPr>
      </w:pPr>
    </w:p>
    <w:p w:rsidR="00787A78" w:rsidP="00787A78">
      <w:pPr>
        <w:bidi w:val="0"/>
        <w:rPr>
          <w:rFonts w:ascii="Times New Roman" w:hAnsi="Times New Roman"/>
          <w:lang w:val="sk-SK"/>
        </w:rPr>
      </w:pPr>
    </w:p>
    <w:p w:rsidR="00744369" w:rsidP="00787A78">
      <w:pPr>
        <w:bidi w:val="0"/>
        <w:rPr>
          <w:rFonts w:ascii="Times New Roman" w:hAnsi="Times New Roman"/>
          <w:lang w:val="sk-SK"/>
        </w:rPr>
      </w:pPr>
    </w:p>
    <w:p w:rsidR="00744369" w:rsidP="00787A78">
      <w:pPr>
        <w:bidi w:val="0"/>
        <w:rPr>
          <w:rFonts w:ascii="Times New Roman" w:hAnsi="Times New Roman"/>
          <w:lang w:val="sk-SK"/>
        </w:rPr>
      </w:pPr>
    </w:p>
    <w:p w:rsidR="00744369" w:rsidP="00787A78">
      <w:pPr>
        <w:bidi w:val="0"/>
        <w:rPr>
          <w:rFonts w:ascii="Times New Roman" w:hAnsi="Times New Roman"/>
          <w:lang w:val="sk-SK"/>
        </w:rPr>
      </w:pPr>
    </w:p>
    <w:p w:rsidR="00744369" w:rsidP="00787A78">
      <w:pPr>
        <w:bidi w:val="0"/>
        <w:rPr>
          <w:rFonts w:ascii="Times New Roman" w:hAnsi="Times New Roman"/>
          <w:lang w:val="sk-SK"/>
        </w:rPr>
      </w:pPr>
    </w:p>
    <w:p w:rsidR="00744369" w:rsidP="00787A78">
      <w:pPr>
        <w:bidi w:val="0"/>
        <w:rPr>
          <w:rFonts w:ascii="Times New Roman" w:hAnsi="Times New Roman"/>
          <w:lang w:val="sk-SK"/>
        </w:rPr>
      </w:pPr>
    </w:p>
    <w:p w:rsidR="00744369" w:rsidRPr="004F5D5C" w:rsidP="00787A78">
      <w:pPr>
        <w:bidi w:val="0"/>
        <w:rPr>
          <w:rFonts w:ascii="Times New Roman" w:hAnsi="Times New Roman"/>
          <w:lang w:val="sk-SK"/>
        </w:rPr>
      </w:pPr>
    </w:p>
    <w:p w:rsidR="00787A78" w:rsidRPr="004F5D5C" w:rsidP="00787A78">
      <w:pPr>
        <w:bidi w:val="0"/>
        <w:rPr>
          <w:rFonts w:ascii="Times New Roman" w:hAnsi="Times New Roman"/>
          <w:lang w:val="sk-SK"/>
        </w:rPr>
      </w:pPr>
    </w:p>
    <w:p w:rsidR="00744369" w:rsidRPr="00136BA8" w:rsidP="00744369">
      <w:pPr>
        <w:bidi w:val="0"/>
        <w:jc w:val="center"/>
        <w:rPr>
          <w:rFonts w:ascii="Times New Roman" w:hAnsi="Times New Roman"/>
        </w:rPr>
      </w:pPr>
      <w:r w:rsidRPr="00136BA8">
        <w:rPr>
          <w:rFonts w:ascii="Times New Roman" w:hAnsi="Times New Roman"/>
        </w:rPr>
        <w:t>prezident Slovenskej republiky</w:t>
      </w:r>
    </w:p>
    <w:p w:rsidR="00744369" w:rsidP="00744369">
      <w:pPr>
        <w:bidi w:val="0"/>
        <w:rPr>
          <w:rFonts w:ascii="Times New Roman" w:hAnsi="Times New Roman"/>
        </w:rPr>
      </w:pPr>
    </w:p>
    <w:p w:rsidR="00744369" w:rsidP="00744369">
      <w:pPr>
        <w:bidi w:val="0"/>
        <w:rPr>
          <w:rFonts w:ascii="Times New Roman" w:hAnsi="Times New Roman"/>
        </w:rPr>
      </w:pPr>
    </w:p>
    <w:p w:rsidR="00744369" w:rsidP="00744369">
      <w:pPr>
        <w:bidi w:val="0"/>
        <w:rPr>
          <w:rFonts w:ascii="Times New Roman" w:hAnsi="Times New Roman"/>
        </w:rPr>
      </w:pPr>
    </w:p>
    <w:p w:rsidR="00744369" w:rsidP="00744369">
      <w:pPr>
        <w:bidi w:val="0"/>
        <w:rPr>
          <w:rFonts w:ascii="Times New Roman" w:hAnsi="Times New Roman"/>
        </w:rPr>
      </w:pPr>
    </w:p>
    <w:p w:rsidR="00744369" w:rsidRPr="00136BA8" w:rsidP="00744369">
      <w:pPr>
        <w:bidi w:val="0"/>
        <w:rPr>
          <w:rFonts w:ascii="Times New Roman" w:hAnsi="Times New Roman"/>
        </w:rPr>
      </w:pPr>
    </w:p>
    <w:p w:rsidR="00744369" w:rsidRPr="00136BA8" w:rsidP="00744369">
      <w:pPr>
        <w:bidi w:val="0"/>
        <w:rPr>
          <w:rFonts w:ascii="Times New Roman" w:hAnsi="Times New Roman"/>
        </w:rPr>
      </w:pPr>
    </w:p>
    <w:p w:rsidR="00744369" w:rsidRPr="00136BA8" w:rsidP="00744369">
      <w:pPr>
        <w:bidi w:val="0"/>
        <w:rPr>
          <w:rFonts w:ascii="Times New Roman" w:hAnsi="Times New Roman"/>
        </w:rPr>
      </w:pPr>
    </w:p>
    <w:p w:rsidR="00744369" w:rsidRPr="00136BA8" w:rsidP="00744369">
      <w:pPr>
        <w:bidi w:val="0"/>
        <w:jc w:val="center"/>
        <w:rPr>
          <w:rFonts w:ascii="Times New Roman" w:hAnsi="Times New Roman"/>
        </w:rPr>
      </w:pPr>
    </w:p>
    <w:p w:rsidR="00744369" w:rsidRPr="00136BA8" w:rsidP="00744369">
      <w:pPr>
        <w:bidi w:val="0"/>
        <w:jc w:val="center"/>
        <w:rPr>
          <w:rFonts w:ascii="Times New Roman" w:hAnsi="Times New Roman"/>
        </w:rPr>
      </w:pPr>
    </w:p>
    <w:p w:rsidR="00744369" w:rsidRPr="00136BA8" w:rsidP="00744369">
      <w:pPr>
        <w:bidi w:val="0"/>
        <w:jc w:val="center"/>
        <w:rPr>
          <w:rFonts w:ascii="Times New Roman" w:hAnsi="Times New Roman"/>
        </w:rPr>
      </w:pPr>
      <w:r w:rsidRPr="00136BA8">
        <w:rPr>
          <w:rFonts w:ascii="Times New Roman" w:hAnsi="Times New Roman"/>
        </w:rPr>
        <w:t>predseda Národnej rady Slovenskej republiky</w:t>
      </w:r>
    </w:p>
    <w:p w:rsidR="00744369" w:rsidRPr="00136BA8" w:rsidP="00744369">
      <w:pPr>
        <w:bidi w:val="0"/>
        <w:jc w:val="center"/>
        <w:rPr>
          <w:rFonts w:ascii="Times New Roman" w:hAnsi="Times New Roman"/>
        </w:rPr>
      </w:pPr>
    </w:p>
    <w:p w:rsidR="00744369" w:rsidP="00744369">
      <w:pPr>
        <w:bidi w:val="0"/>
        <w:jc w:val="center"/>
        <w:rPr>
          <w:rFonts w:ascii="Times New Roman" w:hAnsi="Times New Roman"/>
        </w:rPr>
      </w:pPr>
    </w:p>
    <w:p w:rsidR="00744369" w:rsidP="00744369">
      <w:pPr>
        <w:bidi w:val="0"/>
        <w:jc w:val="center"/>
        <w:rPr>
          <w:rFonts w:ascii="Times New Roman" w:hAnsi="Times New Roman"/>
        </w:rPr>
      </w:pPr>
    </w:p>
    <w:p w:rsidR="00744369" w:rsidP="00744369">
      <w:pPr>
        <w:bidi w:val="0"/>
        <w:jc w:val="center"/>
        <w:rPr>
          <w:rFonts w:ascii="Times New Roman" w:hAnsi="Times New Roman"/>
        </w:rPr>
      </w:pPr>
    </w:p>
    <w:p w:rsidR="00744369" w:rsidRPr="00136BA8" w:rsidP="00744369">
      <w:pPr>
        <w:bidi w:val="0"/>
        <w:jc w:val="center"/>
        <w:rPr>
          <w:rFonts w:ascii="Times New Roman" w:hAnsi="Times New Roman"/>
        </w:rPr>
      </w:pPr>
    </w:p>
    <w:p w:rsidR="00744369" w:rsidP="00744369">
      <w:pPr>
        <w:bidi w:val="0"/>
        <w:jc w:val="center"/>
        <w:rPr>
          <w:rFonts w:ascii="Times New Roman" w:hAnsi="Times New Roman"/>
        </w:rPr>
      </w:pPr>
    </w:p>
    <w:p w:rsidR="00744369" w:rsidP="00744369">
      <w:pPr>
        <w:bidi w:val="0"/>
        <w:jc w:val="center"/>
        <w:rPr>
          <w:rFonts w:ascii="Times New Roman" w:hAnsi="Times New Roman"/>
        </w:rPr>
      </w:pPr>
    </w:p>
    <w:p w:rsidR="00744369" w:rsidRPr="00136BA8" w:rsidP="00744369">
      <w:pPr>
        <w:bidi w:val="0"/>
        <w:jc w:val="center"/>
        <w:rPr>
          <w:rFonts w:ascii="Times New Roman" w:hAnsi="Times New Roman"/>
        </w:rPr>
      </w:pPr>
    </w:p>
    <w:p w:rsidR="00744369" w:rsidRPr="00136BA8" w:rsidP="00744369">
      <w:pPr>
        <w:bidi w:val="0"/>
        <w:jc w:val="center"/>
        <w:rPr>
          <w:rFonts w:ascii="Times New Roman" w:hAnsi="Times New Roman"/>
        </w:rPr>
      </w:pPr>
    </w:p>
    <w:p w:rsidR="00744369" w:rsidRPr="00136BA8" w:rsidP="00744369">
      <w:pPr>
        <w:bidi w:val="0"/>
        <w:jc w:val="center"/>
        <w:rPr>
          <w:rFonts w:ascii="Times New Roman" w:hAnsi="Times New Roman"/>
        </w:rPr>
      </w:pPr>
      <w:r w:rsidRPr="00136BA8">
        <w:rPr>
          <w:rFonts w:ascii="Times New Roman" w:hAnsi="Times New Roman"/>
        </w:rPr>
        <w:t>predseda vlády Slovenskej republiky</w:t>
      </w:r>
    </w:p>
    <w:p w:rsidR="00744369" w:rsidRPr="00136BA8" w:rsidP="00744369">
      <w:pPr>
        <w:bidi w:val="0"/>
        <w:jc w:val="both"/>
        <w:rPr>
          <w:rFonts w:ascii="Times New Roman" w:hAnsi="Times New Roman"/>
        </w:rPr>
      </w:pPr>
    </w:p>
    <w:p w:rsidR="00744369" w:rsidRPr="00136BA8" w:rsidP="00744369">
      <w:pPr>
        <w:bidi w:val="0"/>
        <w:spacing w:before="240"/>
        <w:jc w:val="both"/>
        <w:rPr>
          <w:rFonts w:ascii="Times New Roman" w:hAnsi="Times New Roman"/>
        </w:rPr>
        <w:sectPr w:rsidSect="00D37D57">
          <w:footerReference w:type="default" r:id="rId21"/>
          <w:pgSz w:w="11907" w:h="16839" w:code="9"/>
          <w:pgMar w:top="1304" w:right="1134" w:bottom="1304" w:left="1418" w:header="709" w:footer="567" w:gutter="0"/>
          <w:lnNumType w:distance="0"/>
          <w:cols w:space="708"/>
          <w:bidi w:val="0"/>
          <w:docGrid w:linePitch="326"/>
        </w:sectPr>
      </w:pPr>
    </w:p>
    <w:p w:rsidR="0029791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69" w:rsidRPr="006E4556">
    <w:pPr>
      <w:pStyle w:val="Footer"/>
      <w:bidi w:val="0"/>
      <w:jc w:val="center"/>
    </w:pPr>
    <w:r w:rsidRPr="006E4556">
      <w:fldChar w:fldCharType="begin"/>
    </w:r>
    <w:r w:rsidRPr="006E4556">
      <w:instrText>PAGE   \* MERGEFORMAT</w:instrText>
    </w:r>
    <w:r w:rsidRPr="006E4556">
      <w:fldChar w:fldCharType="separate"/>
    </w:r>
    <w:r w:rsidR="001D794E">
      <w:rPr>
        <w:noProof/>
      </w:rPr>
      <w:t>1</w:t>
    </w:r>
    <w:r w:rsidRPr="006E4556">
      <w:fldChar w:fldCharType="end"/>
    </w:r>
  </w:p>
  <w:p w:rsidR="00744369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E5" w:rsidP="00787A7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3739E5" w:rsidP="00787A7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 xml:space="preserve">)  Príloha I a Príloha II </w:t>
      </w:r>
      <w:r w:rsidRPr="009969EC" w:rsidR="00787A78">
        <w:rPr>
          <w:rFonts w:ascii="Times New Roman" w:hAnsi="Times New Roman"/>
        </w:rPr>
        <w:t>n</w:t>
      </w:r>
      <w:r w:rsidR="00787A78">
        <w:rPr>
          <w:rFonts w:ascii="Times New Roman" w:hAnsi="Times New Roman"/>
        </w:rPr>
        <w:t>ariadenia Európskeho parlamentu a Rady (EÚ) č. 98/2013 z 15. januára 2013 o uvádzaní  prekurzorov výbušnín na trh a ich používaní (Ú. v. EÚ L 39, 9. 2. 2013).</w:t>
      </w:r>
    </w:p>
  </w:footnote>
  <w:footnote w:id="3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 Čl. 4 ods. 4 a čl. 13 ods. 4 nariadenia (EÚ) č. 98/2013.</w:t>
      </w:r>
    </w:p>
  </w:footnote>
  <w:footnote w:id="4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 Čl. 3 ods. 9 nariadenia (EÚ) č. 98/2013.</w:t>
      </w:r>
    </w:p>
  </w:footnote>
  <w:footnote w:id="5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 Čl. 9 ods. 5 a 6 nariadenia (EÚ) č. 98/2013.</w:t>
      </w:r>
    </w:p>
  </w:footnote>
  <w:footnote w:id="6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 Čl. 3 ods. 5 nariadenia (EÚ) č. 98/2013.</w:t>
      </w:r>
    </w:p>
  </w:footnote>
  <w:footnote w:id="7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 Čl. 3 ods. 10 nariadenia (EÚ) č. 98/2013.</w:t>
      </w:r>
    </w:p>
  </w:footnote>
  <w:footnote w:id="8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 Čl. 4 ods. 3 nariadenia (EÚ) č. 98/2013.</w:t>
      </w:r>
    </w:p>
  </w:footnote>
  <w:footnote w:id="9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 Čl. 3 ods. 7 nariadenia (EÚ) č. 98/2013.</w:t>
      </w:r>
    </w:p>
  </w:footnote>
  <w:footnote w:id="10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 Čl. 7 nariadenia (EÚ) č. 98/2013.</w:t>
      </w:r>
    </w:p>
  </w:footnote>
  <w:footnote w:id="11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Čl. 9 ods. 3 nariadenia (EÚ) č. 98/2013.</w:t>
      </w:r>
    </w:p>
  </w:footnote>
  <w:footnote w:id="12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Čl. 13 ods. 1 až 3 nariadenia (EÚ) č. 98/2013.</w:t>
      </w:r>
    </w:p>
  </w:footnote>
  <w:footnote w:id="13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Čl. 3 ods. 4 nariadenia (EÚ) č. 98/2013.</w:t>
      </w:r>
    </w:p>
  </w:footnote>
  <w:footnote w:id="14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Príloha II nariadenia (EÚ) č. 98/2013.</w:t>
      </w:r>
    </w:p>
  </w:footnote>
  <w:footnote w:id="15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Čl. 3 ods. 8 nariadenia (EÚ) č. 98/2013.</w:t>
      </w:r>
    </w:p>
  </w:footnote>
  <w:footnote w:id="16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Čl. 9 ods. 1,3 a 4 nariadenia (EÚ) č. 98/2013.</w:t>
      </w:r>
    </w:p>
  </w:footnote>
  <w:footnote w:id="17">
    <w:p w:rsidP="00787A78">
      <w:pPr>
        <w:pStyle w:val="Comment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Čl. 9 ods. 2 nariadenia (EÚ) č. 98/2013.</w:t>
      </w:r>
    </w:p>
  </w:footnote>
  <w:footnote w:id="18">
    <w:p w:rsidP="00787A78">
      <w:pPr>
        <w:pStyle w:val="CommentText"/>
        <w:bidi w:val="0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Čl. 4 ods. 3 a 7, Čl. 5, 6, 8 a 9 nariadenia (EÚ) č. 98/2013.</w:t>
      </w:r>
    </w:p>
  </w:footnote>
  <w:footnote w:id="19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 xml:space="preserve">) Zákon č. 128/2002 Z. z. o štátnej kontrole vnútorného trhu vo veciach ochrany spotrebiteľa a o zmene a doplnení niektorých zákonov v znení neskorších predpisov. </w:t>
      </w:r>
    </w:p>
  </w:footnote>
  <w:footnote w:id="20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footnoteRef/>
      </w:r>
      <w:r w:rsidR="00787A78">
        <w:rPr>
          <w:rFonts w:ascii="Times New Roman" w:hAnsi="Times New Roman"/>
        </w:rPr>
        <w:t>) § 3 zákona č. 199/2004 Z. z. Colný zákon a o zmene a doplnení niektorých zákonov v znení neskorších predpisov.</w:t>
      </w:r>
    </w:p>
  </w:footnote>
  <w:footnote w:id="21">
    <w:p w:rsidP="00787A78">
      <w:pPr>
        <w:pStyle w:val="FootnoteText"/>
        <w:bidi w:val="0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t>20</w:t>
      </w:r>
      <w:r w:rsidR="00787A78">
        <w:rPr>
          <w:rFonts w:ascii="Times New Roman" w:hAnsi="Times New Roman"/>
        </w:rPr>
        <w:t>) § 71 zákona č. 199/2004 Z. z. v znení neskorších predpisov.</w:t>
      </w:r>
    </w:p>
  </w:footnote>
  <w:footnote w:id="22">
    <w:p w:rsidP="00787A78">
      <w:pPr>
        <w:pStyle w:val="FootnoteText"/>
        <w:bidi w:val="0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t>21</w:t>
      </w:r>
      <w:r w:rsidR="00787A78">
        <w:rPr>
          <w:rFonts w:ascii="Times New Roman" w:hAnsi="Times New Roman"/>
        </w:rPr>
        <w:t>) Zákon Slovenskej národnej rady č. 372/1990 Zb. o priestupkoch v znení neskorších predpisov.</w:t>
      </w:r>
    </w:p>
  </w:footnote>
  <w:footnote w:id="23">
    <w:p w:rsidP="00787A78">
      <w:pPr>
        <w:pStyle w:val="FootnoteText"/>
        <w:bidi w:val="0"/>
        <w:jc w:val="both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t>22</w:t>
      </w:r>
      <w:r w:rsidR="00787A78">
        <w:rPr>
          <w:rFonts w:ascii="Times New Roman" w:hAnsi="Times New Roman"/>
        </w:rPr>
        <w:t>) Čl. 8 nariadenia (EÚ) č. 98/2013.</w:t>
      </w:r>
    </w:p>
  </w:footnote>
  <w:footnote w:id="24">
    <w:p w:rsidP="00787A78">
      <w:pPr>
        <w:pStyle w:val="FootnoteText"/>
        <w:bidi w:val="0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t>23</w:t>
      </w:r>
      <w:r w:rsidR="00787A78">
        <w:rPr>
          <w:rFonts w:ascii="Times New Roman" w:hAnsi="Times New Roman"/>
        </w:rPr>
        <w:t>)</w:t>
      </w:r>
      <w:r w:rsidRPr="0031783D" w:rsidR="00787A78">
        <w:rPr>
          <w:rFonts w:ascii="Times New Roman" w:hAnsi="Times New Roman"/>
        </w:rPr>
        <w:t xml:space="preserve"> </w:t>
      </w:r>
      <w:r w:rsidR="00787A78">
        <w:rPr>
          <w:rFonts w:ascii="Times New Roman" w:hAnsi="Times New Roman"/>
        </w:rPr>
        <w:t>Čl. 3 ods. 6 nariadenia (EÚ) č. 98/2013.</w:t>
      </w:r>
    </w:p>
  </w:footnote>
  <w:footnote w:id="25">
    <w:p w:rsidP="00787A78">
      <w:pPr>
        <w:pStyle w:val="FootnoteText"/>
        <w:bidi w:val="0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t>24</w:t>
      </w:r>
      <w:r w:rsidR="00787A78">
        <w:rPr>
          <w:rFonts w:ascii="Times New Roman" w:hAnsi="Times New Roman"/>
        </w:rPr>
        <w:t>) Čl. 4 ods. 1, 3 a 7</w:t>
      </w:r>
      <w:r w:rsidRPr="003970F8" w:rsidR="00787A78">
        <w:rPr>
          <w:rFonts w:ascii="Times New Roman" w:hAnsi="Times New Roman"/>
        </w:rPr>
        <w:t xml:space="preserve"> </w:t>
      </w:r>
      <w:r w:rsidR="00787A78">
        <w:rPr>
          <w:rFonts w:ascii="Times New Roman" w:hAnsi="Times New Roman"/>
        </w:rPr>
        <w:t>nariadenia (EÚ) č. 98/2013.</w:t>
      </w:r>
    </w:p>
  </w:footnote>
  <w:footnote w:id="26">
    <w:p w:rsidP="00787A78">
      <w:pPr>
        <w:pStyle w:val="FootnoteText"/>
        <w:bidi w:val="0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t>25</w:t>
      </w:r>
      <w:r w:rsidR="00787A78">
        <w:rPr>
          <w:rFonts w:ascii="Times New Roman" w:hAnsi="Times New Roman"/>
        </w:rPr>
        <w:t>) Čl. 5 nariadenia (EÚ) č. 98/2013.</w:t>
      </w:r>
    </w:p>
  </w:footnote>
  <w:footnote w:id="27">
    <w:p w:rsidP="00787A78">
      <w:pPr>
        <w:pStyle w:val="FootnoteText"/>
        <w:bidi w:val="0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t>26</w:t>
      </w:r>
      <w:r w:rsidR="00787A78">
        <w:rPr>
          <w:rFonts w:ascii="Times New Roman" w:hAnsi="Times New Roman"/>
        </w:rPr>
        <w:t>) Nariadenie (EÚ) č. 98/2013.</w:t>
      </w:r>
    </w:p>
  </w:footnote>
  <w:footnote w:id="28">
    <w:p w:rsidP="00787A78">
      <w:pPr>
        <w:pStyle w:val="FootnoteText"/>
        <w:bidi w:val="0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t>27</w:t>
      </w:r>
      <w:r w:rsidR="00787A78">
        <w:rPr>
          <w:rFonts w:ascii="Times New Roman" w:hAnsi="Times New Roman"/>
        </w:rPr>
        <w:t>)</w:t>
      </w:r>
      <w:r w:rsidRPr="003970F8" w:rsidR="00787A78">
        <w:rPr>
          <w:rFonts w:ascii="Times New Roman" w:hAnsi="Times New Roman"/>
        </w:rPr>
        <w:t xml:space="preserve"> </w:t>
      </w:r>
      <w:r w:rsidR="00787A78">
        <w:rPr>
          <w:rFonts w:ascii="Times New Roman" w:hAnsi="Times New Roman"/>
        </w:rPr>
        <w:t>Zákon  č. 199/2004 Z. z. v znení neskorších predpisov.</w:t>
      </w:r>
    </w:p>
  </w:footnote>
  <w:footnote w:id="29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t>28</w:t>
      </w:r>
      <w:r w:rsidR="00787A78">
        <w:rPr>
          <w:rFonts w:ascii="Times New Roman" w:hAnsi="Times New Roman"/>
        </w:rPr>
        <w:t>)  Napríklad § 14 zákona č. 136/2000 Z. z. o hnojivách v znení neskorších predpisov, § 7 zákona č. 315/2001               Z. z. o Hasičskom a záchrannom zbore v znení neskorších predpisov.</w:t>
      </w:r>
    </w:p>
  </w:footnote>
  <w:footnote w:id="30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t>29</w:t>
      </w:r>
      <w:r w:rsidR="00787A78">
        <w:rPr>
          <w:rFonts w:ascii="Times New Roman" w:hAnsi="Times New Roman"/>
        </w:rPr>
        <w:t>)  Zákon č. 122/2013 Z. z. o ochrane osobných údajov a o zmene a doplnení niektorých zákonov v znení   zákona č. 84/2014 Z. z.</w:t>
      </w:r>
    </w:p>
  </w:footnote>
  <w:footnote w:id="31"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 w:rsidR="00787A78">
        <w:rPr>
          <w:rStyle w:val="FootnoteReference"/>
          <w:rFonts w:ascii="Times New Roman" w:hAnsi="Times New Roman"/>
        </w:rPr>
        <w:t>30</w:t>
      </w:r>
      <w:r w:rsidR="00787A78">
        <w:rPr>
          <w:rFonts w:ascii="Times New Roman" w:hAnsi="Times New Roman"/>
        </w:rPr>
        <w:t>)</w:t>
      </w:r>
      <w:r w:rsidRPr="006F2200" w:rsidR="00787A78">
        <w:rPr>
          <w:rFonts w:ascii="Times New Roman" w:hAnsi="Times New Roman"/>
        </w:rPr>
        <w:t xml:space="preserve"> </w:t>
      </w:r>
      <w:r w:rsidR="00787A78">
        <w:rPr>
          <w:rFonts w:ascii="Times New Roman" w:hAnsi="Times New Roman"/>
        </w:rPr>
        <w:t xml:space="preserve"> Zákon č. 71/1967 Zb. o správnom konaní (správny poriadok) v znení neskorších predpisov.</w:t>
      </w:r>
    </w:p>
  </w:footnote>
  <w:footnote w:id="32">
    <w:p w:rsidR="00787A78" w:rsidP="00787A78">
      <w:pPr>
        <w:pStyle w:val="FootnoteText"/>
        <w:bidi w:val="0"/>
        <w:ind w:left="284" w:hanging="284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31</w:t>
      </w:r>
      <w:r>
        <w:rPr>
          <w:rFonts w:ascii="Times New Roman" w:hAnsi="Times New Roman"/>
        </w:rPr>
        <w:t>)</w:t>
      </w:r>
      <w:r w:rsidRPr="006F22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Zákon č. 223/2001 Z. z. o odpadoch a o zmene a doplnení niektorých zákonov v znení neskorších predpisov.</w:t>
      </w:r>
    </w:p>
    <w:p w:rsidP="00787A78">
      <w:pPr>
        <w:pStyle w:val="FootnoteText"/>
        <w:bidi w:val="0"/>
        <w:ind w:left="284" w:hanging="284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7B3"/>
    <w:multiLevelType w:val="hybridMultilevel"/>
    <w:tmpl w:val="E016435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">
    <w:nsid w:val="0ADA6C6E"/>
    <w:multiLevelType w:val="hybridMultilevel"/>
    <w:tmpl w:val="4D52A4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79516C"/>
    <w:multiLevelType w:val="hybridMultilevel"/>
    <w:tmpl w:val="36ACB888"/>
    <w:lvl w:ilvl="0">
      <w:start w:val="1"/>
      <w:numFmt w:val="decimal"/>
      <w:lvlText w:val="(%1)"/>
      <w:lvlJc w:val="left"/>
      <w:pPr>
        <w:tabs>
          <w:tab w:val="num" w:pos="958"/>
        </w:tabs>
        <w:ind w:left="958" w:hanging="390"/>
      </w:pPr>
      <w:rPr>
        <w:rFonts w:ascii="Times New Roman" w:hAnsi="Times New Roman" w:cs="Times New Roman" w:hint="default"/>
        <w:i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  <w:rtl w:val="0"/>
        <w:cs w:val="0"/>
      </w:rPr>
    </w:lvl>
  </w:abstractNum>
  <w:abstractNum w:abstractNumId="3">
    <w:nsid w:val="0E8C31A0"/>
    <w:multiLevelType w:val="hybridMultilevel"/>
    <w:tmpl w:val="B2F88B24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4">
    <w:nsid w:val="0FED1A51"/>
    <w:multiLevelType w:val="hybridMultilevel"/>
    <w:tmpl w:val="5EBCAD82"/>
    <w:lvl w:ilvl="0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ascii="Times New Roman" w:eastAsia="Arial Unicode MS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  <w:rPr>
        <w:rFonts w:cs="Times New Roman"/>
        <w:rtl w:val="0"/>
        <w:cs w:val="0"/>
      </w:rPr>
    </w:lvl>
  </w:abstractNum>
  <w:abstractNum w:abstractNumId="5">
    <w:nsid w:val="194C36E1"/>
    <w:multiLevelType w:val="hybridMultilevel"/>
    <w:tmpl w:val="6CBA8D1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8662C7"/>
    <w:multiLevelType w:val="hybridMultilevel"/>
    <w:tmpl w:val="800E2E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ED6315A"/>
    <w:multiLevelType w:val="hybridMultilevel"/>
    <w:tmpl w:val="2ABAA1A2"/>
    <w:lvl w:ilvl="0">
      <w:start w:val="1"/>
      <w:numFmt w:val="lowerLetter"/>
      <w:lvlText w:val="%1)"/>
      <w:lvlJc w:val="left"/>
      <w:pPr>
        <w:ind w:left="121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8">
    <w:nsid w:val="294205BB"/>
    <w:multiLevelType w:val="hybridMultilevel"/>
    <w:tmpl w:val="1F3EE04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8564CE"/>
    <w:multiLevelType w:val="hybridMultilevel"/>
    <w:tmpl w:val="539CE41C"/>
    <w:lvl w:ilvl="0">
      <w:start w:val="1"/>
      <w:numFmt w:val="decimal"/>
      <w:lvlText w:val="(%1)"/>
      <w:lvlJc w:val="left"/>
      <w:pPr>
        <w:ind w:left="717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10">
    <w:nsid w:val="40960392"/>
    <w:multiLevelType w:val="hybridMultilevel"/>
    <w:tmpl w:val="D500213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411873EE"/>
    <w:multiLevelType w:val="hybridMultilevel"/>
    <w:tmpl w:val="800E2E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26C3828"/>
    <w:multiLevelType w:val="hybridMultilevel"/>
    <w:tmpl w:val="07827DF0"/>
    <w:lvl w:ilvl="0">
      <w:start w:val="1"/>
      <w:numFmt w:val="lowerLetter"/>
      <w:lvlText w:val="%1)"/>
      <w:lvlJc w:val="left"/>
      <w:pPr>
        <w:ind w:left="171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cs="Times New Roman"/>
        <w:rtl w:val="0"/>
        <w:cs w:val="0"/>
      </w:rPr>
    </w:lvl>
  </w:abstractNum>
  <w:abstractNum w:abstractNumId="13">
    <w:nsid w:val="59DC2713"/>
    <w:multiLevelType w:val="hybridMultilevel"/>
    <w:tmpl w:val="988CD02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A5E039C"/>
    <w:multiLevelType w:val="hybridMultilevel"/>
    <w:tmpl w:val="B7884E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9385827"/>
    <w:multiLevelType w:val="hybridMultilevel"/>
    <w:tmpl w:val="F5882A12"/>
    <w:lvl w:ilvl="0">
      <w:start w:val="1"/>
      <w:numFmt w:val="lowerLetter"/>
      <w:lvlText w:val="%1)"/>
      <w:lvlJc w:val="left"/>
      <w:pPr>
        <w:ind w:left="792" w:hanging="37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cs="Times New Roman"/>
        <w:rtl w:val="0"/>
        <w:cs w:val="0"/>
      </w:rPr>
    </w:lvl>
  </w:abstractNum>
  <w:abstractNum w:abstractNumId="16">
    <w:nsid w:val="706A6DFF"/>
    <w:multiLevelType w:val="hybridMultilevel"/>
    <w:tmpl w:val="40A8C43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9811412"/>
    <w:multiLevelType w:val="hybridMultilevel"/>
    <w:tmpl w:val="B6603778"/>
    <w:lvl w:ilvl="0">
      <w:start w:val="1"/>
      <w:numFmt w:val="lowerLetter"/>
      <w:lvlText w:val="%1)"/>
      <w:lvlJc w:val="left"/>
      <w:pPr>
        <w:ind w:left="10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18">
    <w:nsid w:val="7E7A5D28"/>
    <w:multiLevelType w:val="hybridMultilevel"/>
    <w:tmpl w:val="946206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position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787A78"/>
    <w:rsid w:val="000053E9"/>
    <w:rsid w:val="00136BA8"/>
    <w:rsid w:val="001D794E"/>
    <w:rsid w:val="00297914"/>
    <w:rsid w:val="0030509B"/>
    <w:rsid w:val="0031783D"/>
    <w:rsid w:val="003739E5"/>
    <w:rsid w:val="003970F8"/>
    <w:rsid w:val="004F5D5C"/>
    <w:rsid w:val="0054157D"/>
    <w:rsid w:val="0057655A"/>
    <w:rsid w:val="00607AF6"/>
    <w:rsid w:val="006E4556"/>
    <w:rsid w:val="006F2200"/>
    <w:rsid w:val="00744369"/>
    <w:rsid w:val="00787A78"/>
    <w:rsid w:val="008C5B8B"/>
    <w:rsid w:val="0093704B"/>
    <w:rsid w:val="009969EC"/>
    <w:rsid w:val="009A5338"/>
    <w:rsid w:val="00A1152C"/>
    <w:rsid w:val="00A45C03"/>
    <w:rsid w:val="00A75DB1"/>
    <w:rsid w:val="00AA41EC"/>
    <w:rsid w:val="00AA565E"/>
    <w:rsid w:val="00CA49CC"/>
    <w:rsid w:val="00D37D57"/>
    <w:rsid w:val="00D56B40"/>
    <w:rsid w:val="00F0287F"/>
    <w:rsid w:val="00FB23F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hu-H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87A78"/>
    <w:rPr>
      <w:rFonts w:cs="Times New Roman"/>
      <w:color w:val="000060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unhideWhenUsed/>
    <w:rsid w:val="00787A78"/>
    <w:pPr>
      <w:jc w:val="left"/>
    </w:pPr>
    <w:rPr>
      <w:sz w:val="20"/>
      <w:szCs w:val="20"/>
      <w:lang w:val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787A7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87A78"/>
    <w:pPr>
      <w:jc w:val="left"/>
    </w:pPr>
    <w:rPr>
      <w:sz w:val="20"/>
      <w:szCs w:val="20"/>
      <w:lang w:val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87A7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87A78"/>
    <w:pPr>
      <w:spacing w:after="200" w:line="276" w:lineRule="auto"/>
      <w:ind w:left="720"/>
      <w:contextualSpacing/>
      <w:jc w:val="left"/>
    </w:pPr>
    <w:rPr>
      <w:rFonts w:ascii="Calibri" w:hAnsi="Calibri" w:cs="Mangal"/>
      <w:sz w:val="22"/>
      <w:szCs w:val="22"/>
      <w:lang w:val="sk-SK" w:eastAsia="en-US"/>
    </w:rPr>
  </w:style>
  <w:style w:type="paragraph" w:customStyle="1" w:styleId="Zkladntext">
    <w:name w:val="Základní text"/>
    <w:rsid w:val="00787A78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87A78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744369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hAnsi="Calibri"/>
      <w:sz w:val="22"/>
      <w:szCs w:val="22"/>
      <w:lang w:val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44369"/>
    <w:rPr>
      <w:rFonts w:ascii="Calibri" w:hAnsi="Calibri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javascript:new_http_browser_jscript('?MOD=html&amp;FIR=demo&amp;JEL=n&amp;AGE=zak&amp;TNU=n&amp;IDC=392%2F2011%20Z.z.')" TargetMode="External" /><Relationship Id="rId11" Type="http://schemas.openxmlformats.org/officeDocument/2006/relationships/hyperlink" Target="javascript:new_http_browser_jscript('?MOD=html&amp;FIR=demo&amp;JEL=n&amp;AGE=zak&amp;TNU=n&amp;IDC=404%2F2011%20Z.z.')" TargetMode="External" /><Relationship Id="rId12" Type="http://schemas.openxmlformats.org/officeDocument/2006/relationships/hyperlink" Target="javascript:new_http_browser_jscript('?MOD=html&amp;FIR=demo&amp;JEL=n&amp;AGE=zak&amp;TNU=n&amp;IDC=405%2F2011%20Z.z.')" TargetMode="External" /><Relationship Id="rId13" Type="http://schemas.openxmlformats.org/officeDocument/2006/relationships/hyperlink" Target="javascript:new_http_browser_jscript('?MOD=html&amp;FIR=demo&amp;JEL=n&amp;AGE=zak&amp;TNU=n&amp;IDC=409%2F2011%20Z.z.')" TargetMode="External" /><Relationship Id="rId14" Type="http://schemas.openxmlformats.org/officeDocument/2006/relationships/hyperlink" Target="javascript:new_http_browser_jscript('?MOD=html&amp;FIR=demo&amp;JEL=n&amp;AGE=zak&amp;TNU=n&amp;IDC=519%2F2011%20Z.z.')" TargetMode="External" /><Relationship Id="rId15" Type="http://schemas.openxmlformats.org/officeDocument/2006/relationships/hyperlink" Target="javascript:new_http_browser_jscript('?MOD=html&amp;FIR=demo&amp;JEL=n&amp;AGE=zak&amp;TNU=n&amp;IDC=547%2F2011%20Z.z.')" TargetMode="External" /><Relationship Id="rId16" Type="http://schemas.openxmlformats.org/officeDocument/2006/relationships/hyperlink" Target="javascript:new_http_browser_jscript('?MOD=html&amp;FIR=demo&amp;JEL=n&amp;AGE=zak&amp;TNU=n&amp;IDC=49%2F2012%20Z.z.')" TargetMode="External" /><Relationship Id="rId17" Type="http://schemas.openxmlformats.org/officeDocument/2006/relationships/hyperlink" Target="javascript:new_http_browser_jscript('?MOD=html&amp;FIR=demo&amp;JEL=n&amp;AGE=zak&amp;TNU=n&amp;IDC=96%2F2012%20Z.z.')" TargetMode="External" /><Relationship Id="rId18" Type="http://schemas.openxmlformats.org/officeDocument/2006/relationships/hyperlink" Target="javascript:new_http_browser_jscript('?MOD=html&amp;FIR=demo&amp;JEL=n&amp;AGE=zak&amp;TNU=n&amp;IDC=311%2F2013%20Z.z.')" TargetMode="External" /><Relationship Id="rId19" Type="http://schemas.openxmlformats.org/officeDocument/2006/relationships/hyperlink" Target="javascript:new_http_browser_jscript('?MOD=html&amp;FIR=demo&amp;JEL=n&amp;AGE=zak&amp;TNU=n&amp;IDC=319%2F2013%20Z.z.')" TargetMode="External" /><Relationship Id="rId2" Type="http://schemas.openxmlformats.org/officeDocument/2006/relationships/settings" Target="settings.xml" /><Relationship Id="rId20" Type="http://schemas.openxmlformats.org/officeDocument/2006/relationships/hyperlink" Target="javascript:new_http_browser_jscript('?MOD=html&amp;FIR=demo&amp;JEL=n&amp;AGE=zak&amp;TNU=n&amp;IDC=347%2F2013%20Z.z.')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javascript:new_http_browser_jscript('?MOD=html&amp;FIR=demo&amp;JEL=n&amp;AGE=zak&amp;TNU=n&amp;IDC=258%2F2011%20Z.z.')" TargetMode="External" /><Relationship Id="rId6" Type="http://schemas.openxmlformats.org/officeDocument/2006/relationships/hyperlink" Target="javascript:new_http_browser_jscript('?MOD=html&amp;FIR=demo&amp;JEL=n&amp;AGE=zak&amp;TNU=n&amp;IDC=324%2F2011%20Z.z.')" TargetMode="External" /><Relationship Id="rId7" Type="http://schemas.openxmlformats.org/officeDocument/2006/relationships/hyperlink" Target="javascript:new_http_browser_jscript('?MOD=html&amp;FIR=demo&amp;JEL=n&amp;AGE=zak&amp;TNU=n&amp;IDC=342%2F2011%20Z.z.')" TargetMode="External" /><Relationship Id="rId8" Type="http://schemas.openxmlformats.org/officeDocument/2006/relationships/hyperlink" Target="javascript:new_http_browser_jscript('?MOD=html&amp;FIR=demo&amp;JEL=n&amp;AGE=zak&amp;TNU=n&amp;IDC=363%2F2011%20Z.z.')" TargetMode="External" /><Relationship Id="rId9" Type="http://schemas.openxmlformats.org/officeDocument/2006/relationships/hyperlink" Target="javascript:new_http_browser_jscript('?MOD=html&amp;FIR=demo&amp;JEL=n&amp;AGE=zak&amp;TNU=n&amp;IDC=381%2F2011%20Z.z.')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9</Pages>
  <Words>2567</Words>
  <Characters>14634</Characters>
  <Application>Microsoft Office Word</Application>
  <DocSecurity>0</DocSecurity>
  <Lines>0</Lines>
  <Paragraphs>0</Paragraphs>
  <ScaleCrop>false</ScaleCrop>
  <Company/>
  <LinksUpToDate>false</LinksUpToDate>
  <CharactersWithSpaces>17167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7</cp:revision>
  <cp:lastPrinted>2014-09-12T15:55:00Z</cp:lastPrinted>
  <dcterms:created xsi:type="dcterms:W3CDTF">2014-09-11T14:50:00Z</dcterms:created>
  <dcterms:modified xsi:type="dcterms:W3CDTF">2014-09-12T16:39:00Z</dcterms:modified>
</cp:coreProperties>
</file>