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E7913">
        <w:rPr>
          <w:sz w:val="22"/>
          <w:szCs w:val="22"/>
        </w:rPr>
        <w:t>1600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E791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E7913">
        <w:t>1179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E7913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E791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E791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DE7913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DE7913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E7913">
        <w:rPr>
          <w:rFonts w:cs="Arial"/>
          <w:szCs w:val="22"/>
        </w:rPr>
        <w:t>zákon č. 222/2004 Z. z. o dani z pridanej hodnoty v znení neskorších predpisov a ktorým sa mení a dopĺňa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E7913">
        <w:rPr>
          <w:rFonts w:cs="Arial"/>
          <w:szCs w:val="22"/>
        </w:rPr>
        <w:t>1160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7913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3277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93277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93277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3277C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3277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F213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277C"/>
    <w:rsid w:val="00992885"/>
    <w:rsid w:val="00AA3DED"/>
    <w:rsid w:val="00AB4082"/>
    <w:rsid w:val="00B10FD3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79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202</Words>
  <Characters>1152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2014-08-25T14:29:00Z</cp:lastPrinted>
  <dcterms:created xsi:type="dcterms:W3CDTF">2014-08-27T10:07:00Z</dcterms:created>
  <dcterms:modified xsi:type="dcterms:W3CDTF">2014-08-27T10:07:00Z</dcterms:modified>
</cp:coreProperties>
</file>