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496C" w:rsidRPr="00D72577" w:rsidP="00057D57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bCs/>
          <w:spacing w:val="20"/>
          <w:sz w:val="22"/>
          <w:szCs w:val="22"/>
        </w:rPr>
      </w:pPr>
      <w:r w:rsidRPr="00D72577">
        <w:rPr>
          <w:rFonts w:ascii="Book Antiqua" w:hAnsi="Book Antiqua"/>
          <w:b/>
          <w:bCs/>
          <w:spacing w:val="20"/>
          <w:sz w:val="22"/>
          <w:szCs w:val="22"/>
        </w:rPr>
        <w:t>NÁRODNÁ  RADA  SLOVENSKEJ  REPUBLIKY</w:t>
      </w:r>
    </w:p>
    <w:p w:rsidR="00C373B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D72577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  <w:r w:rsidRPr="00D72577">
        <w:rPr>
          <w:rFonts w:ascii="Book Antiqua" w:hAnsi="Book Antiqua"/>
          <w:b/>
          <w:bCs/>
          <w:spacing w:val="30"/>
          <w:sz w:val="22"/>
          <w:szCs w:val="22"/>
        </w:rPr>
        <w:t xml:space="preserve">Návrh 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pacing w:val="30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  <w:r w:rsidRPr="00D72577">
        <w:rPr>
          <w:rFonts w:ascii="Book Antiqua" w:hAnsi="Book Antiqua"/>
          <w:b/>
          <w:bCs/>
          <w:caps/>
          <w:spacing w:val="30"/>
          <w:sz w:val="22"/>
          <w:szCs w:val="22"/>
        </w:rPr>
        <w:t>zákon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72577" w:rsidR="00D17313">
        <w:rPr>
          <w:rFonts w:ascii="Book Antiqua" w:hAnsi="Book Antiqua"/>
          <w:sz w:val="22"/>
          <w:szCs w:val="22"/>
        </w:rPr>
        <w:t>z ... 201</w:t>
      </w:r>
      <w:r w:rsidRPr="00D72577" w:rsidR="0095733C">
        <w:rPr>
          <w:rFonts w:ascii="Book Antiqua" w:hAnsi="Book Antiqua"/>
          <w:sz w:val="22"/>
          <w:szCs w:val="22"/>
        </w:rPr>
        <w:t>4</w:t>
      </w:r>
      <w:r w:rsidRPr="00D72577">
        <w:rPr>
          <w:rFonts w:ascii="Book Antiqua" w:hAnsi="Book Antiqua"/>
          <w:sz w:val="22"/>
          <w:szCs w:val="22"/>
        </w:rPr>
        <w:t>,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D72577">
        <w:rPr>
          <w:rFonts w:ascii="Book Antiqua" w:hAnsi="Book Antiqua"/>
          <w:b/>
          <w:bCs/>
          <w:sz w:val="22"/>
          <w:szCs w:val="22"/>
        </w:rPr>
        <w:t xml:space="preserve">ktorým sa </w:t>
      </w:r>
      <w:r w:rsidRPr="00D72577" w:rsidR="008465C9">
        <w:rPr>
          <w:rFonts w:ascii="Book Antiqua" w:hAnsi="Book Antiqua"/>
          <w:b/>
          <w:bCs/>
          <w:sz w:val="22"/>
          <w:szCs w:val="22"/>
        </w:rPr>
        <w:t>dopĺňa</w:t>
      </w:r>
      <w:r w:rsidRPr="00D72577" w:rsidR="0088419C">
        <w:rPr>
          <w:rFonts w:ascii="Book Antiqua" w:hAnsi="Book Antiqua"/>
          <w:b/>
          <w:bCs/>
          <w:sz w:val="22"/>
          <w:szCs w:val="22"/>
        </w:rPr>
        <w:t xml:space="preserve"> </w:t>
      </w:r>
      <w:r w:rsidRPr="00D72577" w:rsidR="001314A5">
        <w:rPr>
          <w:rFonts w:ascii="Book Antiqua" w:hAnsi="Book Antiqua"/>
          <w:b/>
          <w:sz w:val="22"/>
        </w:rPr>
        <w:t>zákon č. 300/2005 Z. z. Trestný zákon v znení neskorších predpisov</w:t>
      </w:r>
      <w:r w:rsidRPr="00D72577" w:rsidR="000C16FE">
        <w:rPr>
          <w:rFonts w:ascii="Book Antiqua" w:hAnsi="Book Antiqua"/>
          <w:b/>
          <w:bCs/>
          <w:sz w:val="22"/>
          <w:szCs w:val="22"/>
        </w:rPr>
        <w:t xml:space="preserve"> </w:t>
      </w:r>
    </w:p>
    <w:p w:rsidR="00DF496C" w:rsidRPr="00D72577" w:rsidP="00057D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DF496C" w:rsidRPr="00D72577" w:rsidP="00057D57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D72577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DF496C" w:rsidRPr="00D72577" w:rsidP="00057D57">
      <w:pPr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DF496C" w:rsidRPr="00D72577" w:rsidP="00AE4E23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bCs/>
          <w:sz w:val="22"/>
          <w:szCs w:val="22"/>
        </w:rPr>
      </w:pPr>
      <w:r w:rsidRPr="00D72577">
        <w:rPr>
          <w:rFonts w:ascii="Book Antiqua" w:hAnsi="Book Antiqua"/>
          <w:b/>
          <w:bCs/>
          <w:sz w:val="22"/>
          <w:szCs w:val="22"/>
        </w:rPr>
        <w:t>Čl. I</w:t>
      </w:r>
    </w:p>
    <w:p w:rsidR="00057D57" w:rsidRPr="00D7257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Pr="00D72577" w:rsidR="001314A5">
        <w:rPr>
          <w:rFonts w:ascii="Book Antiqua" w:hAnsi="Book Antiqua"/>
          <w:sz w:val="22"/>
        </w:rPr>
        <w:t>Zákon č. 300/2005 Z. z. Trestný zákon v znení zákona č. 650/2005 Z. z., zákona                č. 692/2006 Z. z., zákona č. 218/2007 Z. z., zákona č. 491/2008 Z. z., zákona č. 497/2008 Z. z., zákona č. 498/2008 Z. z., zákona č. 59/2009 Z. z., zákona č. 257/2009 Z. z., zákona                  č. 317/2009 Z. z., zákona č. 492/2009 Z. z., zákona č. 576/2009 Z. z., zákona č. 224/2010 Z. z., zákona č. 547/2010 Z. z., zákona č. 33/2011 Z. z., zákona č. 262/2011 Z. z., zákona                   č. 313/2011 Z. z., zákona č. 246/2012 Z. z., zákona č. 334/2012 Z. z., nálezu Ústavného súdu Slovenske</w:t>
      </w:r>
      <w:r w:rsidRPr="00D72577" w:rsidR="00D72577">
        <w:rPr>
          <w:rFonts w:ascii="Book Antiqua" w:hAnsi="Book Antiqua"/>
          <w:sz w:val="22"/>
        </w:rPr>
        <w:t xml:space="preserve">j republiky č. 428/2012 Z. z., </w:t>
      </w:r>
      <w:r w:rsidRPr="00D72577" w:rsidR="001314A5">
        <w:rPr>
          <w:rFonts w:ascii="Book Antiqua" w:hAnsi="Book Antiqua"/>
          <w:sz w:val="22"/>
        </w:rPr>
        <w:t>zákona č. 204/2013 Z. z.</w:t>
      </w:r>
      <w:r w:rsidRPr="00D72577" w:rsidR="00D72577">
        <w:rPr>
          <w:rFonts w:ascii="Book Antiqua" w:hAnsi="Book Antiqua"/>
          <w:sz w:val="22"/>
        </w:rPr>
        <w:t xml:space="preserve"> a zákona č. 1/2014 Z. z.</w:t>
      </w:r>
      <w:r w:rsidRPr="00D72577" w:rsidR="000E3712">
        <w:rPr>
          <w:rFonts w:ascii="Book Antiqua" w:hAnsi="Book Antiqua"/>
          <w:noProof/>
          <w:sz w:val="22"/>
          <w:szCs w:val="22"/>
        </w:rPr>
        <w:t xml:space="preserve"> </w:t>
      </w:r>
      <w:r w:rsidRPr="00D72577" w:rsidR="008465C9">
        <w:rPr>
          <w:rFonts w:ascii="Book Antiqua" w:hAnsi="Book Antiqua"/>
          <w:noProof/>
          <w:sz w:val="22"/>
          <w:szCs w:val="22"/>
        </w:rPr>
        <w:t>sa dopĺňa takto:</w:t>
      </w:r>
    </w:p>
    <w:p w:rsidR="00D72577" w:rsidRPr="00D7257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</w:p>
    <w:p w:rsidR="0067299A" w:rsidP="0067299A">
      <w:pPr>
        <w:bidi w:val="0"/>
        <w:spacing w:before="120" w:line="276" w:lineRule="auto"/>
        <w:ind w:firstLine="708"/>
        <w:jc w:val="both"/>
        <w:rPr>
          <w:rFonts w:ascii="Book Antiqua" w:hAnsi="Book Antiqua"/>
          <w:noProof/>
          <w:sz w:val="22"/>
          <w:szCs w:val="22"/>
        </w:rPr>
      </w:pPr>
      <w:r w:rsidR="00456E77">
        <w:rPr>
          <w:rFonts w:ascii="Book Antiqua" w:hAnsi="Book Antiqua"/>
          <w:noProof/>
          <w:sz w:val="22"/>
          <w:szCs w:val="22"/>
        </w:rPr>
        <w:t>§ 337 sa dopĺňa odsekom 4, ktorý znie:</w:t>
      </w:r>
    </w:p>
    <w:p w:rsidR="004E5672" w:rsidRPr="006B7988" w:rsidP="00140F5C">
      <w:pPr>
        <w:bidi w:val="0"/>
        <w:spacing w:before="120" w:line="276" w:lineRule="auto"/>
        <w:ind w:left="709"/>
        <w:jc w:val="both"/>
        <w:rPr>
          <w:rFonts w:ascii="Book Antiqua" w:hAnsi="Book Antiqua"/>
          <w:sz w:val="22"/>
          <w:szCs w:val="22"/>
        </w:rPr>
      </w:pPr>
      <w:r w:rsidR="00456E77">
        <w:rPr>
          <w:rFonts w:ascii="Book Antiqua" w:hAnsi="Book Antiqua"/>
          <w:noProof/>
          <w:sz w:val="22"/>
          <w:szCs w:val="22"/>
        </w:rPr>
        <w:t>„(4)</w:t>
      </w:r>
      <w:r w:rsidRPr="00D72577" w:rsidR="00D72577">
        <w:rPr>
          <w:rFonts w:ascii="Book Antiqua" w:hAnsi="Book Antiqua"/>
          <w:noProof/>
          <w:sz w:val="22"/>
          <w:szCs w:val="22"/>
        </w:rPr>
        <w:t xml:space="preserve"> </w:t>
      </w:r>
      <w:r w:rsidR="00EC5F78">
        <w:rPr>
          <w:rFonts w:ascii="Book Antiqua" w:hAnsi="Book Antiqua"/>
          <w:noProof/>
          <w:sz w:val="22"/>
          <w:szCs w:val="22"/>
        </w:rPr>
        <w:t xml:space="preserve"> </w:t>
      </w:r>
      <w:r w:rsidRPr="00140F5C" w:rsidR="00456E77">
        <w:rPr>
          <w:rFonts w:ascii="Book Antiqua" w:hAnsi="Book Antiqua"/>
          <w:sz w:val="22"/>
          <w:szCs w:val="22"/>
        </w:rPr>
        <w:t>Ustanovenia odsekov 1 až 3 sa</w:t>
      </w:r>
      <w:r w:rsidRPr="00140F5C" w:rsidR="00EC5F78">
        <w:rPr>
          <w:rFonts w:ascii="Book Antiqua" w:hAnsi="Book Antiqua"/>
          <w:sz w:val="22"/>
          <w:szCs w:val="22"/>
        </w:rPr>
        <w:t xml:space="preserve"> </w:t>
      </w:r>
      <w:r w:rsidRPr="00140F5C" w:rsidR="0067299A">
        <w:rPr>
          <w:rFonts w:ascii="Book Antiqua" w:hAnsi="Book Antiqua"/>
          <w:sz w:val="22"/>
          <w:szCs w:val="22"/>
        </w:rPr>
        <w:t>nevzťahujú</w:t>
      </w:r>
      <w:r w:rsidRPr="00140F5C" w:rsidR="00932AA4">
        <w:rPr>
          <w:rFonts w:ascii="Book Antiqua" w:hAnsi="Book Antiqua"/>
          <w:sz w:val="22"/>
          <w:szCs w:val="22"/>
        </w:rPr>
        <w:t xml:space="preserve"> na </w:t>
      </w:r>
      <w:r w:rsidRPr="00140F5C" w:rsidR="006B7988">
        <w:rPr>
          <w:rFonts w:ascii="Book Antiqua" w:hAnsi="Book Antiqua"/>
          <w:sz w:val="22"/>
          <w:szCs w:val="22"/>
        </w:rPr>
        <w:t>toho</w:t>
      </w:r>
      <w:r w:rsidR="00140F5C">
        <w:rPr>
          <w:rFonts w:ascii="Book Antiqua" w:hAnsi="Book Antiqua"/>
          <w:sz w:val="22"/>
          <w:szCs w:val="22"/>
        </w:rPr>
        <w:t>, kto sa takého konania dopustí</w:t>
      </w:r>
      <w:r w:rsidRPr="00140F5C" w:rsidR="006B7988">
        <w:rPr>
          <w:rFonts w:ascii="Book Antiqua" w:hAnsi="Book Antiqua"/>
          <w:sz w:val="22"/>
          <w:szCs w:val="22"/>
        </w:rPr>
        <w:t xml:space="preserve"> za účelom prekazenia pripravovaného alebo páchaného trestného činu alebo oznámenia spácha</w:t>
      </w:r>
      <w:r w:rsidR="00A86D41">
        <w:rPr>
          <w:rFonts w:ascii="Book Antiqua" w:hAnsi="Book Antiqua"/>
          <w:sz w:val="22"/>
          <w:szCs w:val="22"/>
        </w:rPr>
        <w:t>ného trestného činu, ako ani na toho, kto sa takého</w:t>
      </w:r>
      <w:r w:rsidR="00140F5C">
        <w:rPr>
          <w:rFonts w:ascii="Book Antiqua" w:hAnsi="Book Antiqua"/>
          <w:sz w:val="22"/>
          <w:szCs w:val="22"/>
        </w:rPr>
        <w:t xml:space="preserve"> konania dopustí voči verejnému činiteľovi, ak sa takýto záznam alebo jeho časť týka </w:t>
      </w:r>
      <w:r w:rsidRPr="00140F5C" w:rsidR="00932AA4">
        <w:rPr>
          <w:rFonts w:ascii="Book Antiqua" w:hAnsi="Book Antiqua"/>
          <w:sz w:val="22"/>
          <w:szCs w:val="22"/>
        </w:rPr>
        <w:t>ohrozovania</w:t>
      </w:r>
      <w:r w:rsidRPr="00140F5C" w:rsidR="0067299A">
        <w:rPr>
          <w:rFonts w:ascii="Book Antiqua" w:hAnsi="Book Antiqua"/>
          <w:sz w:val="22"/>
          <w:szCs w:val="22"/>
        </w:rPr>
        <w:t xml:space="preserve"> alebo poškodzovania</w:t>
      </w:r>
      <w:r w:rsidRPr="00140F5C" w:rsidR="00932AA4">
        <w:rPr>
          <w:rFonts w:ascii="Book Antiqua" w:hAnsi="Book Antiqua"/>
          <w:sz w:val="22"/>
          <w:szCs w:val="22"/>
        </w:rPr>
        <w:t xml:space="preserve"> verejného záujmu</w:t>
      </w:r>
      <w:r w:rsidR="00A86D41">
        <w:rPr>
          <w:rFonts w:ascii="Book Antiqua" w:hAnsi="Book Antiqua"/>
          <w:sz w:val="22"/>
          <w:szCs w:val="22"/>
        </w:rPr>
        <w:t xml:space="preserve"> zo strany verejného činiteľa</w:t>
      </w:r>
      <w:r w:rsidRPr="00140F5C" w:rsidR="009B580C">
        <w:rPr>
          <w:rFonts w:ascii="Book Antiqua" w:hAnsi="Book Antiqua"/>
          <w:sz w:val="22"/>
          <w:szCs w:val="22"/>
        </w:rPr>
        <w:t>.“.</w:t>
      </w:r>
    </w:p>
    <w:p w:rsidR="00EC5F78" w:rsidP="00AE4E23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88419C" w:rsidRPr="00D72577" w:rsidP="00AE4E23">
      <w:pPr>
        <w:pStyle w:val="BodyText"/>
        <w:bidi w:val="0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  <w:r w:rsidRPr="00D72577" w:rsidR="004E5672">
        <w:rPr>
          <w:rFonts w:ascii="Book Antiqua" w:hAnsi="Book Antiqua"/>
          <w:b/>
          <w:bCs/>
          <w:sz w:val="22"/>
          <w:szCs w:val="22"/>
        </w:rPr>
        <w:t>Čl. II</w:t>
      </w:r>
    </w:p>
    <w:p w:rsidR="00A20C84" w:rsidRPr="00057D57" w:rsidP="00057D57">
      <w:pPr>
        <w:bidi w:val="0"/>
        <w:spacing w:before="12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D72577">
        <w:rPr>
          <w:rFonts w:ascii="Book Antiqua" w:hAnsi="Book Antiqua"/>
          <w:bCs/>
          <w:sz w:val="22"/>
          <w:szCs w:val="22"/>
        </w:rPr>
        <w:t xml:space="preserve">Tento zákon nadobúda </w:t>
      </w:r>
      <w:r w:rsidR="00A86D41">
        <w:rPr>
          <w:rFonts w:ascii="Book Antiqua" w:hAnsi="Book Antiqua"/>
          <w:bCs/>
          <w:sz w:val="22"/>
          <w:szCs w:val="22"/>
        </w:rPr>
        <w:t>účinnosť 1. decembra 2014</w:t>
      </w:r>
      <w:r w:rsidRPr="00B64F57" w:rsidR="00B64F57">
        <w:rPr>
          <w:rFonts w:ascii="Book Antiqua" w:hAnsi="Book Antiqua"/>
          <w:bCs/>
          <w:sz w:val="22"/>
          <w:szCs w:val="22"/>
        </w:rPr>
        <w:t>.</w:t>
      </w:r>
    </w:p>
    <w:sectPr w:rsidSect="00E61248">
      <w:pgSz w:w="11906" w:h="16838"/>
      <w:pgMar w:top="1417" w:right="1417" w:bottom="1417" w:left="1417" w:header="709" w:footer="709" w:gutter="0"/>
      <w:lnNumType w:distance="0"/>
      <w:cols w:space="709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2A78"/>
    <w:multiLevelType w:val="hybridMultilevel"/>
    <w:tmpl w:val="C6785EF8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1">
    <w:nsid w:val="07503D34"/>
    <w:multiLevelType w:val="hybridMultilevel"/>
    <w:tmpl w:val="6846C98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">
    <w:nsid w:val="0AA05A87"/>
    <w:multiLevelType w:val="hybridMultilevel"/>
    <w:tmpl w:val="8542C8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2F6457E2"/>
    <w:multiLevelType w:val="hybridMultilevel"/>
    <w:tmpl w:val="6AE408F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0">
    <w:nsid w:val="37462753"/>
    <w:multiLevelType w:val="hybridMultilevel"/>
    <w:tmpl w:val="02E8FD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9F41CF"/>
    <w:multiLevelType w:val="hybridMultilevel"/>
    <w:tmpl w:val="DFA686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2">
    <w:nsid w:val="3D37206B"/>
    <w:multiLevelType w:val="hybridMultilevel"/>
    <w:tmpl w:val="A77820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3D3849D9"/>
    <w:multiLevelType w:val="hybridMultilevel"/>
    <w:tmpl w:val="BF546C8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14">
    <w:nsid w:val="3EE22D2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41A108DC"/>
    <w:multiLevelType w:val="hybridMultilevel"/>
    <w:tmpl w:val="FDA06FC2"/>
    <w:lvl w:ilvl="0">
      <w:start w:val="1"/>
      <w:numFmt w:val="decimal"/>
      <w:lvlText w:val="%1."/>
      <w:lvlJc w:val="left"/>
      <w:pPr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0" w:hanging="180"/>
      </w:pPr>
      <w:rPr>
        <w:rFonts w:cs="Times New Roman"/>
        <w:rtl w:val="0"/>
        <w:cs w:val="0"/>
      </w:rPr>
    </w:lvl>
  </w:abstractNum>
  <w:abstractNum w:abstractNumId="16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7">
    <w:nsid w:val="45BD35BB"/>
    <w:multiLevelType w:val="hybridMultilevel"/>
    <w:tmpl w:val="E61EB8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504705A2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0A346BB"/>
    <w:multiLevelType w:val="hybridMultilevel"/>
    <w:tmpl w:val="9D74DF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0">
    <w:nsid w:val="539A05FD"/>
    <w:multiLevelType w:val="hybridMultilevel"/>
    <w:tmpl w:val="92FA123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1">
    <w:nsid w:val="596C4492"/>
    <w:multiLevelType w:val="hybridMultilevel"/>
    <w:tmpl w:val="B17699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2">
    <w:nsid w:val="59F84BB5"/>
    <w:multiLevelType w:val="hybridMultilevel"/>
    <w:tmpl w:val="21D069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5E3C6EA3"/>
    <w:multiLevelType w:val="hybridMultilevel"/>
    <w:tmpl w:val="4F642C2C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4">
    <w:nsid w:val="61C621C8"/>
    <w:multiLevelType w:val="hybridMultilevel"/>
    <w:tmpl w:val="58C843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5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6">
    <w:nsid w:val="69DD0ECE"/>
    <w:multiLevelType w:val="hybridMultilevel"/>
    <w:tmpl w:val="37ECC2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7">
    <w:nsid w:val="6F6663CA"/>
    <w:multiLevelType w:val="hybridMultilevel"/>
    <w:tmpl w:val="1132F9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8">
    <w:nsid w:val="724221BC"/>
    <w:multiLevelType w:val="hybridMultilevel"/>
    <w:tmpl w:val="E9C0143E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9">
    <w:nsid w:val="75D5331D"/>
    <w:multiLevelType w:val="hybridMultilevel"/>
    <w:tmpl w:val="3A38F97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0">
    <w:nsid w:val="78E11CBD"/>
    <w:multiLevelType w:val="hybridMultilevel"/>
    <w:tmpl w:val="6004ED86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31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4"/>
  </w:num>
  <w:num w:numId="5">
    <w:abstractNumId w:val="5"/>
  </w:num>
  <w:num w:numId="6">
    <w:abstractNumId w:val="25"/>
  </w:num>
  <w:num w:numId="7">
    <w:abstractNumId w:val="31"/>
  </w:num>
  <w:num w:numId="8">
    <w:abstractNumId w:val="7"/>
  </w:num>
  <w:num w:numId="9">
    <w:abstractNumId w:val="3"/>
  </w:num>
  <w:num w:numId="10">
    <w:abstractNumId w:val="19"/>
  </w:num>
  <w:num w:numId="11">
    <w:abstractNumId w:val="20"/>
  </w:num>
  <w:num w:numId="12">
    <w:abstractNumId w:val="1"/>
  </w:num>
  <w:num w:numId="13">
    <w:abstractNumId w:val="12"/>
  </w:num>
  <w:num w:numId="14">
    <w:abstractNumId w:val="13"/>
  </w:num>
  <w:num w:numId="15">
    <w:abstractNumId w:val="26"/>
  </w:num>
  <w:num w:numId="16">
    <w:abstractNumId w:val="9"/>
  </w:num>
  <w:num w:numId="17">
    <w:abstractNumId w:val="11"/>
  </w:num>
  <w:num w:numId="18">
    <w:abstractNumId w:val="30"/>
  </w:num>
  <w:num w:numId="19">
    <w:abstractNumId w:val="24"/>
  </w:num>
  <w:num w:numId="20">
    <w:abstractNumId w:val="29"/>
  </w:num>
  <w:num w:numId="21">
    <w:abstractNumId w:val="23"/>
  </w:num>
  <w:num w:numId="22">
    <w:abstractNumId w:val="10"/>
  </w:num>
  <w:num w:numId="23">
    <w:abstractNumId w:val="21"/>
  </w:num>
  <w:num w:numId="24">
    <w:abstractNumId w:val="15"/>
  </w:num>
  <w:num w:numId="25">
    <w:abstractNumId w:val="22"/>
  </w:num>
  <w:num w:numId="26">
    <w:abstractNumId w:val="2"/>
  </w:num>
  <w:num w:numId="27">
    <w:abstractNumId w:val="14"/>
  </w:num>
  <w:num w:numId="28">
    <w:abstractNumId w:val="18"/>
  </w:num>
  <w:num w:numId="29">
    <w:abstractNumId w:val="27"/>
  </w:num>
  <w:num w:numId="30">
    <w:abstractNumId w:val="17"/>
  </w:num>
  <w:num w:numId="31">
    <w:abstractNumId w:val="28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A85A29"/>
    <w:rsid w:val="0003276E"/>
    <w:rsid w:val="00055036"/>
    <w:rsid w:val="00057D57"/>
    <w:rsid w:val="00070F0A"/>
    <w:rsid w:val="00071193"/>
    <w:rsid w:val="00087DE9"/>
    <w:rsid w:val="00096340"/>
    <w:rsid w:val="000A15AE"/>
    <w:rsid w:val="000A6A44"/>
    <w:rsid w:val="000B0093"/>
    <w:rsid w:val="000B687E"/>
    <w:rsid w:val="000C16FE"/>
    <w:rsid w:val="000E3712"/>
    <w:rsid w:val="000F2195"/>
    <w:rsid w:val="000F2B76"/>
    <w:rsid w:val="001236BB"/>
    <w:rsid w:val="00125E97"/>
    <w:rsid w:val="001314A5"/>
    <w:rsid w:val="00140F5C"/>
    <w:rsid w:val="0014210F"/>
    <w:rsid w:val="0016288E"/>
    <w:rsid w:val="00177289"/>
    <w:rsid w:val="001B3623"/>
    <w:rsid w:val="001E24E9"/>
    <w:rsid w:val="0022089A"/>
    <w:rsid w:val="00236286"/>
    <w:rsid w:val="0024597E"/>
    <w:rsid w:val="00276418"/>
    <w:rsid w:val="00276ADE"/>
    <w:rsid w:val="00281A0F"/>
    <w:rsid w:val="0028335A"/>
    <w:rsid w:val="00291630"/>
    <w:rsid w:val="00292899"/>
    <w:rsid w:val="002A263D"/>
    <w:rsid w:val="002B3483"/>
    <w:rsid w:val="002E2F42"/>
    <w:rsid w:val="002F3B04"/>
    <w:rsid w:val="00332138"/>
    <w:rsid w:val="00341818"/>
    <w:rsid w:val="00342BD2"/>
    <w:rsid w:val="00374C07"/>
    <w:rsid w:val="0037581D"/>
    <w:rsid w:val="00394895"/>
    <w:rsid w:val="003C6068"/>
    <w:rsid w:val="003E3BA7"/>
    <w:rsid w:val="003E5341"/>
    <w:rsid w:val="003E5C85"/>
    <w:rsid w:val="003E77D8"/>
    <w:rsid w:val="003F01D0"/>
    <w:rsid w:val="0040622B"/>
    <w:rsid w:val="004117C4"/>
    <w:rsid w:val="004131E2"/>
    <w:rsid w:val="00456E77"/>
    <w:rsid w:val="004643BD"/>
    <w:rsid w:val="00464CD4"/>
    <w:rsid w:val="004729C2"/>
    <w:rsid w:val="004A0287"/>
    <w:rsid w:val="004A235E"/>
    <w:rsid w:val="004B53F6"/>
    <w:rsid w:val="004C0465"/>
    <w:rsid w:val="004D261C"/>
    <w:rsid w:val="004E5672"/>
    <w:rsid w:val="004E7584"/>
    <w:rsid w:val="005121A4"/>
    <w:rsid w:val="00515977"/>
    <w:rsid w:val="00520A58"/>
    <w:rsid w:val="0053372D"/>
    <w:rsid w:val="00534D2B"/>
    <w:rsid w:val="00537A3D"/>
    <w:rsid w:val="00542DCE"/>
    <w:rsid w:val="0055519F"/>
    <w:rsid w:val="00562F8E"/>
    <w:rsid w:val="00586D7A"/>
    <w:rsid w:val="005A7986"/>
    <w:rsid w:val="00626F2D"/>
    <w:rsid w:val="00627A99"/>
    <w:rsid w:val="00632E4D"/>
    <w:rsid w:val="00635A1C"/>
    <w:rsid w:val="00662A0C"/>
    <w:rsid w:val="0067299A"/>
    <w:rsid w:val="00672D91"/>
    <w:rsid w:val="00681AFB"/>
    <w:rsid w:val="006B70D5"/>
    <w:rsid w:val="006B7988"/>
    <w:rsid w:val="006C60CD"/>
    <w:rsid w:val="006C6E36"/>
    <w:rsid w:val="006D1CC1"/>
    <w:rsid w:val="006D513B"/>
    <w:rsid w:val="006D736F"/>
    <w:rsid w:val="006F6B9C"/>
    <w:rsid w:val="00705C3A"/>
    <w:rsid w:val="00714078"/>
    <w:rsid w:val="00727F69"/>
    <w:rsid w:val="007360EB"/>
    <w:rsid w:val="0074166B"/>
    <w:rsid w:val="00746D81"/>
    <w:rsid w:val="00752116"/>
    <w:rsid w:val="007546A1"/>
    <w:rsid w:val="007802A2"/>
    <w:rsid w:val="00792E82"/>
    <w:rsid w:val="00793C1C"/>
    <w:rsid w:val="007B5D01"/>
    <w:rsid w:val="007B7F2E"/>
    <w:rsid w:val="007C3B68"/>
    <w:rsid w:val="007D1F9C"/>
    <w:rsid w:val="007D6758"/>
    <w:rsid w:val="007F06AB"/>
    <w:rsid w:val="00806507"/>
    <w:rsid w:val="00810C02"/>
    <w:rsid w:val="00820143"/>
    <w:rsid w:val="0082207A"/>
    <w:rsid w:val="00834B6D"/>
    <w:rsid w:val="00834E26"/>
    <w:rsid w:val="008465C9"/>
    <w:rsid w:val="00872039"/>
    <w:rsid w:val="0087227F"/>
    <w:rsid w:val="0088419C"/>
    <w:rsid w:val="008A20F8"/>
    <w:rsid w:val="008B2FBE"/>
    <w:rsid w:val="008B5170"/>
    <w:rsid w:val="008C1B4D"/>
    <w:rsid w:val="008D7D19"/>
    <w:rsid w:val="008E216C"/>
    <w:rsid w:val="008F4849"/>
    <w:rsid w:val="00910803"/>
    <w:rsid w:val="00932AA4"/>
    <w:rsid w:val="00936E5C"/>
    <w:rsid w:val="00956608"/>
    <w:rsid w:val="0095733C"/>
    <w:rsid w:val="00962115"/>
    <w:rsid w:val="009754F3"/>
    <w:rsid w:val="00983784"/>
    <w:rsid w:val="009A1957"/>
    <w:rsid w:val="009A4CFA"/>
    <w:rsid w:val="009B2778"/>
    <w:rsid w:val="009B580C"/>
    <w:rsid w:val="009C3F3F"/>
    <w:rsid w:val="009F5660"/>
    <w:rsid w:val="00A20C84"/>
    <w:rsid w:val="00A319D0"/>
    <w:rsid w:val="00A36D9D"/>
    <w:rsid w:val="00A37F54"/>
    <w:rsid w:val="00A4393A"/>
    <w:rsid w:val="00A5061A"/>
    <w:rsid w:val="00A70242"/>
    <w:rsid w:val="00A82AD2"/>
    <w:rsid w:val="00A84301"/>
    <w:rsid w:val="00A85A29"/>
    <w:rsid w:val="00A86D41"/>
    <w:rsid w:val="00A87CA4"/>
    <w:rsid w:val="00A94B1C"/>
    <w:rsid w:val="00AA6159"/>
    <w:rsid w:val="00AE328D"/>
    <w:rsid w:val="00AE4E23"/>
    <w:rsid w:val="00B31AE8"/>
    <w:rsid w:val="00B57EF0"/>
    <w:rsid w:val="00B64F57"/>
    <w:rsid w:val="00B66552"/>
    <w:rsid w:val="00B778E6"/>
    <w:rsid w:val="00B919B4"/>
    <w:rsid w:val="00BE6ACB"/>
    <w:rsid w:val="00BE7764"/>
    <w:rsid w:val="00BF0E6F"/>
    <w:rsid w:val="00C16BED"/>
    <w:rsid w:val="00C30B57"/>
    <w:rsid w:val="00C373BC"/>
    <w:rsid w:val="00C442DA"/>
    <w:rsid w:val="00C47569"/>
    <w:rsid w:val="00C707A0"/>
    <w:rsid w:val="00C710BA"/>
    <w:rsid w:val="00C847D3"/>
    <w:rsid w:val="00C93841"/>
    <w:rsid w:val="00CA3863"/>
    <w:rsid w:val="00CC5C6B"/>
    <w:rsid w:val="00CD705B"/>
    <w:rsid w:val="00CF3354"/>
    <w:rsid w:val="00CF5EC3"/>
    <w:rsid w:val="00D01F4B"/>
    <w:rsid w:val="00D10C87"/>
    <w:rsid w:val="00D17313"/>
    <w:rsid w:val="00D1766C"/>
    <w:rsid w:val="00D31F1B"/>
    <w:rsid w:val="00D46F98"/>
    <w:rsid w:val="00D60D3A"/>
    <w:rsid w:val="00D723F3"/>
    <w:rsid w:val="00D72577"/>
    <w:rsid w:val="00D82C85"/>
    <w:rsid w:val="00D93F28"/>
    <w:rsid w:val="00DC0AB7"/>
    <w:rsid w:val="00DD68C1"/>
    <w:rsid w:val="00DF1897"/>
    <w:rsid w:val="00DF229A"/>
    <w:rsid w:val="00DF496C"/>
    <w:rsid w:val="00E1397C"/>
    <w:rsid w:val="00E52752"/>
    <w:rsid w:val="00E530FE"/>
    <w:rsid w:val="00E61248"/>
    <w:rsid w:val="00E627AB"/>
    <w:rsid w:val="00E85E26"/>
    <w:rsid w:val="00EA3624"/>
    <w:rsid w:val="00EB79EF"/>
    <w:rsid w:val="00EC5F78"/>
    <w:rsid w:val="00EE083A"/>
    <w:rsid w:val="00EE4A53"/>
    <w:rsid w:val="00EF1D41"/>
    <w:rsid w:val="00F36724"/>
    <w:rsid w:val="00F97C59"/>
    <w:rsid w:val="00FC036A"/>
    <w:rsid w:val="00FE397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1248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1248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i/>
      <w:sz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1248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1248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1248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sz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1248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9"/>
    <w:locked/>
    <w:rsid w:val="00E61248"/>
    <w:rPr>
      <w:rFonts w:cs="Times New Roman"/>
      <w:b/>
      <w:i/>
      <w:sz w:val="26"/>
      <w:rtl w:val="0"/>
      <w:cs w:val="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1248"/>
    <w:rPr>
      <w:rFonts w:cs="Times New Roman"/>
      <w:b/>
      <w:rtl w:val="0"/>
      <w:cs w:val="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1248"/>
    <w:rPr>
      <w:rFonts w:cs="Times New Roman"/>
      <w:sz w:val="24"/>
      <w:rtl w:val="0"/>
      <w:cs w:val="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1248"/>
    <w:rPr>
      <w:rFonts w:cs="Times New Roman"/>
      <w:i/>
      <w:sz w:val="24"/>
      <w:rtl w:val="0"/>
      <w:cs w:val="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1248"/>
    <w:rPr>
      <w:rFonts w:cs="Times New Roman"/>
      <w:rtl w:val="0"/>
      <w:cs w:val="0"/>
    </w:rPr>
  </w:style>
  <w:style w:type="paragraph" w:customStyle="1" w:styleId="Nadpis3Podloha">
    <w:name w:val="Nadpis 3.Podúloha"/>
    <w:basedOn w:val="Normal"/>
    <w:uiPriority w:val="99"/>
    <w:rsid w:val="00E61248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1orobas">
    <w:name w:val="Nadpis 1.Čo robí (časť)"/>
    <w:basedOn w:val="Normal"/>
    <w:next w:val="Normal"/>
    <w:uiPriority w:val="99"/>
    <w:rsid w:val="00E61248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uiPriority w:val="99"/>
    <w:rsid w:val="00E61248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uiPriority w:val="99"/>
    <w:rsid w:val="00E61248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E6124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E61248"/>
    <w:rPr>
      <w:rFonts w:ascii="Times New Roman" w:hAnsi="Times New Roman" w:cs="Times New Roman"/>
      <w:sz w:val="20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rsid w:val="00E61248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61248"/>
    <w:rPr>
      <w:rFonts w:ascii="Times New Roman" w:hAnsi="Times New Roman" w:cs="Times New Roman"/>
      <w:sz w:val="20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E61248"/>
    <w:rPr>
      <w:rFonts w:cs="Times New Roman"/>
      <w:sz w:val="16"/>
      <w:rtl w:val="0"/>
      <w:cs w:val="0"/>
    </w:rPr>
  </w:style>
  <w:style w:type="character" w:customStyle="1" w:styleId="Heading1CharorobasChar">
    <w:name w:val="Heading 1 Char.Čo robí (časť) Char"/>
    <w:uiPriority w:val="99"/>
    <w:rsid w:val="00E61248"/>
    <w:rPr>
      <w:rFonts w:ascii="Times New Roman" w:hAnsi="Times New Roman" w:cs="Times New Roman"/>
      <w:b/>
      <w:kern w:val="32"/>
      <w:sz w:val="28"/>
    </w:rPr>
  </w:style>
  <w:style w:type="character" w:customStyle="1" w:styleId="BalloonTextChar">
    <w:name w:val="Balloon Text Char"/>
    <w:link w:val="BalloonText"/>
    <w:uiPriority w:val="99"/>
    <w:locked/>
    <w:rsid w:val="00E61248"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46A1"/>
    <w:pPr>
      <w:jc w:val="left"/>
    </w:pPr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546A1"/>
    <w:rPr>
      <w:b/>
    </w:rPr>
  </w:style>
  <w:style w:type="paragraph" w:styleId="BalloonText">
    <w:name w:val="Balloon Text"/>
    <w:basedOn w:val="Normal"/>
    <w:link w:val="BalloonTextChar"/>
    <w:uiPriority w:val="99"/>
    <w:rsid w:val="00E61248"/>
    <w:pPr>
      <w:jc w:val="left"/>
    </w:pPr>
    <w:rPr>
      <w:rFonts w:ascii="Tahoma" w:hAnsi="Tahoma"/>
      <w:sz w:val="16"/>
    </w:rPr>
  </w:style>
  <w:style w:type="character" w:customStyle="1" w:styleId="TextbublinyChar1">
    <w:name w:val="Text bubliny Char1"/>
    <w:basedOn w:val="DefaultParagraphFont"/>
    <w:uiPriority w:val="99"/>
    <w:semiHidden/>
    <w:rPr>
      <w:rFonts w:ascii="Tahoma" w:hAnsi="Tahoma" w:cs="Tahoma"/>
      <w:sz w:val="16"/>
      <w:szCs w:val="16"/>
      <w:rtl w:val="0"/>
      <w:cs w:val="0"/>
    </w:rPr>
  </w:style>
  <w:style w:type="paragraph" w:styleId="ListParagraph">
    <w:name w:val="List Paragraph"/>
    <w:basedOn w:val="Normal"/>
    <w:uiPriority w:val="34"/>
    <w:qFormat/>
    <w:rsid w:val="00B919B4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EE254-4791-4829-A2F9-050FD2967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212</Words>
  <Characters>1212</Characters>
  <Application>Microsoft Office Word</Application>
  <DocSecurity>0</DocSecurity>
  <Lines>0</Lines>
  <Paragraphs>0</Paragraphs>
  <ScaleCrop>false</ScaleCrop>
  <Company>Nebo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Mészáros</dc:creator>
  <cp:lastModifiedBy>Gašparíková, Jarmila</cp:lastModifiedBy>
  <cp:revision>2</cp:revision>
  <dcterms:created xsi:type="dcterms:W3CDTF">2014-08-22T17:15:00Z</dcterms:created>
  <dcterms:modified xsi:type="dcterms:W3CDTF">2014-08-22T17:15:00Z</dcterms:modified>
</cp:coreProperties>
</file>