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caps/>
          <w:spacing w:val="30"/>
          <w:sz w:val="22"/>
          <w:szCs w:val="22"/>
        </w:rPr>
        <w:t>Dôvodová správa</w:t>
      </w:r>
      <w:r w:rsidRPr="004565EA">
        <w:rPr>
          <w:rFonts w:ascii="Book Antiqua" w:hAnsi="Book Antiqua"/>
          <w:b/>
          <w:bCs/>
          <w:sz w:val="22"/>
          <w:szCs w:val="22"/>
        </w:rPr>
        <w:t> </w:t>
      </w:r>
    </w:p>
    <w:p w:rsidR="00CE15DC" w:rsidRPr="004565EA" w:rsidP="004565EA">
      <w:pPr>
        <w:pStyle w:val="Heading1"/>
        <w:bidi w:val="0"/>
        <w:spacing w:before="120" w:line="276" w:lineRule="auto"/>
        <w:jc w:val="left"/>
        <w:rPr>
          <w:rFonts w:ascii="Book Antiqua" w:hAnsi="Book Antiqua"/>
          <w:sz w:val="22"/>
          <w:szCs w:val="22"/>
        </w:rPr>
      </w:pPr>
      <w:r w:rsidRPr="004565EA">
        <w:rPr>
          <w:rFonts w:ascii="Book Antiqua" w:hAnsi="Book Antiqua"/>
          <w:sz w:val="22"/>
          <w:szCs w:val="22"/>
        </w:rPr>
        <w:t>A. Všeobecná časť</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Návrh zákona, ktorým sa mení a dopĺňa zákon Národnej rady Slovenskej republiky č. 350/1996 Z. z. o rokovacom poriadku Národnej rady Slovenskej republiky v znení neskorších predpisov (ďalej len „návrh zákona“) predkladajú poslanci Národnej rady Slovenskej republiky (ďalej len „národná rada“) Jozef Viskupič a Jozef Kollár.</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b/>
          <w:sz w:val="22"/>
          <w:szCs w:val="22"/>
        </w:rPr>
        <w:t>Cieľom návrhu zákona je odstrániť nedostatky rokovacieho poriadku národnej rady, na ktoré aj terajšieho predsedu národnej rady už v minulosti upozornil prezident Európskej centrálnej banky (ďalej len „ECB“). Tieto nedostatky spočívajú v absencii úpravy niektorých záležitostí súvisiacich s členstvom Slovenskej republiky v Európskej únii pri prijímaní návrhov zákonov predkladaných poslancami národnej rady alebo výbormi národnej rady</w:t>
      </w:r>
      <w:r w:rsidR="00057F97">
        <w:rPr>
          <w:rFonts w:ascii="Book Antiqua" w:hAnsi="Book Antiqua"/>
          <w:b/>
          <w:sz w:val="22"/>
          <w:szCs w:val="22"/>
        </w:rPr>
        <w:t>, čo potvrdila aj Európska centrálna banka vo svojom stanovisku CON/2014/54 z 10. júla 2014</w:t>
      </w:r>
      <w:r w:rsidRPr="004565EA">
        <w:rPr>
          <w:rFonts w:ascii="Book Antiqua" w:hAnsi="Book Antiqua"/>
          <w:sz w:val="22"/>
          <w:szCs w:val="22"/>
        </w:rPr>
        <w:t xml:space="preserve">. Podľa primárneho práva Európskej únie, ktoré je pre Slovenskú republiku záväzné, podliehajú niektoré návrhy zákonov tzv. povinným konzultáciám. Tieto konzultácie sa v závislosti od problematiky, ktorú daný návrh zákona rieši, uskutočňujú s príslušnou inštitúciou Európskej únie. </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b/>
          <w:sz w:val="22"/>
          <w:szCs w:val="22"/>
        </w:rPr>
        <w:t>Povinným konzultáciám s Európskou centrálnou bankou</w:t>
      </w:r>
      <w:r w:rsidRPr="004565EA">
        <w:rPr>
          <w:rFonts w:ascii="Book Antiqua" w:hAnsi="Book Antiqua"/>
          <w:sz w:val="22"/>
          <w:szCs w:val="22"/>
        </w:rPr>
        <w:t xml:space="preserve"> podľa článku 127 ods. 4 Zmluvy o fungovaní Európskej únie </w:t>
      </w:r>
      <w:r w:rsidRPr="004565EA">
        <w:rPr>
          <w:rFonts w:ascii="Book Antiqua" w:hAnsi="Book Antiqua"/>
          <w:b/>
          <w:sz w:val="22"/>
          <w:szCs w:val="22"/>
        </w:rPr>
        <w:t>podliehajú návrhy právnych predpisov členských štátov EÚ v oblastiach pôsobnosti Európskej centrálnej banky</w:t>
      </w:r>
      <w:r w:rsidRPr="004565EA">
        <w:rPr>
          <w:rFonts w:ascii="Book Antiqua" w:hAnsi="Book Antiqua"/>
          <w:sz w:val="22"/>
          <w:szCs w:val="22"/>
        </w:rPr>
        <w:t>, teda predovšetkým v oblasti meny, platobných prostriedkov, národných centrálnych bánk, vybraných druhov štatistiky, v oblasti platobného styku vrátane platobných a zúčtovacích systémov a v oblasti platných pravidiel pre banky a iné finančné inštitúcie, pokiaľ podstatne ovplyvňujú stabilitu finančných inštitúcií a trhov.</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b/>
          <w:sz w:val="22"/>
          <w:szCs w:val="22"/>
          <w:lang w:val="sk-SK" w:eastAsia="x-none"/>
        </w:rPr>
        <w:t xml:space="preserve">Povinným konzultáciám s Európskou komisiou podliehajú návrhy zákonov, ktoré sú aj technickými predpismi </w:t>
      </w:r>
      <w:r w:rsidRPr="004565EA">
        <w:rPr>
          <w:rFonts w:ascii="Book Antiqua" w:hAnsi="Book Antiqua"/>
          <w:sz w:val="22"/>
          <w:szCs w:val="22"/>
          <w:lang w:val="sk-SK" w:eastAsia="x-none"/>
        </w:rPr>
        <w:t xml:space="preserve">podľa zákona č. 264/1999 Z. z. o technických požiadavkách na výrobky a o posudzovaní zhody a o zmene a doplnení niektorých zákonov v znení neskorších predpisov, a to v zmysle čl. 7 až 10 smernice Európskeho parlamentu a Rady 98/34/ES z 22. júna 1998 o postupe pri poskytovaní informácií v oblasti technických noriem a predpisov a pravidiel vzťahujúcich sa na služby informačnej spoločnosti (Mimoriadne vydanie Ú. v. EÚ, kap. 13/zv. 23; </w:t>
      </w:r>
      <w:r w:rsidRPr="004565EA">
        <w:rPr>
          <w:rFonts w:ascii="Book Antiqua" w:hAnsi="Book Antiqua" w:cs="Lucida Sans Unicode"/>
          <w:sz w:val="22"/>
          <w:szCs w:val="22"/>
          <w:lang w:val="sk-SK" w:eastAsia="x-none"/>
        </w:rPr>
        <w:t>Ú. v. ES L 204, 21. 7. 1998</w:t>
      </w:r>
      <w:r w:rsidRPr="004565EA">
        <w:rPr>
          <w:rFonts w:ascii="Book Antiqua" w:hAnsi="Book Antiqua"/>
          <w:sz w:val="22"/>
          <w:szCs w:val="22"/>
          <w:lang w:val="sk-SK" w:eastAsia="x-none"/>
        </w:rPr>
        <w:t>) v platnom znení, transponovanej do nariadenia vlády Slovenskej republiky č. 453/2002 Z. z. o postupoch pri poskytovaní informácií v oblasti technických predpisov a technických noriem.</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sz w:val="22"/>
          <w:szCs w:val="22"/>
        </w:rPr>
        <w:t>Aby nedošlo k prijatiu vnútroštátnych právnych predpisov, ktoré by boli nezlučiteľné alebo nezosúladené s cieľmi a právnymi predpismi Európskej únie a jej inštitúcií, povinné konzultácie sa musia uskutočniť v takom štádiu legislatívneho procesu, aby bolo možné ich stanovisko zohľadniť. Za týmto účelom sa v predloženom návrhu zákona:</w:t>
      </w:r>
    </w:p>
    <w:p w:rsidR="00CE15DC" w:rsidRPr="004565EA" w:rsidP="004565EA">
      <w:pPr>
        <w:numPr>
          <w:numId w:val="32"/>
        </w:numPr>
        <w:bidi w:val="0"/>
        <w:spacing w:before="120" w:line="276" w:lineRule="auto"/>
        <w:ind w:left="1066" w:hanging="357"/>
        <w:jc w:val="both"/>
        <w:rPr>
          <w:rFonts w:ascii="Book Antiqua" w:hAnsi="Book Antiqua"/>
          <w:sz w:val="22"/>
          <w:szCs w:val="22"/>
        </w:rPr>
      </w:pPr>
      <w:r w:rsidRPr="004565EA">
        <w:rPr>
          <w:rFonts w:ascii="Book Antiqua" w:hAnsi="Book Antiqua"/>
          <w:sz w:val="22"/>
          <w:szCs w:val="22"/>
        </w:rPr>
        <w:t xml:space="preserve">umožňuje </w:t>
      </w:r>
      <w:r w:rsidRPr="004565EA">
        <w:rPr>
          <w:rFonts w:ascii="Book Antiqua" w:hAnsi="Book Antiqua"/>
          <w:b/>
          <w:sz w:val="22"/>
          <w:szCs w:val="22"/>
        </w:rPr>
        <w:t>konzultačný postup</w:t>
      </w:r>
      <w:r w:rsidRPr="004565EA">
        <w:rPr>
          <w:rFonts w:ascii="Book Antiqua" w:hAnsi="Book Antiqua"/>
          <w:sz w:val="22"/>
          <w:szCs w:val="22"/>
        </w:rPr>
        <w:t xml:space="preserve"> o takých návrhov zákonov, ktoré podľa práva Európskej únie podliehajú povinnej konzultácii s inštitúciami Európskej únie, vrátane podaných pozmeňujúcich a doplňujúcich návrhov (v primeranej miere),</w:t>
      </w:r>
    </w:p>
    <w:p w:rsidR="00CE15DC" w:rsidRPr="004565EA" w:rsidP="004565EA">
      <w:pPr>
        <w:numPr>
          <w:numId w:val="32"/>
        </w:numPr>
        <w:bidi w:val="0"/>
        <w:spacing w:before="120" w:line="276" w:lineRule="auto"/>
        <w:ind w:left="1066" w:hanging="357"/>
        <w:jc w:val="both"/>
        <w:rPr>
          <w:rFonts w:ascii="Book Antiqua" w:hAnsi="Book Antiqua"/>
          <w:sz w:val="22"/>
          <w:szCs w:val="22"/>
        </w:rPr>
      </w:pPr>
      <w:r w:rsidRPr="004565EA">
        <w:rPr>
          <w:rFonts w:ascii="Book Antiqua" w:hAnsi="Book Antiqua"/>
          <w:sz w:val="22"/>
          <w:szCs w:val="22"/>
        </w:rPr>
        <w:t xml:space="preserve">zabezpečuje, aby národná rada, resp. poslanci a výbory národnej rady dostali </w:t>
      </w:r>
      <w:r w:rsidRPr="004565EA">
        <w:rPr>
          <w:rFonts w:ascii="Book Antiqua" w:hAnsi="Book Antiqua"/>
          <w:b/>
          <w:sz w:val="22"/>
          <w:szCs w:val="22"/>
        </w:rPr>
        <w:t>stanovisko príslušnej inštitúcie Európskej únie</w:t>
      </w:r>
      <w:r w:rsidRPr="004565EA">
        <w:rPr>
          <w:rFonts w:ascii="Book Antiqua" w:hAnsi="Book Antiqua"/>
          <w:sz w:val="22"/>
          <w:szCs w:val="22"/>
        </w:rPr>
        <w:t xml:space="preserve"> k nimi predkladaný</w:t>
      </w:r>
      <w:r w:rsidR="00021103">
        <w:rPr>
          <w:rFonts w:ascii="Book Antiqua" w:hAnsi="Book Antiqua"/>
          <w:sz w:val="22"/>
          <w:szCs w:val="22"/>
        </w:rPr>
        <w:t>m návrhom zákonov.</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sz w:val="22"/>
          <w:szCs w:val="22"/>
        </w:rPr>
        <w:t>Predkladaný návrh zákona nezakladá žiadne vplyvy na rozpočet verejnej správy a na podnikateľské prostredie, nevyvoláva sociálne vplyvy, nemá vplyv na životné prostredie ani na informatizáciu spoločnosti.</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br w:type="page"/>
        <w:t>B. Osobitná časť</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r w:rsidRPr="004565EA">
        <w:rPr>
          <w:rFonts w:ascii="Book Antiqua" w:hAnsi="Book Antiqua"/>
          <w:b/>
          <w:bCs/>
          <w:sz w:val="22"/>
          <w:szCs w:val="22"/>
        </w:rPr>
        <w:t>K </w:t>
      </w:r>
      <w:r w:rsidRPr="004565EA" w:rsidR="00191A60">
        <w:rPr>
          <w:rFonts w:ascii="Book Antiqua" w:hAnsi="Book Antiqua"/>
          <w:b/>
          <w:bCs/>
          <w:sz w:val="22"/>
          <w:szCs w:val="22"/>
        </w:rPr>
        <w:t>Č</w:t>
      </w:r>
      <w:r w:rsidRPr="004565EA">
        <w:rPr>
          <w:rFonts w:ascii="Book Antiqua" w:hAnsi="Book Antiqua"/>
          <w:b/>
          <w:bCs/>
          <w:sz w:val="22"/>
          <w:szCs w:val="22"/>
        </w:rPr>
        <w:t xml:space="preserve">l. I </w:t>
      </w:r>
    </w:p>
    <w:p w:rsidR="00CE15DC" w:rsidRPr="004565EA" w:rsidP="004565EA">
      <w:pPr>
        <w:pStyle w:val="NormalWeb"/>
        <w:bidi w:val="0"/>
        <w:spacing w:before="120" w:beforeAutospacing="0" w:after="0" w:afterAutospacing="0" w:line="276" w:lineRule="auto"/>
        <w:jc w:val="both"/>
        <w:rPr>
          <w:rFonts w:ascii="Book Antiqua" w:hAnsi="Book Antiqua"/>
          <w:bCs/>
          <w:sz w:val="22"/>
          <w:szCs w:val="22"/>
          <w:u w:val="single"/>
        </w:rPr>
      </w:pPr>
      <w:r w:rsidRPr="004565EA">
        <w:rPr>
          <w:rFonts w:ascii="Book Antiqua" w:hAnsi="Book Antiqua"/>
          <w:bCs/>
          <w:sz w:val="22"/>
          <w:szCs w:val="22"/>
          <w:u w:val="single"/>
        </w:rPr>
        <w:t>K bodu 1</w:t>
      </w:r>
    </w:p>
    <w:p w:rsidR="00CE15DC" w:rsidRPr="004565EA" w:rsidP="004565EA">
      <w:pPr>
        <w:pStyle w:val="NormalWeb"/>
        <w:bidi w:val="0"/>
        <w:spacing w:before="120" w:beforeAutospacing="0" w:after="0" w:afterAutospacing="0" w:line="276" w:lineRule="auto"/>
        <w:ind w:firstLine="709"/>
        <w:jc w:val="both"/>
        <w:rPr>
          <w:rFonts w:ascii="Book Antiqua" w:hAnsi="Book Antiqua"/>
          <w:bCs/>
          <w:sz w:val="22"/>
          <w:szCs w:val="22"/>
        </w:rPr>
      </w:pPr>
      <w:r w:rsidRPr="004565EA">
        <w:rPr>
          <w:rFonts w:ascii="Book Antiqua" w:hAnsi="Book Antiqua"/>
          <w:b/>
          <w:bCs/>
          <w:sz w:val="22"/>
          <w:szCs w:val="22"/>
        </w:rPr>
        <w:t>Tento bod bezprostredne súvisí s </w:t>
      </w:r>
      <w:r w:rsidRPr="004565EA" w:rsidR="00191A60">
        <w:rPr>
          <w:rFonts w:ascii="Book Antiqua" w:hAnsi="Book Antiqua"/>
          <w:b/>
          <w:bCs/>
          <w:sz w:val="22"/>
          <w:szCs w:val="22"/>
        </w:rPr>
        <w:t>Č</w:t>
      </w:r>
      <w:r w:rsidRPr="004565EA">
        <w:rPr>
          <w:rFonts w:ascii="Book Antiqua" w:hAnsi="Book Antiqua"/>
          <w:b/>
          <w:bCs/>
          <w:sz w:val="22"/>
          <w:szCs w:val="22"/>
        </w:rPr>
        <w:t>l. I bodom 2 tohto návrhu zákona. Nedá sa totiž vylúčiť situácia, keď samotný legislatívny návrh predložený na rokovanie národnej rady síce nebude technickým predpisom, resp. nebude podliehať napr. konzultačnej povinnosti s ECB, podaním pozmeňujúceho a doplňujúceho návrhu zo strany poslanca národnej rady, ktorý môže byť schválený, sa však z legislatívneho návrhu stane technický predpis alebo návrh, ktorý podľa platných pravidiel Európskej únie podlieha povinnej konzultácii s Európskou komisiou alebo ECB</w:t>
      </w:r>
      <w:r w:rsidRPr="004565EA">
        <w:rPr>
          <w:rFonts w:ascii="Book Antiqua" w:hAnsi="Book Antiqua"/>
          <w:bCs/>
          <w:sz w:val="22"/>
          <w:szCs w:val="22"/>
        </w:rPr>
        <w:t>.</w:t>
      </w:r>
    </w:p>
    <w:p w:rsidR="00CE15DC" w:rsidRPr="004565EA" w:rsidP="004565EA">
      <w:pPr>
        <w:pStyle w:val="NormalWeb"/>
        <w:bidi w:val="0"/>
        <w:spacing w:before="120" w:beforeAutospacing="0" w:after="0" w:afterAutospacing="0" w:line="276" w:lineRule="auto"/>
        <w:ind w:firstLine="709"/>
        <w:jc w:val="both"/>
        <w:rPr>
          <w:rFonts w:ascii="Book Antiqua" w:hAnsi="Book Antiqua"/>
          <w:bCs/>
          <w:sz w:val="22"/>
          <w:szCs w:val="22"/>
        </w:rPr>
      </w:pPr>
      <w:r w:rsidRPr="004565EA">
        <w:rPr>
          <w:rFonts w:ascii="Book Antiqua" w:hAnsi="Book Antiqua"/>
          <w:bCs/>
          <w:sz w:val="22"/>
          <w:szCs w:val="22"/>
        </w:rPr>
        <w:t xml:space="preserve">Takáto situácia nastala napr. v roku 2009 v súvislosti s prijatím eura na Slovensku, keď k vládnemu návrhu zákona o niektorých opatreniach pri majetkovoprávnom usporiadaní pozemkov pod stavbami, ktoré prešli z vlastníctva štátu na obce a vyššie územné celky a o zmene a doplnení niektorých zákonov – </w:t>
      </w:r>
      <w:r w:rsidRPr="004565EA">
        <w:rPr>
          <w:rFonts w:ascii="Book Antiqua" w:hAnsi="Book Antiqua"/>
          <w:bCs/>
          <w:i/>
          <w:iCs/>
          <w:sz w:val="22"/>
          <w:szCs w:val="22"/>
        </w:rPr>
        <w:t>ktorý sám osebe nepodliehal povinnej konzultácii (návrh zákona bol po jeho schválení zverejnený v Zbierke zákonov SR ako zákon č. 66/2009 Z. z.)</w:t>
      </w:r>
      <w:r w:rsidRPr="004565EA">
        <w:rPr>
          <w:rFonts w:ascii="Book Antiqua" w:hAnsi="Book Antiqua"/>
          <w:bCs/>
          <w:sz w:val="22"/>
          <w:szCs w:val="22"/>
        </w:rPr>
        <w:t xml:space="preserve"> – bol v národnej rade podaný úplne nesúvisiaci doplňujúci návrh poslanca národnej rady v podobe čl. IV, ktorým sa dopĺňal zákon č. 483/2001 Z. z. o bankách v znení neskorších predpisov.</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 xml:space="preserve">Keďže sa takýto návrh poslanca národnej rady týkal záležitostí meny, jednoznačne podliehal povinnej konzultácii s ECB, avšak na konzultáciu predložený nebol, najmä z časových dôvodov. Je zrejmé, že časové alebo iné naliehavé dôvody verejného záujmu budú neraz zákonodarcovi brániť, aby prerušil legislatívny proces, kým ECB alebo Európska komisia vydá svoje stanovisko, a preto sa v návrhu zákona ustanovuje povinnosť uskutočniť povinné konzultácie v takýchto prípadoch primeraným spôsobom (napríklad aj s prípadným predložením žiadosti relevantnej inštitúcii EÚ na prednostné posúdenie konzultovaného návrhu v skrátenej lehote). Tento primeraný spôsob zahŕňa nielen primerané použitie § 68 nového odseku 6 zákona Národnej rady Slovenskej republiky č. 350/1996 Z. z. o rokovacom poriadku Národnej rady Slovenskej republiky v znení neskorších predpisov, ale tiež zváženie možnosti navrhnúť prerušenie rokovania o príslušnom bode programu až do vydania stanoviska relevantnej inštitúcie Európskej únie, a to tak zo strany navrhovateľa, ako aj poslanca národnej rady, v závislosti od danej situácie. </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Môžu totiž nastať prípady, že na vypracovanie pozmeňujúceho alebo doplňujúceho návrhu má poslanec národnej rady dostatok času (napr. pri vládnom návrhu nového volebného zákona, ktorý sa presúval z jednej schôdze národnej rady v roku 2013 na ďalšie schôdze niekoľko mesiacov počas rokov 2013 a 2014) a vtedy mu nič nebráni splniť si svoju povinnosť vyplývajúcu mu z práva Európskej únie vo vzťahu k Európskej komisii alebo ECB. Nie je pritom rozhodujúce, či pozmeňujúci alebo doplňujúci návrh už bol schválený alebo len bude schválený, resp. nebude.</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Ak národná rada rozhodne, že prerokúvanie príslušného bodu programu schôdze nepreruší a návrh zákona bude bez uskutočnenia povinnej konzultácie schválený, z hľadiska zabezpečenia právnej istoty s cieľom vyhnúť sa porušeniu podstatnej procesnej požiadavky pri prijímaní návrhu zákona, možno už schválený zákon dodatočne zaslať na konzultáciu príslušnej inštitúcii Európskej únie. V takom prípade Slovenská republika predíde začatiu konania podľa článku 258 Zmluvy o fungovaní EÚ pre neplnenie si svojich záväzkov vyplývajúcich jej z práva Európskej únie.</w:t>
      </w:r>
    </w:p>
    <w:p w:rsidR="00CE15DC" w:rsidRPr="004565EA" w:rsidP="004565EA">
      <w:pPr>
        <w:pStyle w:val="NormalWeb"/>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u w:val="single"/>
        </w:rPr>
        <w:t>K bodu 2</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 xml:space="preserve">V predkladanom návrhu zákona sa jednoznačne ustanovuje, aby </w:t>
      </w:r>
      <w:r w:rsidRPr="004565EA">
        <w:rPr>
          <w:rFonts w:ascii="Book Antiqua" w:hAnsi="Book Antiqua"/>
          <w:b/>
          <w:sz w:val="22"/>
          <w:szCs w:val="22"/>
        </w:rPr>
        <w:t>povinnou náležitosťou návrhov zákonov, ktoré podľa práva Európskej únie podliehajú povinnej konzultácii, boli aj stanoviská príslušných inštitúcii Európskej únie</w:t>
      </w:r>
      <w:r w:rsidRPr="004565EA">
        <w:rPr>
          <w:rFonts w:ascii="Book Antiqua" w:hAnsi="Book Antiqua"/>
          <w:sz w:val="22"/>
          <w:szCs w:val="22"/>
        </w:rPr>
        <w:t>. V súčasnosti podlieha povinnej konzultácii prijímanie návrhov zákonov, ktoré patria do pôsobnosti ECB a návrhov zákonov, ktoré sú aj technickými predpismi. Pritom túto náležitosť návrhu zákona (</w:t>
      </w:r>
      <w:r w:rsidRPr="004565EA">
        <w:rPr>
          <w:rFonts w:ascii="Book Antiqua" w:hAnsi="Book Antiqua"/>
          <w:bCs/>
          <w:i/>
          <w:iCs/>
          <w:sz w:val="22"/>
          <w:szCs w:val="22"/>
        </w:rPr>
        <w:t>stanovisko príslušnej inštitúcie Európskej únie - ECB alebo Európskej komisie</w:t>
      </w:r>
      <w:r w:rsidRPr="004565EA">
        <w:rPr>
          <w:rFonts w:ascii="Book Antiqua" w:hAnsi="Book Antiqua"/>
          <w:sz w:val="22"/>
          <w:szCs w:val="22"/>
        </w:rPr>
        <w:t xml:space="preserve">) </w:t>
      </w:r>
      <w:r w:rsidRPr="004565EA">
        <w:rPr>
          <w:rFonts w:ascii="Book Antiqua" w:hAnsi="Book Antiqua"/>
          <w:bCs/>
          <w:sz w:val="22"/>
          <w:szCs w:val="22"/>
        </w:rPr>
        <w:t xml:space="preserve">sa navrhuje novým odsekom 6 zakomponovať do § 68 zákona o rokovacom poriadku Národnej rady Slovenskej republiky (zákona NR SR č. 350/1996 Z. z. v znení neskorších predpisov) preto, lebo práve § 68 </w:t>
      </w:r>
      <w:r w:rsidRPr="004565EA">
        <w:rPr>
          <w:rFonts w:ascii="Book Antiqua" w:hAnsi="Book Antiqua"/>
          <w:sz w:val="22"/>
          <w:szCs w:val="22"/>
        </w:rPr>
        <w:t>vymedzuje náležitosti návrhov zákonov.</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 xml:space="preserve">Z ustanovenia článku 127 ods. 4 Zmluvy o fungovaní Európskej únie vyplýva </w:t>
      </w:r>
      <w:r w:rsidRPr="004565EA">
        <w:rPr>
          <w:rFonts w:ascii="Book Antiqua" w:hAnsi="Book Antiqua"/>
          <w:b/>
          <w:sz w:val="22"/>
          <w:szCs w:val="22"/>
        </w:rPr>
        <w:t>povinnosť konzultovať s ECB</w:t>
      </w:r>
      <w:r w:rsidRPr="004565EA">
        <w:rPr>
          <w:rFonts w:ascii="Book Antiqua" w:hAnsi="Book Antiqua"/>
          <w:sz w:val="22"/>
          <w:szCs w:val="22"/>
        </w:rPr>
        <w:t xml:space="preserve"> všetky návrhy právnych predpisov Európskej únie v oblastiach, ktoré patria do jej pôsobnosti a tiež v prípade, keď vnútroštátne orgány prijímajú právny predpis v oblasti pôsobnosti ECB, ale len v medziach a za podmienok stanovených Radou v súlade s postupom podľa článku 129 ods. 4 Zmluvy o fungovaní Európskej únie. Súčasne je zrejmé, že nesplnenie povinnosti konzultácie vnútroštátneho orgánu členského štátu Európskej únie s ECB môže mať za následok konanie o porušení zmluvy pred Súdnym dvorom EÚ podľa článku 258 Zmluvy o fungovaní EÚ. Na takéto dôsledky porušenia povinnosti konzultovať návrhy zákonov s ECB bol v roku 2009 upozornený aj terajší predseda národnej rady listom prezidenta ECB z dôvodu prijatia zákona č. 66/2009 Z. z., podrobnejšie opísaného v čl. I bode 1 tohto návrhu zákona bez konzultácie s ECB.</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To, že ECB má poradnú funkciu pri návrhoch právnych aktov vyplýva aj z rozhodnutia Rady 98/415/ES z 29. júna 1998 o poradení sa vnútroštátnych orgánov s Európskou centrálnou bankou ohľadom návrhov právnych predpisov (ďalej len „rozhodnutie“) a v neposlednom rade aj z článku 4 Protokolu o štatúte Európskeho systému centrálnych bánk a Európskej centrálnej banky, ktorý je pripojený k Zmluve o fungovaní Európskej únie.</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 xml:space="preserve">Podľa článku 2 rozhodnutia sa má členský štát poradiť s ECB o akomkoľvek návrhu zákona v rámci jej oblasti právomoci na základe zmluvy, najmä v záležitostiach meny, platobných prostriedkov, národných centrálnych bánk, vybraných druhov štatistiky, v oblasti platobného styku vrátane platobných a zúčtovacích systémov a v oblasti platných pravidiel pre banky a iné finančné inštitúcie, pokiaľ podstatne ovplyvňujú stabilitu finančných inštitúcií a trhov. Priamo z článku 4 rozhodnutia vyplýva, že každý členský štát má podniknúť opatrenia, aby zabezpečil účinné dodržanie tohto rozhodnutia. Rozhodnutie sa vzťahuje na prijímanie právnych predpisov, pričom pod týmto pojmom sa rozumejú akékoľvek predpisy, ktoré keď sa stanú právne záväzné a všeobecne platné na území členského štátu, stanovia pravidlá pre neurčitý počet prípadov a pre neurčitý počet fyzických alebo právnických osôb. </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b/>
          <w:sz w:val="22"/>
          <w:szCs w:val="22"/>
        </w:rPr>
        <w:t>V právnom poriadku Slovenskej republiky nebol doteraz vytvorený</w:t>
      </w:r>
      <w:r w:rsidRPr="004565EA">
        <w:rPr>
          <w:rFonts w:ascii="Book Antiqua" w:hAnsi="Book Antiqua"/>
          <w:b/>
          <w:sz w:val="22"/>
          <w:szCs w:val="22"/>
          <w:lang w:val="sk-SK" w:eastAsia="x-none"/>
        </w:rPr>
        <w:t xml:space="preserve"> jednotný</w:t>
      </w:r>
      <w:r w:rsidRPr="004565EA">
        <w:rPr>
          <w:rFonts w:ascii="Book Antiqua" w:hAnsi="Book Antiqua"/>
          <w:b/>
          <w:sz w:val="22"/>
          <w:szCs w:val="22"/>
        </w:rPr>
        <w:t xml:space="preserve"> mechanizmus, ako by sa malo postupovať pri prijímaní návrhov právnych predpisov</w:t>
      </w:r>
      <w:r w:rsidRPr="004565EA">
        <w:rPr>
          <w:rFonts w:ascii="Book Antiqua" w:hAnsi="Book Antiqua"/>
          <w:b/>
          <w:sz w:val="22"/>
          <w:szCs w:val="22"/>
          <w:lang w:val="sk-SK" w:eastAsia="x-none"/>
        </w:rPr>
        <w:t>, ktoré predkladajú poslanci národnej rady alebo výbory národnej rady a ktoré podliehajú povinnej konzultácii s príslušnou inštitúciou EÚ</w:t>
      </w:r>
      <w:r w:rsidRPr="004565EA">
        <w:rPr>
          <w:rFonts w:ascii="Book Antiqua" w:hAnsi="Book Antiqua"/>
          <w:b/>
          <w:sz w:val="22"/>
          <w:szCs w:val="22"/>
        </w:rPr>
        <w:t xml:space="preserve">. </w:t>
      </w:r>
      <w:r w:rsidRPr="004565EA">
        <w:rPr>
          <w:rFonts w:ascii="Book Antiqua" w:hAnsi="Book Antiqua"/>
          <w:sz w:val="22"/>
          <w:szCs w:val="22"/>
        </w:rPr>
        <w:t>Na úrovni Národnej banky Slovenska bol prijatý</w:t>
      </w:r>
      <w:r w:rsidRPr="004565EA">
        <w:rPr>
          <w:rFonts w:ascii="Book Antiqua" w:hAnsi="Book Antiqua"/>
          <w:sz w:val="22"/>
          <w:szCs w:val="22"/>
          <w:lang w:val="sk-SK" w:eastAsia="x-none"/>
        </w:rPr>
        <w:t xml:space="preserve"> len interný</w:t>
      </w:r>
      <w:r w:rsidRPr="004565EA">
        <w:rPr>
          <w:rFonts w:ascii="Book Antiqua" w:hAnsi="Book Antiqua"/>
          <w:sz w:val="22"/>
          <w:szCs w:val="22"/>
        </w:rPr>
        <w:t xml:space="preserve"> pracovný predpis Národnej banky </w:t>
      </w:r>
      <w:r w:rsidRPr="004565EA">
        <w:rPr>
          <w:rFonts w:ascii="Book Antiqua" w:hAnsi="Book Antiqua"/>
          <w:sz w:val="22"/>
          <w:szCs w:val="22"/>
          <w:lang w:val="sk-SK" w:eastAsia="x-none"/>
        </w:rPr>
        <w:t xml:space="preserve">Slovenska č. 19/2007 o pravidlách normotvornej činnosti Národnej banky Slovenska a o Vestníku Národnej banky Slovenska v znení neskorších predpisov, tento však nie je všeobecne </w:t>
      </w:r>
      <w:r w:rsidRPr="004565EA">
        <w:rPr>
          <w:rFonts w:ascii="Book Antiqua" w:hAnsi="Book Antiqua"/>
          <w:sz w:val="22"/>
          <w:szCs w:val="22"/>
        </w:rPr>
        <w:t xml:space="preserve">záväzný. </w:t>
      </w:r>
      <w:r w:rsidRPr="004565EA">
        <w:rPr>
          <w:rFonts w:ascii="Book Antiqua" w:hAnsi="Book Antiqua"/>
          <w:sz w:val="22"/>
          <w:szCs w:val="22"/>
          <w:lang w:val="sk-SK" w:eastAsia="x-none"/>
        </w:rPr>
        <w:t xml:space="preserve">Rovnako všeobecne záväzná nie je ani právna úprava predkladania vládnych návrhov zákonov, ktoré patria do pôsobnosti ECB, v čl. 15 Legislatívnych pravidiel vlády Slovenskej republiky, keďže sa v tejto veci nevzťahuje na poslanecké návrhy zákonov, resp. na návrhy zákonov podané poslancami alebo výbormi národnej rady. </w:t>
      </w:r>
    </w:p>
    <w:p w:rsidR="00CE15DC" w:rsidP="004565EA">
      <w:pPr>
        <w:pStyle w:val="BodyText"/>
        <w:bidi w:val="0"/>
        <w:spacing w:before="120" w:line="276" w:lineRule="auto"/>
        <w:ind w:firstLine="708"/>
        <w:rPr>
          <w:rFonts w:ascii="Book Antiqua" w:hAnsi="Book Antiqua"/>
          <w:b/>
          <w:sz w:val="22"/>
          <w:szCs w:val="22"/>
          <w:lang w:val="sk-SK" w:eastAsia="x-none"/>
        </w:rPr>
      </w:pPr>
      <w:r w:rsidRPr="004565EA">
        <w:rPr>
          <w:rFonts w:ascii="Book Antiqua" w:hAnsi="Book Antiqua"/>
          <w:sz w:val="22"/>
          <w:szCs w:val="22"/>
          <w:lang w:val="sk-SK" w:eastAsia="x-none"/>
        </w:rPr>
        <w:t>Obdobné právne vákuum, ako je v súčasnosti pri prijímaní návrhov zákonov, ktoré patria do pôsobnosti ECB, existuje aj</w:t>
      </w:r>
      <w:r w:rsidRPr="004565EA">
        <w:rPr>
          <w:rFonts w:ascii="Book Antiqua" w:hAnsi="Book Antiqua"/>
          <w:b/>
          <w:sz w:val="22"/>
          <w:szCs w:val="22"/>
          <w:lang w:val="sk-SK" w:eastAsia="x-none"/>
        </w:rPr>
        <w:t xml:space="preserve"> pri prijímaní právnych predpisov, ktoré sú zároveň aj technickými predpismi</w:t>
      </w:r>
      <w:r w:rsidRPr="004565EA">
        <w:rPr>
          <w:rFonts w:ascii="Book Antiqua" w:hAnsi="Book Antiqua"/>
          <w:sz w:val="22"/>
          <w:szCs w:val="22"/>
          <w:lang w:val="sk-SK" w:eastAsia="x-none"/>
        </w:rPr>
        <w:t xml:space="preserve"> v zmysle § 4 zákona č. 264/1999 Z. z. o technických požiadavkách na výrobky a o posudzovaní zhody a o zmene a doplnení niektorých zákonov v znení neskorších predpisov, a to vtedy, ak tieto návrhy zákonov </w:t>
      </w:r>
      <w:r w:rsidRPr="004565EA">
        <w:rPr>
          <w:rFonts w:ascii="Book Antiqua" w:hAnsi="Book Antiqua"/>
          <w:b/>
          <w:sz w:val="22"/>
          <w:szCs w:val="22"/>
          <w:lang w:val="sk-SK" w:eastAsia="x-none"/>
        </w:rPr>
        <w:t>predložia do národnej rady poslanci národnej rady alebo výbory národnej rady.</w:t>
      </w:r>
    </w:p>
    <w:p w:rsidR="00057F97" w:rsidRPr="004565EA" w:rsidP="004565EA">
      <w:pPr>
        <w:pStyle w:val="BodyText"/>
        <w:bidi w:val="0"/>
        <w:spacing w:before="120" w:line="276" w:lineRule="auto"/>
        <w:ind w:firstLine="708"/>
        <w:rPr>
          <w:rFonts w:ascii="Book Antiqua" w:hAnsi="Book Antiqua"/>
          <w:sz w:val="22"/>
          <w:szCs w:val="22"/>
          <w:lang w:val="sk-SK" w:eastAsia="x-none"/>
        </w:rPr>
      </w:pPr>
      <w:r>
        <w:rPr>
          <w:rFonts w:ascii="Book Antiqua" w:hAnsi="Book Antiqua"/>
          <w:b/>
          <w:sz w:val="22"/>
          <w:szCs w:val="22"/>
          <w:lang w:val="sk-SK" w:eastAsia="x-none"/>
        </w:rPr>
        <w:t>Uvedené nedostatky rokovacieho poriadku národnej rady potvrdila vo svojom stanovisku CON/2014/54 z 10. júla 2014 aj Európska centrálna banka, ktorá predložený n</w:t>
      </w:r>
      <w:r w:rsidR="000A43EB">
        <w:rPr>
          <w:rFonts w:ascii="Book Antiqua" w:hAnsi="Book Antiqua"/>
          <w:b/>
          <w:sz w:val="22"/>
          <w:szCs w:val="22"/>
          <w:lang w:val="sk-SK" w:eastAsia="x-none"/>
        </w:rPr>
        <w:t>ávrh zákona víta</w:t>
      </w:r>
      <w:r>
        <w:rPr>
          <w:rFonts w:ascii="Book Antiqua" w:hAnsi="Book Antiqua"/>
          <w:b/>
          <w:sz w:val="22"/>
          <w:szCs w:val="22"/>
          <w:lang w:val="sk-SK" w:eastAsia="x-none"/>
        </w:rPr>
        <w:t>, pričom vyslovila odporúčanie, aby v prípade podania pozmeňujúceho a/alebo doplňujúceho návrhu zo strany poslanca národnej rady k návrhu zákona, ktorý predmetom úpravy patrí do pôsobnosti Európskej centrálnej banky</w:t>
      </w:r>
      <w:r w:rsidR="000A43EB">
        <w:rPr>
          <w:rFonts w:ascii="Book Antiqua" w:hAnsi="Book Antiqua"/>
          <w:b/>
          <w:sz w:val="22"/>
          <w:szCs w:val="22"/>
          <w:lang w:val="sk-SK" w:eastAsia="x-none"/>
        </w:rPr>
        <w:t>, nebola zákonom daná len možnosť zvážiť prerušenia legislatívneho procesu až do vydania stanoviska touto inštitúciou EÚ, ale priamo povinnosť legislatívny proces prerušiť.</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sz w:val="22"/>
          <w:szCs w:val="22"/>
          <w:lang w:val="sk-SK" w:eastAsia="x-none"/>
        </w:rPr>
        <w:t xml:space="preserve">Pritom povinnosť </w:t>
      </w:r>
      <w:r w:rsidRPr="004565EA">
        <w:rPr>
          <w:rFonts w:ascii="Book Antiqua" w:hAnsi="Book Antiqua"/>
          <w:b/>
          <w:sz w:val="22"/>
          <w:szCs w:val="22"/>
          <w:lang w:val="sk-SK" w:eastAsia="x-none"/>
        </w:rPr>
        <w:t>požiadať Európsku komisiu o poskytnutie stanoviska</w:t>
      </w:r>
      <w:r w:rsidRPr="004565EA">
        <w:rPr>
          <w:rFonts w:ascii="Book Antiqua" w:hAnsi="Book Antiqua"/>
          <w:sz w:val="22"/>
          <w:szCs w:val="22"/>
          <w:lang w:val="sk-SK" w:eastAsia="x-none"/>
        </w:rPr>
        <w:t xml:space="preserve"> v prípade prijímania technických predpisov vyplýva zo smernice Európskeho parlamentu a Rady 98/34/ES z 22. júna 1998 o postupe pri poskytovaní informácií v oblasti technických noriem a predpisov a pravidiel vzťahujúcich sa na služby informačnej spoločnosti (Mimoriadne vydanie Ú. v. EÚ, kap. 13/zv. 23; </w:t>
      </w:r>
      <w:r w:rsidRPr="004565EA">
        <w:rPr>
          <w:rFonts w:ascii="Book Antiqua" w:hAnsi="Book Antiqua" w:cs="Lucida Sans Unicode"/>
          <w:sz w:val="22"/>
          <w:szCs w:val="22"/>
          <w:lang w:val="sk-SK" w:eastAsia="x-none"/>
        </w:rPr>
        <w:t>Ú. v. ES L 204, 21. 7. 1998</w:t>
      </w:r>
      <w:r w:rsidRPr="004565EA">
        <w:rPr>
          <w:rFonts w:ascii="Book Antiqua" w:hAnsi="Book Antiqua"/>
          <w:sz w:val="22"/>
          <w:szCs w:val="22"/>
          <w:lang w:val="sk-SK" w:eastAsia="x-none"/>
        </w:rPr>
        <w:t>) v platnom znení, ktorá bola transponovaná do nariadenia vlády Slovenskej republiky č. 453/2002 Z. z. o postupoch pri poskytovaní informácií v oblasti technických predpisov a technických noriem.</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sz w:val="22"/>
          <w:szCs w:val="22"/>
        </w:rPr>
        <w:t>Ak návrh zákona podáva výbor národnej rady alebo poslanec národnej rady, títo nedisponujú dostatočným administratívnym aparátom, v porovnaní s vládou SR, aby boli splnené všetky administratívne kroky vedúce k uskutočneniu povinnej konzultácie k návrhu právneho predpisu s príslušnou inštitúciou Európskej únie.</w:t>
      </w:r>
      <w:r w:rsidRPr="004565EA">
        <w:rPr>
          <w:rFonts w:ascii="Book Antiqua" w:hAnsi="Book Antiqua"/>
          <w:b/>
          <w:sz w:val="22"/>
          <w:szCs w:val="22"/>
        </w:rPr>
        <w:t xml:space="preserve"> </w:t>
      </w:r>
      <w:r w:rsidRPr="004565EA">
        <w:rPr>
          <w:rFonts w:ascii="Book Antiqua" w:hAnsi="Book Antiqua"/>
          <w:bCs/>
          <w:sz w:val="22"/>
          <w:szCs w:val="22"/>
        </w:rPr>
        <w:t xml:space="preserve">Keďže konzultačná povinnosť sa vyžaduje od členského štátu, pričom za členský štát konajú jeho orgány, teda aj národná rada, ktorej odborné, organizačné a technickú úlohy zabezpečuje kancelária národnej rady, </w:t>
      </w:r>
      <w:r w:rsidRPr="004565EA">
        <w:rPr>
          <w:rFonts w:ascii="Book Antiqua" w:hAnsi="Book Antiqua"/>
          <w:b/>
          <w:bCs/>
          <w:sz w:val="22"/>
          <w:szCs w:val="22"/>
        </w:rPr>
        <w:t>ustanovuje sa povinnosť zabezpečiť uskutočnenie povinnej konzultácie kancelárii národnej rady</w:t>
      </w:r>
      <w:r w:rsidRPr="004565EA">
        <w:rPr>
          <w:rFonts w:ascii="Book Antiqua" w:hAnsi="Book Antiqua"/>
          <w:bCs/>
          <w:sz w:val="22"/>
          <w:szCs w:val="22"/>
        </w:rPr>
        <w:t>, nie predkladateľom návrhu zákona (t.j. poslancom národnej rady alebo výborom národnej rady). Kancelária národnej rady však bude konať iba vtedy, ak ju o to predkladateľ návrhu zákona (t.j. poslanci alebo výbory) požiada.</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Podrobnosti a technické záležitosti súvisiace s povinnosťou zabezpečiť uskutočnenie povinnej konzultácie si môže kancelária upraviť sama, prípadne na základe dohody sa môže ustanoviť, že napr. návrhy právnych predpisov, ktoré sú aj technickými predpismi, sa budú zasielať Európskej komisii prostredníctvom Úradu pre normalizáciu, metrológiu a skúšobníctvo Slovenskej republiky, podobne ako sa cez tento úrad zasielajú Európskej komisii vládne návrhy zákonov.</w:t>
      </w:r>
    </w:p>
    <w:p w:rsidR="00CE15DC" w:rsidRPr="00696F40" w:rsidP="00696F40">
      <w:pPr>
        <w:pStyle w:val="NormalWeb"/>
        <w:bidi w:val="0"/>
        <w:spacing w:before="120" w:beforeAutospacing="0" w:after="0" w:afterAutospacing="0" w:line="276" w:lineRule="auto"/>
        <w:ind w:firstLine="708"/>
        <w:jc w:val="both"/>
        <w:rPr>
          <w:rFonts w:ascii="Book Antiqua" w:hAnsi="Book Antiqua"/>
          <w:b/>
          <w:sz w:val="22"/>
          <w:szCs w:val="22"/>
        </w:rPr>
      </w:pPr>
      <w:r w:rsidRPr="004565EA">
        <w:rPr>
          <w:rFonts w:ascii="Book Antiqua" w:hAnsi="Book Antiqua"/>
          <w:bCs/>
          <w:sz w:val="22"/>
          <w:szCs w:val="22"/>
        </w:rPr>
        <w:t xml:space="preserve">Pokiaľ ide o právne následky nesplnenia si konzultačnej povinnosti vo vzťahu k príslušnej inštitúcii Európskej únie, tieto nespočívajú výlučne v hrozbe začatia konania podľa článku 258 Zmluvy o fungovaní Európskej únie. V zmysle ustálenej judikatúry Súdneho dvora EÚ vnútroštátny právny predpis, ktorý bol prijatý za porušenia podstatnej procesnej požiadavky, napr. opomenutia konzultácie s Európskou komisiou alebo ECB, nie je voči jednotlivcom vynútiteľný (napr. rozsudok vo veci C-226/97 </w:t>
      </w:r>
      <w:r w:rsidRPr="004565EA">
        <w:rPr>
          <w:rFonts w:ascii="Book Antiqua" w:hAnsi="Book Antiqua"/>
          <w:bCs/>
          <w:i/>
          <w:sz w:val="22"/>
          <w:szCs w:val="22"/>
        </w:rPr>
        <w:t>Lemmens</w:t>
      </w:r>
      <w:r w:rsidRPr="004565EA">
        <w:rPr>
          <w:rFonts w:ascii="Book Antiqua" w:hAnsi="Book Antiqua"/>
          <w:bCs/>
          <w:sz w:val="22"/>
          <w:szCs w:val="22"/>
        </w:rPr>
        <w:t xml:space="preserve"> alebo rozsudok vo veci C-443/98 </w:t>
      </w:r>
      <w:r w:rsidRPr="004565EA">
        <w:rPr>
          <w:rFonts w:ascii="Book Antiqua" w:hAnsi="Book Antiqua"/>
          <w:bCs/>
          <w:i/>
          <w:sz w:val="22"/>
          <w:szCs w:val="22"/>
        </w:rPr>
        <w:t>Unilever</w:t>
      </w:r>
      <w:r w:rsidRPr="004565EA">
        <w:rPr>
          <w:rFonts w:ascii="Book Antiqua" w:hAnsi="Book Antiqua"/>
          <w:bCs/>
          <w:sz w:val="22"/>
          <w:szCs w:val="22"/>
        </w:rPr>
        <w:t xml:space="preserve">). Rovnako v zmysle judikatúry Súdneho dvora EÚ musia mať účastníci konania, ktorí sa usilujú o vymáhanie nárokov na základe práva Európskej únie, možnosť využiť všetky opravné prostriedky bežne dostupné podľa vnútroštátneho práva (napr. rozsudok vo veci C-158/80 </w:t>
      </w:r>
      <w:r w:rsidRPr="004565EA">
        <w:rPr>
          <w:rFonts w:ascii="Book Antiqua" w:hAnsi="Book Antiqua"/>
          <w:bCs/>
          <w:i/>
          <w:sz w:val="22"/>
          <w:szCs w:val="22"/>
        </w:rPr>
        <w:t>Rewe</w:t>
      </w:r>
      <w:r w:rsidRPr="004565EA">
        <w:rPr>
          <w:rFonts w:ascii="Book Antiqua" w:hAnsi="Book Antiqua"/>
          <w:bCs/>
          <w:sz w:val="22"/>
          <w:szCs w:val="22"/>
        </w:rPr>
        <w:t>).</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r w:rsidRPr="004565EA">
        <w:rPr>
          <w:rFonts w:ascii="Book Antiqua" w:hAnsi="Book Antiqua"/>
          <w:b/>
          <w:sz w:val="22"/>
          <w:szCs w:val="22"/>
        </w:rPr>
        <w:t>K </w:t>
      </w:r>
      <w:r w:rsidRPr="004565EA" w:rsidR="00191A60">
        <w:rPr>
          <w:rFonts w:ascii="Book Antiqua" w:hAnsi="Book Antiqua"/>
          <w:b/>
          <w:sz w:val="22"/>
          <w:szCs w:val="22"/>
        </w:rPr>
        <w:t>Č</w:t>
      </w:r>
      <w:r w:rsidRPr="004565EA">
        <w:rPr>
          <w:rFonts w:ascii="Book Antiqua" w:hAnsi="Book Antiqua"/>
          <w:b/>
          <w:sz w:val="22"/>
          <w:szCs w:val="22"/>
        </w:rPr>
        <w:t>l. II</w:t>
      </w:r>
    </w:p>
    <w:p w:rsidR="00CE15DC" w:rsidRPr="004565EA" w:rsidP="004565EA">
      <w:pPr>
        <w:pStyle w:val="NormalWeb"/>
        <w:bidi w:val="0"/>
        <w:spacing w:before="120" w:beforeAutospacing="0" w:after="0" w:afterAutospacing="0" w:line="276" w:lineRule="auto"/>
        <w:ind w:firstLine="708"/>
        <w:jc w:val="both"/>
        <w:rPr>
          <w:rFonts w:ascii="Book Antiqua" w:hAnsi="Book Antiqua"/>
          <w:b/>
          <w:bCs/>
          <w:sz w:val="22"/>
          <w:szCs w:val="22"/>
        </w:rPr>
      </w:pPr>
      <w:r w:rsidRPr="004565EA">
        <w:rPr>
          <w:rFonts w:ascii="Book Antiqua" w:hAnsi="Book Antiqua"/>
          <w:sz w:val="22"/>
          <w:szCs w:val="22"/>
        </w:rPr>
        <w:t>Navrhuje sa účinnosť predkladaného zákona so zohľadnením legisvakančnej lehoty, a to od 1</w:t>
      </w:r>
      <w:r w:rsidR="000A43EB">
        <w:rPr>
          <w:rFonts w:ascii="Book Antiqua" w:hAnsi="Book Antiqua"/>
          <w:sz w:val="22"/>
          <w:szCs w:val="22"/>
        </w:rPr>
        <w:t>. decembra</w:t>
      </w:r>
      <w:r w:rsidRPr="004565EA">
        <w:rPr>
          <w:rFonts w:ascii="Book Antiqua" w:hAnsi="Book Antiqua"/>
          <w:sz w:val="22"/>
          <w:szCs w:val="22"/>
        </w:rPr>
        <w:t xml:space="preserve"> 2014. </w:t>
      </w:r>
    </w:p>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caps/>
          <w:spacing w:val="30"/>
          <w:sz w:val="22"/>
          <w:szCs w:val="22"/>
        </w:rPr>
        <w:br w:type="page"/>
        <w:t>DOLOŽKA ZLUČITEĽNOSTI</w:t>
      </w:r>
    </w:p>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sz w:val="22"/>
          <w:szCs w:val="22"/>
        </w:rPr>
        <w:t>návrhu zákona</w:t>
      </w:r>
      <w:r w:rsidRPr="004565EA">
        <w:rPr>
          <w:rFonts w:ascii="Book Antiqua" w:hAnsi="Book Antiqua"/>
          <w:sz w:val="22"/>
          <w:szCs w:val="22"/>
        </w:rPr>
        <w:t xml:space="preserve"> </w:t>
      </w:r>
      <w:r w:rsidRPr="004565EA">
        <w:rPr>
          <w:rFonts w:ascii="Book Antiqua" w:hAnsi="Book Antiqua"/>
          <w:b/>
          <w:bCs/>
          <w:sz w:val="22"/>
          <w:szCs w:val="22"/>
        </w:rPr>
        <w:t>s právom Európskej únie</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1. Navrhovateľ zákona:</w:t>
      </w:r>
      <w:r w:rsidRPr="004565EA">
        <w:rPr>
          <w:rFonts w:ascii="Book Antiqua" w:hAnsi="Book Antiqua"/>
          <w:sz w:val="22"/>
          <w:szCs w:val="22"/>
        </w:rPr>
        <w:t xml:space="preserve"> poslanci Národnej rady Slovenskej republiky Jozef Viskupič a Jozef Kollár</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2. Názov návrhu zákona:</w:t>
      </w:r>
      <w:r w:rsidRPr="004565EA">
        <w:rPr>
          <w:rFonts w:ascii="Book Antiqua" w:hAnsi="Book Antiqua"/>
          <w:sz w:val="22"/>
          <w:szCs w:val="22"/>
        </w:rPr>
        <w:t xml:space="preserve"> návrh zákona, ktorým sa mení a dopĺňa zákon Národnej rady Slovenskej republiky č. 350/1996 Z. z. o rokovacom poriadku Národnej rady Slovenskej republiky v znení neskorších predpisov</w:t>
      </w:r>
    </w:p>
    <w:p w:rsidR="00CE15DC" w:rsidRPr="004565EA" w:rsidP="004565EA">
      <w:pPr>
        <w:bidi w:val="0"/>
        <w:spacing w:before="12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r w:rsidRPr="004565EA">
        <w:rPr>
          <w:rFonts w:ascii="Book Antiqua" w:hAnsi="Book Antiqua"/>
          <w:b/>
          <w:bCs/>
          <w:sz w:val="22"/>
          <w:szCs w:val="22"/>
        </w:rPr>
        <w:t>3. Predmet návrhu zákona:</w:t>
      </w:r>
    </w:p>
    <w:p w:rsidR="00CE15DC" w:rsidRPr="004565EA" w:rsidP="004565EA">
      <w:pPr>
        <w:pStyle w:val="NormalWeb"/>
        <w:numPr>
          <w:numId w:val="22"/>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je upravený v primárnom práve Európskej únie, a to v čl. 127 ods. 4 Zmluvy o fungovaní Európskej únie,</w:t>
      </w:r>
    </w:p>
    <w:p w:rsidR="00CE15DC" w:rsidRPr="004565EA" w:rsidP="004565EA">
      <w:pPr>
        <w:pStyle w:val="NormalWeb"/>
        <w:numPr>
          <w:numId w:val="22"/>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je upravený v sekundárnom práve Európskej únie, a to v:</w:t>
      </w:r>
    </w:p>
    <w:p w:rsidR="00CE15DC" w:rsidRPr="004565EA" w:rsidP="004565EA">
      <w:pPr>
        <w:pStyle w:val="BodyText"/>
        <w:numPr>
          <w:numId w:val="30"/>
        </w:numPr>
        <w:bidi w:val="0"/>
        <w:spacing w:before="120" w:line="276" w:lineRule="auto"/>
        <w:rPr>
          <w:rFonts w:ascii="Book Antiqua" w:hAnsi="Book Antiqua"/>
          <w:sz w:val="22"/>
          <w:szCs w:val="22"/>
          <w:lang w:val="sk-SK" w:eastAsia="x-none"/>
        </w:rPr>
      </w:pPr>
      <w:r w:rsidRPr="004565EA">
        <w:rPr>
          <w:rFonts w:ascii="Book Antiqua" w:hAnsi="Book Antiqua"/>
          <w:sz w:val="22"/>
          <w:szCs w:val="22"/>
          <w:lang w:val="sk-SK" w:eastAsia="x-none"/>
        </w:rPr>
        <w:t xml:space="preserve">smernici Európskeho parlamentu a Rady 98/34/ES z 22. júna 1998 o postupe pri poskytovaní informácií v oblasti technických noriem a predpisov a pravidiel vzťahujúcich sa na služby informačnej spoločnosti (Mimoriadne vydanie Ú. v. EÚ, kap. 13/zv. 23; </w:t>
      </w:r>
      <w:r w:rsidRPr="004565EA">
        <w:rPr>
          <w:rFonts w:ascii="Book Antiqua" w:hAnsi="Book Antiqua" w:cs="Lucida Sans Unicode"/>
          <w:sz w:val="22"/>
          <w:szCs w:val="22"/>
          <w:lang w:val="sk-SK" w:eastAsia="x-none"/>
        </w:rPr>
        <w:t>Ú. v. ES L 204, 21. 7. 1998</w:t>
      </w:r>
      <w:r w:rsidRPr="004565EA">
        <w:rPr>
          <w:rFonts w:ascii="Book Antiqua" w:hAnsi="Book Antiqua"/>
          <w:sz w:val="22"/>
          <w:szCs w:val="22"/>
          <w:lang w:val="sk-SK" w:eastAsia="x-none"/>
        </w:rPr>
        <w:t>) v platnom znení,</w:t>
      </w:r>
    </w:p>
    <w:p w:rsidR="00CE15DC" w:rsidRPr="004565EA" w:rsidP="004565EA">
      <w:pPr>
        <w:pStyle w:val="BodyText"/>
        <w:numPr>
          <w:numId w:val="30"/>
        </w:numPr>
        <w:bidi w:val="0"/>
        <w:spacing w:before="120" w:line="276" w:lineRule="auto"/>
        <w:rPr>
          <w:rFonts w:ascii="Book Antiqua" w:hAnsi="Book Antiqua"/>
          <w:sz w:val="22"/>
          <w:szCs w:val="22"/>
          <w:lang w:val="sk-SK" w:eastAsia="x-none"/>
        </w:rPr>
      </w:pPr>
      <w:r w:rsidRPr="004565EA">
        <w:rPr>
          <w:rFonts w:ascii="Book Antiqua" w:hAnsi="Book Antiqua"/>
          <w:sz w:val="22"/>
          <w:szCs w:val="22"/>
          <w:lang w:val="sk-SK" w:eastAsia="x-none"/>
        </w:rPr>
        <w:t>rozhodnutí</w:t>
      </w:r>
      <w:r w:rsidRPr="004565EA">
        <w:rPr>
          <w:rFonts w:ascii="Book Antiqua" w:hAnsi="Book Antiqua"/>
          <w:sz w:val="22"/>
          <w:szCs w:val="22"/>
        </w:rPr>
        <w:t xml:space="preserve"> </w:t>
      </w:r>
      <w:r w:rsidRPr="004565EA">
        <w:rPr>
          <w:rFonts w:ascii="Book Antiqua" w:hAnsi="Book Antiqua"/>
          <w:bCs/>
          <w:sz w:val="22"/>
          <w:szCs w:val="22"/>
          <w:lang w:val="sk-SK" w:eastAsia="x-none"/>
        </w:rPr>
        <w:t xml:space="preserve">Rady 98/415/ES z 29. júna 1998 o poradení sa vnútroštátnych orgánov s Európskou centrálnou bankou ohľadom návrhov právnych predpisov (Mimoriadne vydanie Ú. v. EÚ, kap. 01/zv. 01; </w:t>
      </w:r>
      <w:r w:rsidRPr="004565EA">
        <w:rPr>
          <w:rFonts w:ascii="Book Antiqua" w:hAnsi="Book Antiqua"/>
          <w:sz w:val="22"/>
          <w:szCs w:val="22"/>
          <w:lang w:val="sk-SK" w:eastAsia="x-none"/>
        </w:rPr>
        <w:t>Ú. v. ES L 189, 3. 7. 1998</w:t>
      </w:r>
      <w:r w:rsidRPr="004565EA">
        <w:rPr>
          <w:rFonts w:ascii="Book Antiqua" w:hAnsi="Book Antiqua"/>
          <w:bCs/>
          <w:sz w:val="22"/>
          <w:szCs w:val="22"/>
          <w:lang w:val="sk-SK" w:eastAsia="x-none"/>
        </w:rPr>
        <w:t>) v platnom znení,</w:t>
      </w:r>
    </w:p>
    <w:p w:rsidR="00CE15DC" w:rsidRPr="004565EA" w:rsidP="004565EA">
      <w:pPr>
        <w:pStyle w:val="NormalWeb"/>
        <w:numPr>
          <w:numId w:val="22"/>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je obsiahnutý v judikatúre Súdneho dvora Európskej únie, a to napr. v:</w:t>
      </w:r>
    </w:p>
    <w:p w:rsidR="00CE15DC" w:rsidRPr="004565EA" w:rsidP="004565EA">
      <w:pPr>
        <w:pStyle w:val="NormalWeb"/>
        <w:numPr>
          <w:numId w:val="30"/>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 xml:space="preserve">rozsudku Súdneho dvora vo veci </w:t>
      </w:r>
      <w:r w:rsidRPr="004565EA">
        <w:rPr>
          <w:rFonts w:ascii="Book Antiqua" w:hAnsi="Book Antiqua"/>
          <w:sz w:val="22"/>
          <w:szCs w:val="22"/>
        </w:rPr>
        <w:t>C-11/00 Komisia Európskych spoločenstiev / Európska centrálna banka [2003] – z rozsudku možno vyvodiť záver, že základným cieľom povinnej konzultácie s ECB je umožniť ECB, aby vnútroštátnym zákonodarným orgánom v primeranom čase poskytla odbornú radu k návrhom vnútroštátnych právnych predpisov, ktoré sa týkajú záležitostí patriacich do oblastí pôsobnosti ECB,</w:t>
      </w:r>
    </w:p>
    <w:p w:rsidR="00CE15DC" w:rsidRPr="004565EA" w:rsidP="004565EA">
      <w:pPr>
        <w:pStyle w:val="NormalWeb"/>
        <w:numPr>
          <w:numId w:val="30"/>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 xml:space="preserve">rozsudku Súdneho dvora vo veci </w:t>
      </w:r>
      <w:r w:rsidRPr="004565EA">
        <w:rPr>
          <w:rFonts w:ascii="Book Antiqua" w:hAnsi="Book Antiqua"/>
          <w:sz w:val="22"/>
          <w:szCs w:val="22"/>
        </w:rPr>
        <w:t>C-443/98 Unilever Italia SpA / Central Food SpA [2000] – ak bola porušená podstatná procesná požiadavka, napr. v oblasti informovania o technických predpisoch, nie je vnútroštátny právny predpis, ktorý bol prijatý za porušenia takejto podstatnej procesnej požiadavky, voči jednotlivcom vynútiteľný,</w:t>
      </w:r>
    </w:p>
    <w:p w:rsidR="00CE15DC" w:rsidRPr="004565EA" w:rsidP="004565EA">
      <w:pPr>
        <w:pStyle w:val="NormalWeb"/>
        <w:numPr>
          <w:numId w:val="30"/>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 xml:space="preserve">rozsudku Súdneho dvora vo veci </w:t>
      </w:r>
      <w:r w:rsidRPr="004565EA">
        <w:rPr>
          <w:rFonts w:ascii="Book Antiqua" w:hAnsi="Book Antiqua"/>
          <w:sz w:val="22"/>
          <w:szCs w:val="22"/>
        </w:rPr>
        <w:t xml:space="preserve">158/80 Rewe Handelsgesellschaft Nord mbH a Rewe Markt Steffen / Hauptzollamt Kiel [1981] – </w:t>
      </w:r>
      <w:r w:rsidRPr="004565EA">
        <w:rPr>
          <w:rFonts w:ascii="Book Antiqua" w:hAnsi="Book Antiqua"/>
          <w:bCs/>
          <w:sz w:val="22"/>
          <w:szCs w:val="22"/>
        </w:rPr>
        <w:t>účastníci konania, ktorí sa usilujú o vymáhanie nárokov na základe práva Európskej únie, možnosť využiť všetky opravné prostriedky bežne dostupné podľa vnútroštátneho práva.</w:t>
      </w:r>
    </w:p>
    <w:p w:rsidR="00CE15DC" w:rsidRPr="004565EA" w:rsidP="004565EA">
      <w:pPr>
        <w:pStyle w:val="NormalWeb"/>
        <w:bidi w:val="0"/>
        <w:spacing w:before="120" w:beforeAutospacing="0" w:after="0" w:afterAutospacing="0" w:line="276" w:lineRule="auto"/>
        <w:jc w:val="both"/>
        <w:rPr>
          <w:rFonts w:ascii="Book Antiqua" w:hAnsi="Book Antiqua"/>
          <w:bCs/>
          <w:sz w:val="22"/>
          <w:szCs w:val="22"/>
        </w:rPr>
      </w:pPr>
    </w:p>
    <w:p w:rsidR="00CE15DC" w:rsidRPr="004565EA" w:rsidP="004565EA">
      <w:pPr>
        <w:numPr>
          <w:ilvl w:val="3"/>
          <w:numId w:val="31"/>
        </w:numPr>
        <w:tabs>
          <w:tab w:val="left" w:pos="284"/>
        </w:tabs>
        <w:autoSpaceDE w:val="0"/>
        <w:autoSpaceDN w:val="0"/>
        <w:bidi w:val="0"/>
        <w:adjustRightInd w:val="0"/>
        <w:spacing w:before="120" w:line="276" w:lineRule="auto"/>
        <w:jc w:val="both"/>
        <w:rPr>
          <w:rFonts w:ascii="Book Antiqua" w:hAnsi="Book Antiqua"/>
          <w:b/>
          <w:bCs/>
          <w:i/>
          <w:sz w:val="22"/>
          <w:szCs w:val="22"/>
        </w:rPr>
      </w:pPr>
      <w:r w:rsidRPr="004565EA">
        <w:rPr>
          <w:rFonts w:ascii="Book Antiqua" w:hAnsi="Book Antiqua"/>
          <w:b/>
          <w:sz w:val="22"/>
          <w:szCs w:val="22"/>
        </w:rPr>
        <w:t>Záväzky Slovenskej republiky vo vzťahu k Európskej únii:</w:t>
      </w:r>
    </w:p>
    <w:p w:rsidR="00294E69" w:rsidP="00294E69">
      <w:pPr>
        <w:pStyle w:val="NormalWeb"/>
        <w:numPr>
          <w:numId w:val="33"/>
        </w:numPr>
        <w:bidi w:val="0"/>
        <w:spacing w:before="120" w:beforeAutospacing="0" w:after="0" w:afterAutospacing="0" w:line="276" w:lineRule="auto"/>
        <w:jc w:val="both"/>
        <w:rPr>
          <w:rFonts w:ascii="Book Antiqua" w:hAnsi="Book Antiqua"/>
          <w:bCs/>
          <w:sz w:val="22"/>
          <w:szCs w:val="22"/>
        </w:rPr>
      </w:pPr>
      <w:r w:rsidRPr="003C2782" w:rsidR="008B11E4">
        <w:rPr>
          <w:rFonts w:ascii="Book Antiqua" w:hAnsi="Book Antiqua"/>
          <w:bCs/>
          <w:sz w:val="22"/>
          <w:szCs w:val="22"/>
        </w:rPr>
        <w:t>lehot</w:t>
      </w:r>
      <w:r w:rsidR="008B11E4">
        <w:rPr>
          <w:rFonts w:ascii="Book Antiqua" w:hAnsi="Book Antiqua"/>
          <w:bCs/>
          <w:sz w:val="22"/>
          <w:szCs w:val="22"/>
        </w:rPr>
        <w:t>a</w:t>
      </w:r>
      <w:r w:rsidRPr="003C2782" w:rsidR="008B11E4">
        <w:rPr>
          <w:rFonts w:ascii="Book Antiqua" w:hAnsi="Book Antiqua"/>
          <w:bCs/>
          <w:sz w:val="22"/>
          <w:szCs w:val="22"/>
        </w:rPr>
        <w:t xml:space="preserve"> na transpozíciu smern</w:t>
      </w:r>
      <w:r w:rsidR="008B11E4">
        <w:rPr>
          <w:rFonts w:ascii="Book Antiqua" w:hAnsi="Book Antiqua"/>
          <w:bCs/>
          <w:sz w:val="22"/>
          <w:szCs w:val="22"/>
        </w:rPr>
        <w:t>i</w:t>
      </w:r>
      <w:r w:rsidRPr="003C2782" w:rsidR="008B11E4">
        <w:rPr>
          <w:rFonts w:ascii="Book Antiqua" w:hAnsi="Book Antiqua"/>
          <w:bCs/>
          <w:sz w:val="22"/>
          <w:szCs w:val="22"/>
        </w:rPr>
        <w:t>c</w:t>
      </w:r>
      <w:r w:rsidR="008B11E4">
        <w:rPr>
          <w:rFonts w:ascii="Book Antiqua" w:hAnsi="Book Antiqua"/>
          <w:bCs/>
          <w:sz w:val="22"/>
          <w:szCs w:val="22"/>
        </w:rPr>
        <w:t>e</w:t>
      </w:r>
      <w:r w:rsidRPr="003C2782" w:rsidR="008B11E4">
        <w:rPr>
          <w:rFonts w:ascii="Book Antiqua" w:hAnsi="Book Antiqua"/>
          <w:bCs/>
          <w:sz w:val="22"/>
          <w:szCs w:val="22"/>
        </w:rPr>
        <w:t xml:space="preserve"> uveden</w:t>
      </w:r>
      <w:r w:rsidR="008B11E4">
        <w:rPr>
          <w:rFonts w:ascii="Book Antiqua" w:hAnsi="Book Antiqua"/>
          <w:bCs/>
          <w:sz w:val="22"/>
          <w:szCs w:val="22"/>
        </w:rPr>
        <w:t>ej</w:t>
      </w:r>
      <w:r w:rsidRPr="003C2782" w:rsidR="008B11E4">
        <w:rPr>
          <w:rFonts w:ascii="Book Antiqua" w:hAnsi="Book Antiqua"/>
          <w:bCs/>
          <w:sz w:val="22"/>
          <w:szCs w:val="22"/>
        </w:rPr>
        <w:t xml:space="preserve"> v bode 3 písm. b) </w:t>
      </w:r>
      <w:r w:rsidR="005D197C">
        <w:rPr>
          <w:rFonts w:ascii="Book Antiqua" w:hAnsi="Book Antiqua"/>
          <w:bCs/>
          <w:sz w:val="22"/>
          <w:szCs w:val="22"/>
        </w:rPr>
        <w:t xml:space="preserve">tejto doložky </w:t>
      </w:r>
      <w:r w:rsidRPr="003C2782" w:rsidR="008B11E4">
        <w:rPr>
          <w:rFonts w:ascii="Book Antiqua" w:hAnsi="Book Antiqua"/>
          <w:bCs/>
          <w:sz w:val="22"/>
          <w:szCs w:val="22"/>
        </w:rPr>
        <w:t>uplynul</w:t>
      </w:r>
      <w:r w:rsidR="008B11E4">
        <w:rPr>
          <w:rFonts w:ascii="Book Antiqua" w:hAnsi="Book Antiqua"/>
          <w:bCs/>
          <w:sz w:val="22"/>
          <w:szCs w:val="22"/>
        </w:rPr>
        <w:t>a</w:t>
      </w:r>
      <w:r w:rsidRPr="003C2782" w:rsidR="008B11E4">
        <w:rPr>
          <w:rFonts w:ascii="Book Antiqua" w:hAnsi="Book Antiqua"/>
          <w:bCs/>
          <w:sz w:val="22"/>
          <w:szCs w:val="22"/>
        </w:rPr>
        <w:t xml:space="preserve"> ešte pred vstu</w:t>
      </w:r>
      <w:r w:rsidR="007E228A">
        <w:rPr>
          <w:rFonts w:ascii="Book Antiqua" w:hAnsi="Book Antiqua"/>
          <w:bCs/>
          <w:sz w:val="22"/>
          <w:szCs w:val="22"/>
        </w:rPr>
        <w:t xml:space="preserve">pom Slovenska do EÚ a </w:t>
      </w:r>
      <w:r w:rsidRPr="003C2782" w:rsidR="008B11E4">
        <w:rPr>
          <w:rFonts w:ascii="Book Antiqua" w:hAnsi="Book Antiqua"/>
          <w:bCs/>
          <w:sz w:val="22"/>
          <w:szCs w:val="22"/>
        </w:rPr>
        <w:t>bol</w:t>
      </w:r>
      <w:r w:rsidR="00A23378">
        <w:rPr>
          <w:rFonts w:ascii="Book Antiqua" w:hAnsi="Book Antiqua"/>
          <w:bCs/>
          <w:sz w:val="22"/>
          <w:szCs w:val="22"/>
        </w:rPr>
        <w:t>a</w:t>
      </w:r>
      <w:r w:rsidRPr="003C2782" w:rsidR="008B11E4">
        <w:rPr>
          <w:rFonts w:ascii="Book Antiqua" w:hAnsi="Book Antiqua"/>
          <w:bCs/>
          <w:sz w:val="22"/>
          <w:szCs w:val="22"/>
        </w:rPr>
        <w:t xml:space="preserve"> </w:t>
      </w:r>
      <w:r w:rsidR="007E228A">
        <w:rPr>
          <w:rFonts w:ascii="Book Antiqua" w:hAnsi="Book Antiqua"/>
          <w:bCs/>
          <w:sz w:val="22"/>
          <w:szCs w:val="22"/>
        </w:rPr>
        <w:t>transponovaná</w:t>
      </w:r>
      <w:r w:rsidRPr="003C2782" w:rsidR="007E228A">
        <w:rPr>
          <w:rFonts w:ascii="Book Antiqua" w:hAnsi="Book Antiqua"/>
          <w:bCs/>
          <w:sz w:val="22"/>
          <w:szCs w:val="22"/>
        </w:rPr>
        <w:t xml:space="preserve"> do slovenského poriadku riadne a včas </w:t>
      </w:r>
      <w:r w:rsidRPr="003C2782" w:rsidR="008B11E4">
        <w:rPr>
          <w:rFonts w:ascii="Book Antiqua" w:hAnsi="Book Antiqua"/>
          <w:bCs/>
          <w:sz w:val="22"/>
          <w:szCs w:val="22"/>
        </w:rPr>
        <w:t>ku dňu vstu</w:t>
      </w:r>
      <w:r w:rsidR="007E228A">
        <w:rPr>
          <w:rFonts w:ascii="Book Antiqua" w:hAnsi="Book Antiqua"/>
          <w:bCs/>
          <w:sz w:val="22"/>
          <w:szCs w:val="22"/>
        </w:rPr>
        <w:t>pu Slovenska do EÚ</w:t>
      </w:r>
      <w:r w:rsidRPr="003C2782" w:rsidR="008B11E4">
        <w:rPr>
          <w:rFonts w:ascii="Book Antiqua" w:hAnsi="Book Antiqua"/>
          <w:bCs/>
          <w:sz w:val="22"/>
          <w:szCs w:val="22"/>
        </w:rPr>
        <w:t>,</w:t>
      </w:r>
    </w:p>
    <w:p w:rsidR="00294E69" w:rsidRPr="00294E69" w:rsidP="00294E69">
      <w:pPr>
        <w:pStyle w:val="NormalWeb"/>
        <w:numPr>
          <w:numId w:val="33"/>
        </w:numPr>
        <w:bidi w:val="0"/>
        <w:spacing w:before="120" w:beforeAutospacing="0" w:after="0" w:afterAutospacing="0" w:line="276" w:lineRule="auto"/>
        <w:jc w:val="both"/>
        <w:rPr>
          <w:rFonts w:ascii="Book Antiqua" w:hAnsi="Book Antiqua"/>
          <w:bCs/>
          <w:sz w:val="22"/>
          <w:szCs w:val="22"/>
        </w:rPr>
      </w:pPr>
      <w:r w:rsidRPr="00294E69" w:rsidR="00CE15DC">
        <w:rPr>
          <w:rFonts w:ascii="Book Antiqua" w:hAnsi="Book Antiqua"/>
          <w:sz w:val="22"/>
          <w:szCs w:val="22"/>
        </w:rPr>
        <w:t>v danej oblasti nebol proti Slovenskej republike začatý postup Európskej komisie a ani konanie Súdneho dvora Európskej únie,</w:t>
      </w:r>
    </w:p>
    <w:p w:rsidR="00A23378" w:rsidRPr="00294E69" w:rsidP="00294E69">
      <w:pPr>
        <w:pStyle w:val="NormalWeb"/>
        <w:numPr>
          <w:numId w:val="33"/>
        </w:numPr>
        <w:bidi w:val="0"/>
        <w:spacing w:before="120" w:beforeAutospacing="0" w:after="0" w:afterAutospacing="0" w:line="276" w:lineRule="auto"/>
        <w:jc w:val="both"/>
        <w:rPr>
          <w:rFonts w:ascii="Book Antiqua" w:hAnsi="Book Antiqua"/>
          <w:bCs/>
          <w:sz w:val="22"/>
          <w:szCs w:val="22"/>
        </w:rPr>
      </w:pPr>
      <w:r w:rsidR="005D197C">
        <w:rPr>
          <w:rFonts w:ascii="Book Antiqua" w:hAnsi="Book Antiqua"/>
          <w:bCs/>
          <w:sz w:val="22"/>
          <w:szCs w:val="22"/>
        </w:rPr>
        <w:t xml:space="preserve">smernica uvedená v bode 3 písm. b) tejto doložky </w:t>
      </w:r>
      <w:r w:rsidR="007E228A">
        <w:rPr>
          <w:rFonts w:ascii="Book Antiqua" w:hAnsi="Book Antiqua"/>
          <w:bCs/>
          <w:sz w:val="22"/>
          <w:szCs w:val="22"/>
        </w:rPr>
        <w:t>bola transponovaná do nariadenia vlády Slovenskej republiky č. 453/2002 Z. z. o postupoch pri poskytovaní informácií v oblasti technických predpisov a technických noriem.</w:t>
      </w:r>
    </w:p>
    <w:p w:rsidR="00D13AC9" w:rsidP="004565EA">
      <w:pPr>
        <w:tabs>
          <w:tab w:val="left" w:pos="284"/>
        </w:tabs>
        <w:autoSpaceDE w:val="0"/>
        <w:autoSpaceDN w:val="0"/>
        <w:bidi w:val="0"/>
        <w:adjustRightInd w:val="0"/>
        <w:spacing w:before="120" w:line="276" w:lineRule="auto"/>
        <w:ind w:left="284"/>
        <w:jc w:val="both"/>
        <w:rPr>
          <w:rFonts w:ascii="Book Antiqua" w:hAnsi="Book Antiqua"/>
          <w:sz w:val="22"/>
          <w:szCs w:val="22"/>
        </w:rPr>
      </w:pPr>
    </w:p>
    <w:p w:rsidR="00CE15DC" w:rsidRPr="004565EA" w:rsidP="004565EA">
      <w:pPr>
        <w:numPr>
          <w:numId w:val="14"/>
        </w:numPr>
        <w:tabs>
          <w:tab w:val="num" w:pos="284"/>
          <w:tab w:val="left" w:pos="341"/>
        </w:tabs>
        <w:autoSpaceDE w:val="0"/>
        <w:autoSpaceDN w:val="0"/>
        <w:bidi w:val="0"/>
        <w:adjustRightInd w:val="0"/>
        <w:spacing w:before="120" w:line="276" w:lineRule="auto"/>
        <w:ind w:left="284"/>
        <w:jc w:val="both"/>
        <w:rPr>
          <w:rFonts w:ascii="Book Antiqua" w:hAnsi="Book Antiqua"/>
          <w:b/>
          <w:sz w:val="22"/>
          <w:szCs w:val="22"/>
        </w:rPr>
      </w:pPr>
      <w:r w:rsidRPr="004565EA">
        <w:rPr>
          <w:rFonts w:ascii="Book Antiqua" w:hAnsi="Book Antiqua"/>
          <w:b/>
          <w:sz w:val="22"/>
          <w:szCs w:val="22"/>
        </w:rPr>
        <w:t>Stupeň zlučiteľnosti návrhu zákona s právom Európskej únie</w:t>
      </w:r>
    </w:p>
    <w:p w:rsidR="00CE15DC" w:rsidRPr="004565EA" w:rsidP="004565EA">
      <w:pPr>
        <w:numPr>
          <w:numId w:val="30"/>
        </w:numPr>
        <w:bidi w:val="0"/>
        <w:spacing w:before="120" w:line="276" w:lineRule="auto"/>
        <w:rPr>
          <w:rFonts w:ascii="Book Antiqua" w:hAnsi="Book Antiqua"/>
          <w:sz w:val="22"/>
          <w:szCs w:val="22"/>
        </w:rPr>
      </w:pPr>
      <w:r w:rsidR="007E228A">
        <w:rPr>
          <w:rFonts w:ascii="Book Antiqua" w:hAnsi="Book Antiqua"/>
          <w:sz w:val="22"/>
          <w:szCs w:val="22"/>
        </w:rPr>
        <w:t>úplný</w:t>
      </w:r>
      <w:r w:rsidRPr="004565EA">
        <w:rPr>
          <w:rFonts w:ascii="Book Antiqua" w:hAnsi="Book Antiqua"/>
          <w:sz w:val="22"/>
          <w:szCs w:val="22"/>
        </w:rPr>
        <w:t>.</w:t>
      </w:r>
    </w:p>
    <w:p w:rsidR="00CE15DC" w:rsidRPr="004565EA" w:rsidP="004565EA">
      <w:pPr>
        <w:tabs>
          <w:tab w:val="left" w:pos="341"/>
        </w:tabs>
        <w:autoSpaceDE w:val="0"/>
        <w:autoSpaceDN w:val="0"/>
        <w:bidi w:val="0"/>
        <w:adjustRightInd w:val="0"/>
        <w:spacing w:before="120" w:line="276" w:lineRule="auto"/>
        <w:jc w:val="center"/>
        <w:rPr>
          <w:rFonts w:ascii="Book Antiqua" w:hAnsi="Book Antiqua"/>
          <w:sz w:val="22"/>
          <w:szCs w:val="22"/>
        </w:rPr>
      </w:pPr>
      <w:r w:rsidRPr="004565EA">
        <w:rPr>
          <w:rFonts w:ascii="Book Antiqua" w:hAnsi="Book Antiqua"/>
          <w:b/>
          <w:caps/>
          <w:spacing w:val="30"/>
          <w:sz w:val="22"/>
          <w:szCs w:val="22"/>
        </w:rPr>
        <w:br w:type="page"/>
      </w:r>
      <w:r w:rsidRPr="004565EA">
        <w:rPr>
          <w:rFonts w:ascii="Book Antiqua" w:hAnsi="Book Antiqua"/>
          <w:b/>
          <w:bCs/>
          <w:caps/>
          <w:spacing w:val="30"/>
          <w:sz w:val="22"/>
          <w:szCs w:val="22"/>
        </w:rPr>
        <w:t>Doložka</w:t>
      </w:r>
    </w:p>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sz w:val="22"/>
          <w:szCs w:val="22"/>
        </w:rPr>
        <w:t>vybraných vplyvov</w:t>
      </w:r>
    </w:p>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xml:space="preserve">A.1. Názov materiálu: </w:t>
      </w:r>
      <w:r w:rsidRPr="004565EA">
        <w:rPr>
          <w:rFonts w:ascii="Book Antiqua" w:hAnsi="Book Antiqua"/>
          <w:sz w:val="22"/>
          <w:szCs w:val="22"/>
        </w:rPr>
        <w:t>návrh zákona, ktorým sa mení a dopĺňa zákon Národnej rady Slovenskej republiky č. 350/1996 Z. z. o rokovacom poriadku Národnej rady Slovenskej republiky v znení neskorších predpisov</w:t>
      </w: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Termín začatia a ukončenia PPK:</w:t>
      </w:r>
      <w:r w:rsidRPr="004565EA">
        <w:rPr>
          <w:rFonts w:ascii="Book Antiqua" w:hAnsi="Book Antiqua"/>
          <w:sz w:val="22"/>
          <w:szCs w:val="22"/>
        </w:rPr>
        <w:t xml:space="preserve"> </w:t>
      </w:r>
      <w:r w:rsidRPr="004565EA">
        <w:rPr>
          <w:rFonts w:ascii="Book Antiqua" w:hAnsi="Book Antiqua"/>
          <w:i/>
          <w:iCs/>
          <w:sz w:val="22"/>
          <w:szCs w:val="22"/>
        </w:rPr>
        <w:t>bezpredmetné</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bl>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A.3. Poznámky</w:t>
      </w:r>
    </w:p>
    <w:p w:rsidR="00CE15DC" w:rsidRPr="004565EA" w:rsidP="004565EA">
      <w:pPr>
        <w:pStyle w:val="NormalWeb"/>
        <w:bidi w:val="0"/>
        <w:spacing w:before="120" w:beforeAutospacing="0" w:after="0" w:afterAutospacing="0" w:line="276" w:lineRule="auto"/>
        <w:jc w:val="both"/>
        <w:rPr>
          <w:rFonts w:ascii="Book Antiqua" w:hAnsi="Book Antiqua"/>
          <w:i/>
          <w:iCs/>
          <w:sz w:val="22"/>
          <w:szCs w:val="22"/>
        </w:rPr>
      </w:pPr>
      <w:r w:rsidRPr="004565EA">
        <w:rPr>
          <w:rFonts w:ascii="Book Antiqua" w:hAnsi="Book Antiqua"/>
          <w:i/>
          <w:iCs/>
          <w:sz w:val="22"/>
          <w:szCs w:val="22"/>
        </w:rPr>
        <w:t>bezpredmetné</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A.4. Alternatívne riešenia</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i/>
          <w:iCs/>
          <w:sz w:val="22"/>
          <w:szCs w:val="22"/>
        </w:rPr>
        <w:t>bezpredmetné</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A.5. Stanovisko gestorov</w:t>
      </w:r>
    </w:p>
    <w:p w:rsidR="00CE15DC" w:rsidRPr="004565EA" w:rsidP="004565EA">
      <w:pPr>
        <w:pStyle w:val="NormalWeb"/>
        <w:bidi w:val="0"/>
        <w:spacing w:before="120" w:beforeAutospacing="0" w:after="0" w:afterAutospacing="0" w:line="276" w:lineRule="auto"/>
        <w:jc w:val="both"/>
        <w:rPr>
          <w:rFonts w:ascii="Book Antiqua" w:hAnsi="Book Antiqua"/>
          <w:i/>
          <w:sz w:val="22"/>
          <w:szCs w:val="22"/>
        </w:rPr>
      </w:pPr>
      <w:r w:rsidRPr="004565EA">
        <w:rPr>
          <w:rFonts w:ascii="Book Antiqua" w:hAnsi="Book Antiqua"/>
          <w:i/>
          <w:iCs/>
          <w:sz w:val="22"/>
          <w:szCs w:val="22"/>
        </w:rPr>
        <w:t>Návrh zákona bol zaslaný na vyjadrenie Ministerstvu financií SR a stanovisko tohto ministerstva tvorí súčasť predkladaného materiálu.</w:t>
      </w:r>
    </w:p>
    <w:p w:rsidR="00CE15DC" w:rsidRPr="004565EA" w:rsidP="004565EA">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Lucida Sans Unicode">
    <w:panose1 w:val="020B0602030504020204"/>
    <w:charset w:val="EE"/>
    <w:family w:val="swiss"/>
    <w:pitch w:val="variable"/>
    <w:sig w:usb0="00000000" w:usb1="00000000" w:usb2="00000000" w:usb3="00000000" w:csb0="000000B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D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E15D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D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180420"/>
    <w:multiLevelType w:val="hybridMultilevel"/>
    <w:tmpl w:val="23FA98F8"/>
    <w:lvl w:ilvl="0">
      <w:start w:val="0"/>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901F40"/>
    <w:multiLevelType w:val="hybridMultilevel"/>
    <w:tmpl w:val="77F8022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9">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5D156BF"/>
    <w:multiLevelType w:val="hybridMultilevel"/>
    <w:tmpl w:val="CA3CD58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7">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3"/>
  </w:num>
  <w:num w:numId="2">
    <w:abstractNumId w:val="12"/>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10"/>
  </w:num>
  <w:num w:numId="10">
    <w:abstractNumId w:val="18"/>
  </w:num>
  <w:num w:numId="11">
    <w:abstractNumId w:val="0"/>
  </w:num>
  <w:num w:numId="12">
    <w:abstractNumId w:val="20"/>
  </w:num>
  <w:num w:numId="13">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3"/>
  </w:num>
  <w:num w:numId="19">
    <w:abstractNumId w:val="8"/>
  </w:num>
  <w:num w:numId="20">
    <w:abstractNumId w:val="27"/>
  </w:num>
  <w:num w:numId="21">
    <w:abstractNumId w:val="5"/>
  </w:num>
  <w:num w:numId="22">
    <w:abstractNumId w:val="11"/>
  </w:num>
  <w:num w:numId="23">
    <w:abstractNumId w:val="16"/>
  </w:num>
  <w:num w:numId="24">
    <w:abstractNumId w:val="9"/>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32">
    <w:abstractNumId w:val="2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91A60"/>
    <w:rsid w:val="00021103"/>
    <w:rsid w:val="00057F97"/>
    <w:rsid w:val="000A43EB"/>
    <w:rsid w:val="000B3068"/>
    <w:rsid w:val="00191A60"/>
    <w:rsid w:val="00294E69"/>
    <w:rsid w:val="002D34A2"/>
    <w:rsid w:val="0031750D"/>
    <w:rsid w:val="003C2782"/>
    <w:rsid w:val="004565EA"/>
    <w:rsid w:val="005D197C"/>
    <w:rsid w:val="00696F40"/>
    <w:rsid w:val="00797E39"/>
    <w:rsid w:val="007E228A"/>
    <w:rsid w:val="008B11E4"/>
    <w:rsid w:val="00A23378"/>
    <w:rsid w:val="00C839BA"/>
    <w:rsid w:val="00CE15DC"/>
    <w:rsid w:val="00D13AC9"/>
    <w:rsid w:val="00D24646"/>
    <w:rsid w:val="00EE2ED8"/>
    <w:rsid w:val="00F5430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qFormat/>
    <w:pPr>
      <w:keepNext/>
      <w:spacing w:before="240" w:after="60"/>
      <w:jc w:val="left"/>
      <w:outlineLvl w:val="2"/>
    </w:pPr>
    <w:rPr>
      <w:rFonts w:ascii="Cambria" w:hAnsi="Cambria"/>
      <w:b/>
      <w:sz w:val="26"/>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semiHidden/>
    <w:pPr>
      <w:tabs>
        <w:tab w:val="center" w:pos="4536"/>
        <w:tab w:val="right" w:pos="9072"/>
      </w:tabs>
      <w:jc w:val="left"/>
    </w:pPr>
    <w:rPr>
      <w:szCs w:val="20"/>
    </w:rPr>
  </w:style>
  <w:style w:type="paragraph" w:styleId="BalloonText">
    <w:name w:val="Balloon Text"/>
    <w:basedOn w:val="Normal"/>
    <w:semiHidden/>
    <w:pPr>
      <w:jc w:val="left"/>
    </w:pPr>
    <w:rPr>
      <w:rFonts w:ascii="Tahoma" w:hAnsi="Tahoma"/>
      <w:sz w:val="16"/>
      <w:szCs w:val="20"/>
    </w:rPr>
  </w:style>
  <w:style w:type="character" w:customStyle="1" w:styleId="Nadpis3Char">
    <w:name w:val="Nadpis 3 Char"/>
    <w:semiHidden/>
    <w:locked/>
    <w:rPr>
      <w:rFonts w:ascii="Cambria" w:hAnsi="Cambria" w:cs="Cambria"/>
      <w:b/>
      <w:sz w:val="26"/>
    </w:rPr>
  </w:style>
  <w:style w:type="character" w:styleId="PageNumber">
    <w:name w:val="page number"/>
    <w:semiHidden/>
  </w:style>
  <w:style w:type="character" w:customStyle="1" w:styleId="Nadpis1Char">
    <w:name w:val="Nadpis 1 Char"/>
    <w:locked/>
    <w:rPr>
      <w:rFonts w:ascii="Cambria" w:hAnsi="Cambria" w:cs="Cambria"/>
      <w:b/>
      <w:kern w:val="32"/>
      <w:sz w:val="32"/>
    </w:r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character" w:customStyle="1" w:styleId="TextbublinyChar">
    <w:name w:val="Text bubliny Char"/>
    <w:semiHidden/>
    <w:locked/>
    <w:rPr>
      <w:rFonts w:ascii="Tahoma" w:hAnsi="Tahoma" w:cs="Tahoma"/>
      <w:sz w:val="16"/>
    </w:rPr>
  </w:style>
  <w:style w:type="character" w:customStyle="1" w:styleId="PtaChar">
    <w:name w:val="Päta Char"/>
    <w:semiHidden/>
    <w:locked/>
    <w:rPr>
      <w:sz w:val="24"/>
    </w:rPr>
  </w:style>
  <w:style w:type="paragraph" w:styleId="NormalWeb">
    <w:name w:val="Normal (Web)"/>
    <w:basedOn w:val="Normal"/>
    <w:pPr>
      <w:spacing w:before="100" w:beforeAutospacing="1" w:after="100" w:afterAutospacing="1"/>
      <w:jc w:val="left"/>
    </w:pPr>
  </w:style>
  <w:style w:type="character" w:customStyle="1" w:styleId="apple-converted-space">
    <w:name w:val="apple-converted-space"/>
  </w:style>
  <w:style w:type="character" w:styleId="Hyperlink">
    <w:name w:val="Hyperlink"/>
    <w:semiHidden/>
    <w:unhideWhenUsed/>
    <w:rPr>
      <w:color w:val="0000FF"/>
      <w:u w:val="single"/>
    </w:rPr>
  </w:style>
  <w:style w:type="paragraph" w:styleId="ListParagraph">
    <w:name w:val="List Paragraph"/>
    <w:basedOn w:val="Normal"/>
    <w:qFormat/>
    <w:pPr>
      <w:ind w:left="708"/>
      <w:jc w:val="left"/>
    </w:pPr>
  </w:style>
  <w:style w:type="paragraph" w:customStyle="1" w:styleId="Normlny">
    <w:name w:val="_Normálny"/>
    <w:basedOn w:val="Normal"/>
    <w:pPr>
      <w:autoSpaceDE w:val="0"/>
      <w:autoSpaceDN w:val="0"/>
      <w:jc w:val="left"/>
    </w:pPr>
    <w:rPr>
      <w:szCs w:val="20"/>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semiHidden/>
    <w:pPr>
      <w:tabs>
        <w:tab w:val="center" w:pos="4536"/>
        <w:tab w:val="right" w:pos="9072"/>
      </w:tabs>
      <w:jc w:val="left"/>
    </w:pPr>
    <w:rPr>
      <w:szCs w:val="20"/>
    </w:rPr>
  </w:style>
  <w:style w:type="character" w:customStyle="1" w:styleId="ZkladntextChar">
    <w:name w:val="Základný text Char"/>
    <w:locked/>
    <w:rPr>
      <w:lang w:val="x-none" w:eastAsia="x-none"/>
    </w:rPr>
  </w:style>
  <w:style w:type="paragraph" w:styleId="BodyText">
    <w:name w:val="Body Text"/>
    <w:basedOn w:val="Normal"/>
    <w:semiHidden/>
    <w:pPr>
      <w:autoSpaceDE w:val="0"/>
      <w:autoSpaceDN w:val="0"/>
      <w:jc w:val="both"/>
    </w:pPr>
    <w:rPr>
      <w:sz w:val="20"/>
      <w:szCs w:val="20"/>
    </w:rPr>
  </w:style>
  <w:style w:type="character" w:styleId="Strong">
    <w:name w:val="Strong"/>
    <w:qFormat/>
    <w:rPr>
      <w:b/>
    </w:rPr>
  </w:style>
  <w:style w:type="character" w:customStyle="1" w:styleId="HlavikaChar">
    <w:name w:val="Hlavička Char"/>
    <w:locked/>
    <w:rPr>
      <w:sz w:val="24"/>
    </w:rPr>
  </w:style>
  <w:style w:type="character" w:styleId="FollowedHyperlink">
    <w:name w:val="FollowedHyperlink"/>
    <w:semiHidden/>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2775</Words>
  <Characters>15822</Characters>
  <Application>Microsoft Office Word</Application>
  <DocSecurity>0</DocSecurity>
  <Lines>0</Lines>
  <Paragraphs>0</Paragraphs>
  <ScaleCrop>false</ScaleCrop>
  <Company>UVSR</Company>
  <LinksUpToDate>false</LinksUpToDate>
  <CharactersWithSpaces>18560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2014-03-25T14:02:00Z</cp:lastPrinted>
  <dcterms:created xsi:type="dcterms:W3CDTF">2014-08-22T12:48:00Z</dcterms:created>
  <dcterms:modified xsi:type="dcterms:W3CDTF">2014-08-22T12:48:00Z</dcterms:modified>
</cp:coreProperties>
</file>