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E459E9" w:rsidRPr="00490C1F">
      <w:pPr>
        <w:pBdr>
          <w:bottom w:val="single" w:sz="12" w:space="1" w:color="auto"/>
        </w:pBdr>
        <w:bidi w:val="0"/>
        <w:spacing w:before="120" w:line="276" w:lineRule="auto"/>
        <w:jc w:val="center"/>
        <w:rPr>
          <w:rFonts w:ascii="Book Antiqua" w:hAnsi="Book Antiqua"/>
          <w:b/>
          <w:bCs/>
          <w:spacing w:val="20"/>
          <w:sz w:val="22"/>
          <w:szCs w:val="22"/>
        </w:rPr>
      </w:pPr>
      <w:r w:rsidRPr="00490C1F">
        <w:rPr>
          <w:rFonts w:ascii="Book Antiqua" w:hAnsi="Book Antiqua"/>
          <w:b/>
          <w:bCs/>
          <w:spacing w:val="20"/>
          <w:sz w:val="22"/>
          <w:szCs w:val="22"/>
        </w:rPr>
        <w:t>NÁRODNÁ  RADA  SLOVENSKEJ  REPUBLIKY</w:t>
      </w:r>
    </w:p>
    <w:p w:rsidR="00E459E9" w:rsidRPr="00490C1F">
      <w:pPr>
        <w:bidi w:val="0"/>
        <w:spacing w:before="120" w:line="276" w:lineRule="auto"/>
        <w:jc w:val="center"/>
        <w:rPr>
          <w:rFonts w:ascii="Book Antiqua" w:hAnsi="Book Antiqua"/>
          <w:spacing w:val="20"/>
          <w:sz w:val="22"/>
          <w:szCs w:val="22"/>
        </w:rPr>
      </w:pPr>
    </w:p>
    <w:p w:rsidR="00E459E9" w:rsidRPr="00490C1F">
      <w:pPr>
        <w:bidi w:val="0"/>
        <w:spacing w:before="120" w:line="276" w:lineRule="auto"/>
        <w:jc w:val="center"/>
        <w:rPr>
          <w:rFonts w:ascii="Book Antiqua" w:hAnsi="Book Antiqua"/>
          <w:spacing w:val="20"/>
          <w:sz w:val="22"/>
          <w:szCs w:val="22"/>
        </w:rPr>
      </w:pPr>
      <w:r w:rsidRPr="00490C1F">
        <w:rPr>
          <w:rFonts w:ascii="Book Antiqua" w:hAnsi="Book Antiqua"/>
          <w:spacing w:val="20"/>
          <w:sz w:val="22"/>
          <w:szCs w:val="22"/>
        </w:rPr>
        <w:t>VI. volebné obdobie</w:t>
      </w:r>
    </w:p>
    <w:p w:rsidR="00E459E9" w:rsidRPr="00490C1F">
      <w:pPr>
        <w:bidi w:val="0"/>
        <w:spacing w:before="120" w:line="276" w:lineRule="auto"/>
        <w:jc w:val="center"/>
        <w:rPr>
          <w:rFonts w:ascii="Book Antiqua" w:hAnsi="Book Antiqua"/>
          <w:b/>
          <w:bCs/>
          <w:spacing w:val="30"/>
          <w:sz w:val="22"/>
          <w:szCs w:val="22"/>
        </w:rPr>
      </w:pPr>
    </w:p>
    <w:p w:rsidR="00E459E9" w:rsidRPr="00490C1F">
      <w:pPr>
        <w:bidi w:val="0"/>
        <w:spacing w:before="120" w:line="276" w:lineRule="auto"/>
        <w:jc w:val="center"/>
        <w:rPr>
          <w:rFonts w:ascii="Book Antiqua" w:hAnsi="Book Antiqua"/>
          <w:b/>
          <w:bCs/>
          <w:spacing w:val="30"/>
          <w:sz w:val="22"/>
          <w:szCs w:val="22"/>
        </w:rPr>
      </w:pPr>
    </w:p>
    <w:p w:rsidR="00E459E9" w:rsidRPr="00490C1F">
      <w:pPr>
        <w:bidi w:val="0"/>
        <w:spacing w:before="120" w:line="276" w:lineRule="auto"/>
        <w:jc w:val="center"/>
        <w:rPr>
          <w:rFonts w:ascii="Book Antiqua" w:hAnsi="Book Antiqua"/>
          <w:b/>
          <w:bCs/>
          <w:spacing w:val="30"/>
          <w:sz w:val="22"/>
          <w:szCs w:val="22"/>
        </w:rPr>
      </w:pPr>
      <w:r w:rsidRPr="00490C1F">
        <w:rPr>
          <w:rFonts w:ascii="Book Antiqua" w:hAnsi="Book Antiqua"/>
          <w:b/>
          <w:bCs/>
          <w:spacing w:val="30"/>
          <w:sz w:val="22"/>
          <w:szCs w:val="22"/>
        </w:rPr>
        <w:t xml:space="preserve">Návrh </w:t>
      </w:r>
    </w:p>
    <w:p w:rsidR="00E459E9" w:rsidRPr="00490C1F">
      <w:pPr>
        <w:bidi w:val="0"/>
        <w:spacing w:before="120" w:line="276" w:lineRule="auto"/>
        <w:jc w:val="center"/>
        <w:rPr>
          <w:rFonts w:ascii="Book Antiqua" w:hAnsi="Book Antiqua"/>
          <w:b/>
          <w:bCs/>
          <w:spacing w:val="30"/>
          <w:sz w:val="22"/>
          <w:szCs w:val="22"/>
        </w:rPr>
      </w:pPr>
    </w:p>
    <w:p w:rsidR="00E459E9" w:rsidRPr="00490C1F">
      <w:pPr>
        <w:bidi w:val="0"/>
        <w:spacing w:before="120" w:line="276" w:lineRule="auto"/>
        <w:jc w:val="center"/>
        <w:rPr>
          <w:rFonts w:ascii="Book Antiqua" w:hAnsi="Book Antiqua"/>
          <w:b/>
          <w:bCs/>
          <w:caps/>
          <w:spacing w:val="30"/>
          <w:sz w:val="22"/>
          <w:szCs w:val="22"/>
        </w:rPr>
      </w:pPr>
      <w:r w:rsidRPr="00490C1F">
        <w:rPr>
          <w:rFonts w:ascii="Book Antiqua" w:hAnsi="Book Antiqua"/>
          <w:b/>
          <w:bCs/>
          <w:caps/>
          <w:spacing w:val="30"/>
          <w:sz w:val="22"/>
          <w:szCs w:val="22"/>
        </w:rPr>
        <w:t>zákon</w:t>
      </w:r>
    </w:p>
    <w:p w:rsidR="00E459E9" w:rsidRPr="00490C1F">
      <w:pPr>
        <w:bidi w:val="0"/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</w:p>
    <w:p w:rsidR="00E459E9" w:rsidRPr="00490C1F">
      <w:pPr>
        <w:bidi w:val="0"/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  <w:r w:rsidR="00B56579">
        <w:rPr>
          <w:rFonts w:ascii="Book Antiqua" w:hAnsi="Book Antiqua"/>
          <w:sz w:val="22"/>
          <w:szCs w:val="22"/>
        </w:rPr>
        <w:t>z ...</w:t>
      </w:r>
      <w:r w:rsidRPr="00490C1F">
        <w:rPr>
          <w:rFonts w:ascii="Book Antiqua" w:hAnsi="Book Antiqua"/>
          <w:sz w:val="22"/>
          <w:szCs w:val="22"/>
        </w:rPr>
        <w:t xml:space="preserve"> 2014,</w:t>
      </w:r>
    </w:p>
    <w:p w:rsidR="00E459E9" w:rsidRPr="00490C1F">
      <w:pPr>
        <w:bidi w:val="0"/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</w:p>
    <w:p w:rsidR="00E459E9" w:rsidRPr="00490C1F">
      <w:pPr>
        <w:bidi w:val="0"/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  <w:r w:rsidRPr="00490C1F">
        <w:rPr>
          <w:rFonts w:ascii="Book Antiqua" w:hAnsi="Book Antiqua"/>
          <w:b/>
          <w:bCs/>
          <w:sz w:val="22"/>
          <w:szCs w:val="22"/>
        </w:rPr>
        <w:t>ktorým sa mení a dopĺňa zákon Národnej rady Slovenskej republiky č. 350/1996 Z. z. o rokovacom poriadku Národnej rady Slovenskej republiky v znení neskorších predpisov</w:t>
      </w:r>
    </w:p>
    <w:p w:rsidR="00E459E9" w:rsidRPr="00490C1F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</w:p>
    <w:p w:rsidR="00E459E9" w:rsidRPr="00490C1F">
      <w:pPr>
        <w:bidi w:val="0"/>
        <w:spacing w:before="120" w:line="276" w:lineRule="auto"/>
        <w:ind w:firstLine="709"/>
        <w:jc w:val="both"/>
        <w:rPr>
          <w:rFonts w:ascii="Book Antiqua" w:hAnsi="Book Antiqua"/>
          <w:sz w:val="22"/>
          <w:szCs w:val="22"/>
        </w:rPr>
      </w:pPr>
      <w:r w:rsidRPr="00490C1F">
        <w:rPr>
          <w:rFonts w:ascii="Book Antiqua" w:hAnsi="Book Antiqua"/>
          <w:sz w:val="22"/>
          <w:szCs w:val="22"/>
        </w:rPr>
        <w:t xml:space="preserve">Národná rada Slovenskej republiky sa uzniesla na tomto zákone: </w:t>
      </w:r>
    </w:p>
    <w:p w:rsidR="00E459E9" w:rsidRPr="00490C1F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</w:p>
    <w:p w:rsidR="00E459E9" w:rsidRPr="00490C1F">
      <w:pPr>
        <w:pStyle w:val="Nadpis3Podloha"/>
        <w:numPr>
          <w:ilvl w:val="0"/>
          <w:numId w:val="0"/>
        </w:numPr>
        <w:tabs>
          <w:tab w:val="clear" w:pos="1418"/>
        </w:tabs>
        <w:bidi w:val="0"/>
        <w:spacing w:line="276" w:lineRule="auto"/>
        <w:ind w:firstLine="0"/>
        <w:jc w:val="center"/>
        <w:rPr>
          <w:rFonts w:ascii="Book Antiqua" w:hAnsi="Book Antiqua"/>
          <w:b/>
          <w:bCs/>
          <w:sz w:val="22"/>
          <w:szCs w:val="22"/>
        </w:rPr>
      </w:pPr>
      <w:r w:rsidRPr="00490C1F">
        <w:rPr>
          <w:rFonts w:ascii="Book Antiqua" w:hAnsi="Book Antiqua"/>
          <w:b/>
          <w:bCs/>
          <w:sz w:val="22"/>
          <w:szCs w:val="22"/>
        </w:rPr>
        <w:t>Čl. I</w:t>
      </w:r>
    </w:p>
    <w:p w:rsidR="00E459E9" w:rsidRPr="00490C1F">
      <w:pPr>
        <w:pStyle w:val="BodyText"/>
        <w:bidi w:val="0"/>
        <w:spacing w:before="120" w:line="276" w:lineRule="auto"/>
        <w:ind w:firstLine="708"/>
        <w:rPr>
          <w:rFonts w:ascii="Book Antiqua" w:hAnsi="Book Antiqua"/>
          <w:bCs/>
          <w:sz w:val="22"/>
          <w:szCs w:val="22"/>
          <w:lang w:val="sk-SK" w:eastAsia="x-none"/>
        </w:rPr>
      </w:pPr>
      <w:r w:rsidRPr="00490C1F">
        <w:rPr>
          <w:rFonts w:ascii="Book Antiqua" w:hAnsi="Book Antiqua"/>
          <w:bCs/>
          <w:sz w:val="22"/>
          <w:szCs w:val="22"/>
          <w:lang w:val="sk-SK" w:eastAsia="x-none"/>
        </w:rPr>
        <w:t>Zákon Národnej rady Slovenskej republiky č. 350/1996 Z. z. o rokovacom poriadku Národnej rady Slovenskej republiky v znení nálezu Ústavného súdu Slovenskej republiky č. 77/1998 Z. z., zákona č. 86/2000 Z. z., zákona č. 138/2002 Z. z., zákona č. 100/2003 Z. z., zákona č. 551/2003 Z. z., zákona č. 215/2004 Z. z., zákona č. 360/2004 Z. z., zákona č. 253/2005 Z. z., nálezu Ústavného súdu Slovenskej republiky č. 320/2005 Z. z., zákona č. 261/2006 Z. z., zákona č. 199/2007 Z. z., zákona č. 400/2009 Z. z., zákona č. 38/2010 Z. z., zákona č. 153/2011 Z. z., zákona č. 187/2011 Z. z., uznesenia Ústavného súdu Slovenskej republiky č. 191/2011 Z. z., uznesenia Ústavného súdu Slovenskej republiky č. 237/2011 Z. z., zákona č. 69/2012 Z. z., zákona č. 79/2012 Z. z., zákona č. 236/2012 Z. z., zákona č. 296/2012 Z. z., zákona č. 330/2012 Z. z., zákona č. 309/2013 Z. z. a zákona č. 402/2013 Z. z. sa mení a dopĺňa takto:</w:t>
      </w:r>
    </w:p>
    <w:p w:rsidR="00E459E9" w:rsidRPr="00490C1F">
      <w:pPr>
        <w:pStyle w:val="BodyText"/>
        <w:numPr>
          <w:numId w:val="15"/>
        </w:numPr>
        <w:bidi w:val="0"/>
        <w:spacing w:before="120" w:line="276" w:lineRule="auto"/>
        <w:rPr>
          <w:rFonts w:ascii="Book Antiqua" w:hAnsi="Book Antiqua"/>
          <w:bCs/>
          <w:sz w:val="22"/>
          <w:szCs w:val="22"/>
          <w:lang w:val="sk-SK" w:eastAsia="x-none"/>
        </w:rPr>
      </w:pPr>
      <w:r w:rsidRPr="00490C1F">
        <w:rPr>
          <w:rFonts w:ascii="Book Antiqua" w:hAnsi="Book Antiqua"/>
          <w:bCs/>
          <w:sz w:val="22"/>
          <w:szCs w:val="22"/>
          <w:lang w:val="sk-SK" w:eastAsia="x-none"/>
        </w:rPr>
        <w:t>§ 29 sa dopĺňa odsekom 4, ktorý znie:</w:t>
      </w:r>
    </w:p>
    <w:p w:rsidR="00E459E9" w:rsidRPr="00490C1F">
      <w:pPr>
        <w:pStyle w:val="BodyText"/>
        <w:bidi w:val="0"/>
        <w:spacing w:before="120" w:line="276" w:lineRule="auto"/>
        <w:ind w:left="720"/>
        <w:rPr>
          <w:rFonts w:ascii="Book Antiqua" w:hAnsi="Book Antiqua"/>
          <w:bCs/>
          <w:sz w:val="22"/>
          <w:szCs w:val="22"/>
          <w:lang w:val="sk-SK" w:eastAsia="x-none"/>
        </w:rPr>
      </w:pPr>
      <w:r w:rsidRPr="00490C1F">
        <w:rPr>
          <w:rFonts w:ascii="Book Antiqua" w:hAnsi="Book Antiqua"/>
          <w:bCs/>
          <w:sz w:val="22"/>
          <w:szCs w:val="22"/>
          <w:lang w:val="sk-SK" w:eastAsia="x-none"/>
        </w:rPr>
        <w:t>„(4) Poslanec alebo navrhovateľ po podaní pozmeňujúceho alebo doplňujúceho návrhu, ktorý podľa práva Európskej únie podlieha povinnej konzultácii s inštitúciami Európskej únie</w:t>
      </w:r>
      <w:r w:rsidR="00490C1F">
        <w:rPr>
          <w:rFonts w:ascii="Book Antiqua" w:hAnsi="Book Antiqua"/>
          <w:bCs/>
          <w:sz w:val="22"/>
          <w:szCs w:val="22"/>
          <w:vertAlign w:val="superscript"/>
          <w:lang w:val="sk-SK" w:eastAsia="x-none"/>
        </w:rPr>
        <w:t>33a)</w:t>
      </w:r>
      <w:r w:rsidRPr="00490C1F">
        <w:rPr>
          <w:rFonts w:ascii="Book Antiqua" w:hAnsi="Book Antiqua"/>
          <w:bCs/>
          <w:sz w:val="22"/>
          <w:szCs w:val="22"/>
          <w:lang w:val="sk-SK" w:eastAsia="x-none"/>
        </w:rPr>
        <w:t>, môže navrhnúť prerušenie prerokúvania veci až dovtedy, kým k nim nezaujme stanovisko príslušná inštitúcia Európskej únie. O návrhu na prerušenie prerokúvania bodu programu schôdze rozhodne národná rada bez rozpravy. Na podávanie pozmeňujúcich a doplňujúcich návrhov sa primerane použije ustanovenie § 68 ods. 6.“.</w:t>
      </w:r>
    </w:p>
    <w:p w:rsidR="00E459E9" w:rsidRPr="00490C1F">
      <w:pPr>
        <w:pStyle w:val="BodyText"/>
        <w:bidi w:val="0"/>
        <w:spacing w:before="120" w:line="276" w:lineRule="auto"/>
        <w:ind w:left="720"/>
        <w:rPr>
          <w:rFonts w:ascii="Book Antiqua" w:hAnsi="Book Antiqua"/>
          <w:bCs/>
          <w:sz w:val="22"/>
          <w:szCs w:val="22"/>
          <w:lang w:val="sk-SK" w:eastAsia="x-none"/>
        </w:rPr>
      </w:pPr>
      <w:r w:rsidRPr="00490C1F">
        <w:rPr>
          <w:rFonts w:ascii="Book Antiqua" w:hAnsi="Book Antiqua"/>
          <w:bCs/>
          <w:sz w:val="22"/>
          <w:szCs w:val="22"/>
          <w:lang w:val="sk-SK" w:eastAsia="x-none"/>
        </w:rPr>
        <w:t>Poznámka pod čiarou k odkazu 33a znie:</w:t>
      </w:r>
    </w:p>
    <w:p w:rsidR="00E459E9" w:rsidRPr="00490C1F">
      <w:pPr>
        <w:pStyle w:val="BodyText"/>
        <w:bidi w:val="0"/>
        <w:spacing w:before="120" w:line="276" w:lineRule="auto"/>
        <w:ind w:left="720"/>
        <w:rPr>
          <w:rFonts w:ascii="Book Antiqua" w:hAnsi="Book Antiqua"/>
          <w:bCs/>
          <w:sz w:val="22"/>
          <w:szCs w:val="22"/>
          <w:lang w:val="sk-SK" w:eastAsia="x-none"/>
        </w:rPr>
      </w:pPr>
      <w:r w:rsidRPr="00490C1F">
        <w:rPr>
          <w:rFonts w:ascii="Book Antiqua" w:hAnsi="Book Antiqua"/>
          <w:bCs/>
          <w:sz w:val="22"/>
          <w:szCs w:val="22"/>
          <w:lang w:val="sk-SK" w:eastAsia="x-none"/>
        </w:rPr>
        <w:t>„</w:t>
      </w:r>
      <w:r w:rsidRPr="00490C1F">
        <w:rPr>
          <w:rFonts w:ascii="Book Antiqua" w:hAnsi="Book Antiqua"/>
          <w:bCs/>
          <w:sz w:val="22"/>
          <w:szCs w:val="22"/>
          <w:vertAlign w:val="superscript"/>
          <w:lang w:val="sk-SK" w:eastAsia="x-none"/>
        </w:rPr>
        <w:t>33a</w:t>
      </w:r>
      <w:r w:rsidR="00490C1F">
        <w:rPr>
          <w:rFonts w:ascii="Book Antiqua" w:hAnsi="Book Antiqua"/>
          <w:bCs/>
          <w:sz w:val="22"/>
          <w:szCs w:val="22"/>
          <w:vertAlign w:val="superscript"/>
          <w:lang w:val="sk-SK" w:eastAsia="x-none"/>
        </w:rPr>
        <w:t>)</w:t>
      </w:r>
      <w:r w:rsidRPr="00490C1F">
        <w:rPr>
          <w:rFonts w:ascii="Book Antiqua" w:hAnsi="Book Antiqua"/>
          <w:bCs/>
          <w:sz w:val="22"/>
          <w:szCs w:val="22"/>
          <w:lang w:val="sk-SK" w:eastAsia="x-none"/>
        </w:rPr>
        <w:t xml:space="preserve"> Napríklad čl. 127 ods. 4 Zmluvy o fungovaní Európskej únie v platnom znení (Ú. v. EÚ, C 326, 26. 10. 2012), rozhodnutie Rady 98/415/ES z 29. júna 1998 o poradení sa vnútroštátnych orgánov s Európskou centrálnou bankou ohľadom návrhov právnych predpisov (Mimoriadne vydanie Ú. v. EÚ, kap. 01/zv. 01; </w:t>
      </w:r>
      <w:r w:rsidR="00490C1F">
        <w:rPr>
          <w:rFonts w:ascii="Book Antiqua" w:hAnsi="Book Antiqua"/>
          <w:sz w:val="22"/>
          <w:szCs w:val="26"/>
          <w:lang w:val="sk-SK" w:eastAsia="x-none"/>
        </w:rPr>
        <w:t xml:space="preserve">Ú. v. ES L 189, </w:t>
      </w:r>
      <w:r w:rsidRPr="00490C1F">
        <w:rPr>
          <w:rFonts w:ascii="Book Antiqua" w:hAnsi="Book Antiqua"/>
          <w:sz w:val="22"/>
          <w:szCs w:val="26"/>
          <w:lang w:val="sk-SK" w:eastAsia="x-none"/>
        </w:rPr>
        <w:t>3. 7. 1998</w:t>
      </w:r>
      <w:r w:rsidRPr="00490C1F">
        <w:rPr>
          <w:rFonts w:ascii="Book Antiqua" w:hAnsi="Book Antiqua"/>
          <w:bCs/>
          <w:sz w:val="22"/>
          <w:szCs w:val="22"/>
          <w:lang w:val="sk-SK" w:eastAsia="x-none"/>
        </w:rPr>
        <w:t>) v platnom znení, nariadenie</w:t>
      </w:r>
      <w:r w:rsidRPr="00490C1F">
        <w:rPr>
          <w:rFonts w:ascii="Book Antiqua" w:hAnsi="Book Antiqua" w:cs="Arial"/>
          <w:sz w:val="22"/>
          <w:szCs w:val="22"/>
          <w:lang w:val="sk-SK" w:eastAsia="x-none"/>
        </w:rPr>
        <w:t xml:space="preserve"> vlády Slovenskej republiky č. 453/2002 Z. z. o postupoch pri poskytovaní informácií v oblasti technických predpisov a technických noriem.“.</w:t>
      </w:r>
    </w:p>
    <w:p w:rsidR="00E459E9" w:rsidRPr="00490C1F">
      <w:pPr>
        <w:pStyle w:val="BodyText"/>
        <w:bidi w:val="0"/>
        <w:spacing w:before="120" w:line="276" w:lineRule="auto"/>
        <w:ind w:left="720"/>
        <w:rPr>
          <w:rFonts w:ascii="Book Antiqua" w:hAnsi="Book Antiqua"/>
          <w:bCs/>
          <w:sz w:val="22"/>
          <w:szCs w:val="22"/>
          <w:lang w:val="sk-SK" w:eastAsia="x-none"/>
        </w:rPr>
      </w:pPr>
    </w:p>
    <w:p w:rsidR="00E459E9" w:rsidRPr="00490C1F">
      <w:pPr>
        <w:pStyle w:val="BodyText"/>
        <w:numPr>
          <w:numId w:val="15"/>
        </w:numPr>
        <w:bidi w:val="0"/>
        <w:spacing w:before="120" w:line="276" w:lineRule="auto"/>
        <w:rPr>
          <w:rFonts w:ascii="Book Antiqua" w:hAnsi="Book Antiqua"/>
          <w:bCs/>
          <w:sz w:val="22"/>
          <w:szCs w:val="22"/>
          <w:lang w:val="sk-SK" w:eastAsia="x-none"/>
        </w:rPr>
      </w:pPr>
      <w:r w:rsidRPr="00490C1F">
        <w:rPr>
          <w:rFonts w:ascii="Book Antiqua" w:hAnsi="Book Antiqua"/>
          <w:bCs/>
          <w:sz w:val="22"/>
          <w:szCs w:val="22"/>
          <w:lang w:val="sk-SK" w:eastAsia="x-none"/>
        </w:rPr>
        <w:t>§ 68 sa dopĺňa odsekom 6, ktorý znie:</w:t>
      </w:r>
    </w:p>
    <w:p w:rsidR="00E459E9" w:rsidRPr="00490C1F" w:rsidP="00B56579">
      <w:pPr>
        <w:pStyle w:val="BodyText"/>
        <w:bidi w:val="0"/>
        <w:spacing w:before="120" w:line="276" w:lineRule="auto"/>
        <w:ind w:left="720"/>
        <w:rPr>
          <w:rFonts w:ascii="Book Antiqua" w:hAnsi="Book Antiqua"/>
          <w:bCs/>
          <w:sz w:val="22"/>
          <w:szCs w:val="22"/>
          <w:lang w:val="sk-SK" w:eastAsia="x-none"/>
        </w:rPr>
      </w:pPr>
      <w:r w:rsidRPr="00490C1F">
        <w:rPr>
          <w:rFonts w:ascii="Book Antiqua" w:hAnsi="Book Antiqua"/>
          <w:bCs/>
          <w:sz w:val="22"/>
          <w:szCs w:val="22"/>
          <w:lang w:val="sk-SK" w:eastAsia="x-none"/>
        </w:rPr>
        <w:t>„(6) Ak návrh zákona podlieha podľa práva Európskej únie povinnej konzultácii s inštitúciami Európskej únie</w:t>
      </w:r>
      <w:r w:rsidR="00490C1F">
        <w:rPr>
          <w:rFonts w:ascii="Book Antiqua" w:hAnsi="Book Antiqua"/>
          <w:bCs/>
          <w:sz w:val="22"/>
          <w:szCs w:val="22"/>
          <w:vertAlign w:val="superscript"/>
          <w:lang w:val="sk-SK" w:eastAsia="x-none"/>
        </w:rPr>
        <w:t>33a)</w:t>
      </w:r>
      <w:r w:rsidRPr="00490C1F">
        <w:rPr>
          <w:rFonts w:ascii="Book Antiqua" w:hAnsi="Book Antiqua"/>
          <w:bCs/>
          <w:sz w:val="22"/>
          <w:szCs w:val="22"/>
          <w:lang w:val="sk-SK" w:eastAsia="x-none"/>
        </w:rPr>
        <w:t>, náležitosťou návrhu zákona je aj stanovisko príslušnej inštitúcie Európskej únie k návrhu zákona. Ak takýto návrh zákona podáva výbor alebo poslanec, na ich požiadanie zabezpečí kancelária uskutočnenie povinnej konzultácie k návrhu zákona s príslušnou inštitúciou Európskej únie.</w:t>
      </w:r>
      <w:r w:rsidRPr="00490C1F">
        <w:rPr>
          <w:rFonts w:ascii="Book Antiqua" w:hAnsi="Book Antiqua"/>
          <w:bCs/>
          <w:sz w:val="22"/>
          <w:szCs w:val="22"/>
          <w:vertAlign w:val="superscript"/>
          <w:lang w:val="sk-SK" w:eastAsia="x-none"/>
        </w:rPr>
        <w:t>33a</w:t>
      </w:r>
      <w:r w:rsidR="00490C1F">
        <w:rPr>
          <w:rFonts w:ascii="Book Antiqua" w:hAnsi="Book Antiqua"/>
          <w:bCs/>
          <w:sz w:val="22"/>
          <w:szCs w:val="22"/>
          <w:vertAlign w:val="superscript"/>
          <w:lang w:val="sk-SK" w:eastAsia="x-none"/>
        </w:rPr>
        <w:t>)</w:t>
      </w:r>
      <w:r w:rsidR="00B56579">
        <w:rPr>
          <w:rFonts w:ascii="Book Antiqua" w:hAnsi="Book Antiqua"/>
          <w:bCs/>
          <w:sz w:val="22"/>
          <w:szCs w:val="22"/>
          <w:lang w:val="sk-SK" w:eastAsia="x-none"/>
        </w:rPr>
        <w:t>“.</w:t>
      </w:r>
    </w:p>
    <w:p w:rsidR="00E459E9" w:rsidRPr="00490C1F">
      <w:pPr>
        <w:pStyle w:val="BodyText"/>
        <w:bidi w:val="0"/>
        <w:spacing w:before="120" w:line="276" w:lineRule="auto"/>
        <w:rPr>
          <w:rFonts w:ascii="Book Antiqua" w:hAnsi="Book Antiqua"/>
          <w:bCs/>
          <w:sz w:val="22"/>
          <w:szCs w:val="22"/>
          <w:lang w:val="sk-SK" w:eastAsia="x-none"/>
        </w:rPr>
      </w:pPr>
    </w:p>
    <w:p w:rsidR="00E459E9" w:rsidRPr="00490C1F">
      <w:pPr>
        <w:pStyle w:val="BodyText"/>
        <w:bidi w:val="0"/>
        <w:spacing w:before="120" w:line="276" w:lineRule="auto"/>
        <w:rPr>
          <w:rFonts w:ascii="Book Antiqua" w:hAnsi="Book Antiqua"/>
          <w:bCs/>
          <w:sz w:val="22"/>
          <w:szCs w:val="22"/>
          <w:lang w:val="sk-SK" w:eastAsia="x-none"/>
        </w:rPr>
      </w:pPr>
    </w:p>
    <w:p w:rsidR="00E459E9" w:rsidRPr="00490C1F">
      <w:pPr>
        <w:bidi w:val="0"/>
        <w:spacing w:before="120" w:line="276" w:lineRule="auto"/>
        <w:jc w:val="center"/>
        <w:rPr>
          <w:rFonts w:ascii="Book Antiqua" w:hAnsi="Book Antiqua"/>
          <w:b/>
          <w:bCs/>
          <w:sz w:val="22"/>
          <w:szCs w:val="22"/>
        </w:rPr>
      </w:pPr>
      <w:r w:rsidRPr="00490C1F">
        <w:rPr>
          <w:rFonts w:ascii="Book Antiqua" w:hAnsi="Book Antiqua"/>
          <w:b/>
          <w:bCs/>
          <w:sz w:val="22"/>
          <w:szCs w:val="22"/>
        </w:rPr>
        <w:t>Čl. II</w:t>
      </w:r>
    </w:p>
    <w:p w:rsidR="00E459E9" w:rsidRPr="00490C1F">
      <w:pPr>
        <w:pStyle w:val="BodyText"/>
        <w:bidi w:val="0"/>
        <w:spacing w:before="120" w:line="276" w:lineRule="auto"/>
        <w:ind w:firstLine="708"/>
        <w:jc w:val="left"/>
        <w:rPr>
          <w:rFonts w:ascii="Book Antiqua" w:hAnsi="Book Antiqua"/>
          <w:sz w:val="22"/>
          <w:szCs w:val="22"/>
          <w:lang w:val="sk-SK" w:eastAsia="x-none"/>
        </w:rPr>
      </w:pPr>
      <w:r w:rsidRPr="00490C1F">
        <w:rPr>
          <w:rFonts w:ascii="Book Antiqua" w:hAnsi="Book Antiqua"/>
          <w:sz w:val="22"/>
          <w:szCs w:val="22"/>
          <w:lang w:val="sk-SK" w:eastAsia="x-none"/>
        </w:rPr>
        <w:t>Tento záko</w:t>
      </w:r>
      <w:r w:rsidR="00CA424E">
        <w:rPr>
          <w:rFonts w:ascii="Book Antiqua" w:hAnsi="Book Antiqua"/>
          <w:sz w:val="22"/>
          <w:szCs w:val="22"/>
          <w:lang w:val="sk-SK" w:eastAsia="x-none"/>
        </w:rPr>
        <w:t>n nadobúda účinnosť 1. decembra</w:t>
      </w:r>
      <w:r w:rsidRPr="00490C1F">
        <w:rPr>
          <w:rFonts w:ascii="Book Antiqua" w:hAnsi="Book Antiqua"/>
          <w:sz w:val="22"/>
          <w:szCs w:val="22"/>
          <w:lang w:val="sk-SK" w:eastAsia="x-none"/>
        </w:rPr>
        <w:t xml:space="preserve"> 2014.</w:t>
      </w:r>
    </w:p>
    <w:p w:rsidR="00E459E9" w:rsidRPr="00490C1F">
      <w:pPr>
        <w:pStyle w:val="BodyText"/>
        <w:bidi w:val="0"/>
        <w:spacing w:before="120" w:line="276" w:lineRule="auto"/>
        <w:jc w:val="left"/>
        <w:rPr>
          <w:rFonts w:ascii="Book Antiqua" w:hAnsi="Book Antiqua"/>
          <w:sz w:val="22"/>
          <w:szCs w:val="22"/>
          <w:lang w:val="sk-SK" w:eastAsia="x-none"/>
        </w:rPr>
      </w:pPr>
    </w:p>
    <w:sectPr>
      <w:pgSz w:w="11906" w:h="16838"/>
      <w:pgMar w:top="1417" w:right="1417" w:bottom="1417" w:left="1417" w:header="709" w:footer="709" w:gutter="0"/>
      <w:lnNumType w:distance="0"/>
      <w:cols w:space="709"/>
      <w:noEndnote w:val="0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Book Antiqua">
    <w:panose1 w:val="02040602050305030304"/>
    <w:charset w:val="EE"/>
    <w:family w:val="roman"/>
    <w:pitch w:val="variable"/>
    <w:sig w:usb0="00000000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C68E4"/>
    <w:multiLevelType w:val="hybridMultilevel"/>
    <w:tmpl w:val="C6E8338C"/>
    <w:lvl w:ilvl="0">
      <w:start w:val="2"/>
      <w:numFmt w:val="decimal"/>
      <w:lvlText w:val="%1"/>
      <w:lvlJc w:val="left"/>
      <w:pPr>
        <w:ind w:left="1068" w:hanging="360"/>
      </w:pPr>
      <w:rPr>
        <w:rFonts w:cs="Times New Roman" w:hint="default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1">
    <w:nsid w:val="1229673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rtl w:val="0"/>
        <w:cs w:val="0"/>
      </w:rPr>
    </w:lvl>
  </w:abstractNum>
  <w:abstractNum w:abstractNumId="2">
    <w:nsid w:val="1B5F530D"/>
    <w:multiLevelType w:val="multilevel"/>
    <w:tmpl w:val="A472187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1B8442D4"/>
    <w:multiLevelType w:val="multilevel"/>
    <w:tmpl w:val="9AE01AF8"/>
    <w:lvl w:ilvl="0">
      <w:start w:val="1"/>
      <w:numFmt w:val="upperLetter"/>
      <w:pStyle w:val="Nadpis1orobas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  <w:rtl w:val="0"/>
        <w:cs w:val="0"/>
      </w:rPr>
    </w:lvl>
    <w:lvl w:ilvl="1">
      <w:start w:val="1"/>
      <w:numFmt w:val="decimal"/>
      <w:pStyle w:val="Nadpis2loha"/>
      <w:lvlText w:val="%1.%2.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rtl w:val="0"/>
        <w:cs w:val="0"/>
      </w:rPr>
    </w:lvl>
    <w:lvl w:ilvl="2">
      <w:start w:val="1"/>
      <w:numFmt w:val="none"/>
      <w:lvlRestart w:val="0"/>
      <w:pStyle w:val="Nadpis3Podloha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rtl w:val="0"/>
        <w:cs w:val="0"/>
      </w:rPr>
    </w:lvl>
    <w:lvl w:ilvl="3">
      <w:start w:val="1"/>
      <w:numFmt w:val="none"/>
      <w:pStyle w:val="Nadpis4Termn"/>
      <w:lvlText w:val="%4"/>
      <w:lvlJc w:val="left"/>
      <w:pPr>
        <w:tabs>
          <w:tab w:val="num" w:pos="1418"/>
        </w:tabs>
        <w:ind w:left="1418" w:hanging="1418"/>
      </w:pPr>
      <w:rPr>
        <w:rFonts w:ascii="Times New Roman" w:hAnsi="Times New Roman" w:cs="Times New Roman" w:hint="default"/>
        <w:b w:val="0"/>
        <w:bCs w:val="0"/>
        <w:i/>
        <w:iCs/>
        <w:sz w:val="24"/>
        <w:szCs w:val="24"/>
        <w:rtl w:val="0"/>
        <w:cs w:val="0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  <w:rtl w:val="0"/>
        <w:cs w:val="0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  <w:rtl w:val="0"/>
        <w:cs w:val="0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  <w:rtl w:val="0"/>
        <w:cs w:val="0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  <w:rtl w:val="0"/>
        <w:cs w:val="0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  <w:rtl w:val="0"/>
        <w:cs w:val="0"/>
      </w:rPr>
    </w:lvl>
  </w:abstractNum>
  <w:abstractNum w:abstractNumId="4">
    <w:nsid w:val="1BCB72C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rtl w:val="0"/>
        <w:cs w:val="0"/>
      </w:rPr>
    </w:lvl>
  </w:abstractNum>
  <w:abstractNum w:abstractNumId="5">
    <w:nsid w:val="22597A44"/>
    <w:multiLevelType w:val="multilevel"/>
    <w:tmpl w:val="38CAF8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  <w:rtl w:val="0"/>
        <w:cs w:val="0"/>
      </w:rPr>
    </w:lvl>
  </w:abstractNum>
  <w:abstractNum w:abstractNumId="6">
    <w:nsid w:val="3D38608A"/>
    <w:multiLevelType w:val="hybridMultilevel"/>
    <w:tmpl w:val="C40454EC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">
    <w:nsid w:val="3E063891"/>
    <w:multiLevelType w:val="hybridMultilevel"/>
    <w:tmpl w:val="2C3E9BC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8">
    <w:nsid w:val="4284074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rtl w:val="0"/>
        <w:cs w:val="0"/>
      </w:rPr>
    </w:lvl>
  </w:abstractNum>
  <w:abstractNum w:abstractNumId="9">
    <w:nsid w:val="44B92EF6"/>
    <w:multiLevelType w:val="hybridMultilevel"/>
    <w:tmpl w:val="2700AA7C"/>
    <w:lvl w:ilvl="0">
      <w:start w:val="3"/>
      <w:numFmt w:val="decimal"/>
      <w:lvlText w:val="(%1)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10">
    <w:nsid w:val="4DFD37A0"/>
    <w:multiLevelType w:val="hybridMultilevel"/>
    <w:tmpl w:val="49D60AE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1">
    <w:nsid w:val="503F41E6"/>
    <w:multiLevelType w:val="hybridMultilevel"/>
    <w:tmpl w:val="0DF0F92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2">
    <w:nsid w:val="50A346BB"/>
    <w:multiLevelType w:val="hybridMultilevel"/>
    <w:tmpl w:val="B652FF3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3">
    <w:nsid w:val="69280016"/>
    <w:multiLevelType w:val="multilevel"/>
    <w:tmpl w:val="C76630A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14">
    <w:nsid w:val="7B14722A"/>
    <w:multiLevelType w:val="multilevel"/>
    <w:tmpl w:val="2DEC20BA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1"/>
  </w:num>
  <w:num w:numId="5">
    <w:abstractNumId w:val="2"/>
  </w:num>
  <w:num w:numId="6">
    <w:abstractNumId w:val="13"/>
  </w:num>
  <w:num w:numId="7">
    <w:abstractNumId w:val="14"/>
  </w:num>
  <w:num w:numId="8">
    <w:abstractNumId w:val="4"/>
  </w:num>
  <w:num w:numId="9">
    <w:abstractNumId w:val="0"/>
  </w:num>
  <w:num w:numId="10">
    <w:abstractNumId w:val="12"/>
  </w:num>
  <w:num w:numId="11">
    <w:abstractNumId w:val="6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490C1F"/>
    <w:rsid w:val="00147E55"/>
    <w:rsid w:val="00490C1F"/>
    <w:rsid w:val="00B56579"/>
    <w:rsid w:val="00CA424E"/>
    <w:rsid w:val="00E459E9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/>
      <w:autoSpaceDE w:val="0"/>
      <w:autoSpaceDN w:val="0"/>
      <w:adjustRightInd/>
      <w:ind w:left="0" w:right="0"/>
      <w:jc w:val="left"/>
      <w:textAlignment w:val="auto"/>
    </w:pPr>
    <w:rPr>
      <w:rFonts w:cs="Times New Roman"/>
      <w:sz w:val="20"/>
      <w:szCs w:val="20"/>
      <w:rtl w:val="0"/>
      <w:cs w:val="0"/>
      <w:lang w:val="sk-SK" w:eastAsia="sk-SK" w:bidi="ar-SA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tabs>
        <w:tab w:val="num" w:pos="3240"/>
      </w:tabs>
      <w:spacing w:before="240" w:after="60"/>
      <w:ind w:left="2880"/>
      <w:jc w:val="left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tabs>
        <w:tab w:val="num" w:pos="3960"/>
      </w:tabs>
      <w:spacing w:before="240" w:after="60"/>
      <w:ind w:left="3600"/>
      <w:jc w:val="left"/>
      <w:outlineLvl w:val="5"/>
    </w:pPr>
    <w:rPr>
      <w:rFonts w:ascii="Calibri" w:hAnsi="Calibri"/>
      <w:b/>
      <w:bCs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tabs>
        <w:tab w:val="num" w:pos="4680"/>
      </w:tabs>
      <w:spacing w:before="240" w:after="60"/>
      <w:ind w:left="4320"/>
      <w:jc w:val="left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tabs>
        <w:tab w:val="num" w:pos="5400"/>
      </w:tabs>
      <w:spacing w:before="240" w:after="60"/>
      <w:ind w:left="5040"/>
      <w:jc w:val="left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tabs>
        <w:tab w:val="num" w:pos="6120"/>
      </w:tabs>
      <w:spacing w:before="240" w:after="60"/>
      <w:ind w:left="5760"/>
      <w:jc w:val="left"/>
      <w:outlineLvl w:val="8"/>
    </w:pPr>
    <w:rPr>
      <w:rFonts w:ascii="Calibri" w:hAnsi="Calibri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5Char">
    <w:name w:val="Nadpis 5 Char"/>
    <w:locked/>
    <w:rPr>
      <w:b/>
      <w:i/>
      <w:sz w:val="26"/>
    </w:rPr>
  </w:style>
  <w:style w:type="character" w:customStyle="1" w:styleId="Nadpis6Char">
    <w:name w:val="Nadpis 6 Char"/>
    <w:locked/>
    <w:rPr>
      <w:b/>
    </w:rPr>
  </w:style>
  <w:style w:type="character" w:customStyle="1" w:styleId="Nadpis7Char">
    <w:name w:val="Nadpis 7 Char"/>
    <w:locked/>
    <w:rPr>
      <w:sz w:val="24"/>
    </w:rPr>
  </w:style>
  <w:style w:type="character" w:customStyle="1" w:styleId="Nadpis8Char">
    <w:name w:val="Nadpis 8 Char"/>
    <w:locked/>
    <w:rPr>
      <w:i/>
      <w:sz w:val="24"/>
    </w:rPr>
  </w:style>
  <w:style w:type="character" w:customStyle="1" w:styleId="Nadpis9Char">
    <w:name w:val="Nadpis 9 Char"/>
    <w:locked/>
  </w:style>
  <w:style w:type="paragraph" w:customStyle="1" w:styleId="Nadpis1orobas">
    <w:name w:val="Nadpis 1.Čo robí (časť)"/>
    <w:basedOn w:val="Normal"/>
    <w:next w:val="Normal"/>
    <w:pPr>
      <w:keepNext/>
      <w:numPr>
        <w:numId w:val="1"/>
      </w:numPr>
      <w:tabs>
        <w:tab w:val="num" w:pos="567"/>
      </w:tabs>
      <w:spacing w:before="360"/>
      <w:ind w:left="567" w:hanging="567"/>
      <w:jc w:val="left"/>
      <w:outlineLvl w:val="0"/>
    </w:pPr>
    <w:rPr>
      <w:b/>
      <w:bCs/>
      <w:kern w:val="32"/>
      <w:sz w:val="28"/>
      <w:szCs w:val="28"/>
    </w:rPr>
  </w:style>
  <w:style w:type="paragraph" w:customStyle="1" w:styleId="Nadpis2loha">
    <w:name w:val="Nadpis 2.Úloha"/>
    <w:basedOn w:val="Normal"/>
    <w:pPr>
      <w:numPr>
        <w:ilvl w:val="1"/>
        <w:numId w:val="1"/>
      </w:numPr>
      <w:tabs>
        <w:tab w:val="num" w:pos="1418"/>
      </w:tabs>
      <w:spacing w:before="120"/>
      <w:ind w:left="1418" w:hanging="851"/>
      <w:jc w:val="both"/>
      <w:outlineLvl w:val="1"/>
    </w:pPr>
    <w:rPr>
      <w:sz w:val="24"/>
      <w:szCs w:val="24"/>
    </w:rPr>
  </w:style>
  <w:style w:type="paragraph" w:customStyle="1" w:styleId="Nadpis3Podloha">
    <w:name w:val="Nadpis 3.Podúloha"/>
    <w:basedOn w:val="Normal"/>
    <w:pPr>
      <w:keepNext/>
      <w:numPr>
        <w:ilvl w:val="2"/>
        <w:numId w:val="1"/>
      </w:numPr>
      <w:tabs>
        <w:tab w:val="num" w:pos="1418"/>
      </w:tabs>
      <w:spacing w:before="120"/>
      <w:ind w:left="2269" w:hanging="851"/>
      <w:jc w:val="left"/>
      <w:outlineLvl w:val="2"/>
    </w:pPr>
    <w:rPr>
      <w:sz w:val="24"/>
      <w:szCs w:val="24"/>
    </w:rPr>
  </w:style>
  <w:style w:type="paragraph" w:customStyle="1" w:styleId="Nadpis4Termn">
    <w:name w:val="Nadpis 4.Termín"/>
    <w:basedOn w:val="Normal"/>
    <w:next w:val="Nadpis2loha"/>
    <w:pPr>
      <w:numPr>
        <w:ilvl w:val="3"/>
        <w:numId w:val="1"/>
      </w:numPr>
      <w:tabs>
        <w:tab w:val="num" w:pos="1418"/>
      </w:tabs>
      <w:spacing w:before="120" w:after="120"/>
      <w:ind w:left="1418" w:hanging="1418"/>
      <w:jc w:val="left"/>
      <w:outlineLvl w:val="3"/>
    </w:pPr>
    <w:rPr>
      <w:i/>
      <w:iCs/>
      <w:sz w:val="24"/>
      <w:szCs w:val="24"/>
    </w:rPr>
  </w:style>
  <w:style w:type="paragraph" w:styleId="BodyText">
    <w:name w:val="Body Text"/>
    <w:basedOn w:val="Normal"/>
    <w:semiHidden/>
    <w:pPr>
      <w:jc w:val="both"/>
    </w:pPr>
  </w:style>
  <w:style w:type="character" w:customStyle="1" w:styleId="ZkladntextChar">
    <w:name w:val="Základný text Char"/>
    <w:locked/>
    <w:rPr>
      <w:rFonts w:ascii="Times New Roman" w:hAnsi="Times New Roman" w:cs="Times New Roman"/>
      <w:sz w:val="20"/>
    </w:rPr>
  </w:style>
  <w:style w:type="character" w:customStyle="1" w:styleId="Heading1CharorobasChar">
    <w:name w:val="Heading 1 Char.Čo robí (časť) Char"/>
    <w:rPr>
      <w:rFonts w:ascii="Times New Roman" w:hAnsi="Times New Roman" w:cs="Times New Roman"/>
      <w:b/>
      <w:kern w:val="32"/>
      <w:sz w:val="28"/>
      <w:lang w:val="x-none" w:eastAsia="x-none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  <w:pPr>
      <w:jc w:val="left"/>
    </w:pPr>
  </w:style>
  <w:style w:type="character" w:customStyle="1" w:styleId="TextkomentraChar">
    <w:name w:val="Text komentára Char"/>
    <w:locked/>
    <w:rPr>
      <w:rFonts w:ascii="Times New Roman" w:hAnsi="Times New Roman" w:cs="Times New Roman"/>
      <w:sz w:val="20"/>
    </w:rPr>
  </w:style>
  <w:style w:type="paragraph" w:styleId="BalloonText">
    <w:name w:val="Balloon Text"/>
    <w:basedOn w:val="Normal"/>
    <w:pPr>
      <w:jc w:val="left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ocked/>
    <w:rPr>
      <w:rFonts w:ascii="Tahoma" w:hAnsi="Tahoma" w:cs="Tahoma"/>
      <w:sz w:val="16"/>
    </w:rPr>
  </w:style>
  <w:style w:type="paragraph" w:styleId="CommentSubject">
    <w:name w:val="annotation subject"/>
    <w:basedOn w:val="CommentText"/>
    <w:next w:val="CommentText"/>
    <w:semiHidden/>
    <w:unhideWhenUsed/>
    <w:pPr>
      <w:jc w:val="left"/>
    </w:pPr>
    <w:rPr>
      <w:b/>
      <w:bCs/>
    </w:rPr>
  </w:style>
  <w:style w:type="character" w:customStyle="1" w:styleId="PredmetkomentraChar">
    <w:name w:val="Predmet komentára Char"/>
    <w:semiHidden/>
    <w:locked/>
    <w:rPr>
      <w:rFonts w:ascii="Times New Roman" w:hAnsi="Times New Roman" w:cs="Times New Roman"/>
      <w:b/>
      <w:sz w:val="20"/>
    </w:rPr>
  </w:style>
  <w:style w:type="paragraph" w:styleId="ListParagraph">
    <w:name w:val="List Paragraph"/>
    <w:basedOn w:val="Normal"/>
    <w:qFormat/>
    <w:pPr>
      <w:ind w:left="708"/>
      <w:jc w:val="left"/>
    </w:pPr>
  </w:style>
  <w:style w:type="paragraph" w:styleId="BodyText3">
    <w:name w:val="Body Text 3"/>
    <w:basedOn w:val="Normal"/>
    <w:semiHidden/>
    <w:unhideWhenUsed/>
    <w:pPr>
      <w:spacing w:after="120"/>
      <w:jc w:val="left"/>
    </w:pPr>
    <w:rPr>
      <w:sz w:val="16"/>
      <w:szCs w:val="16"/>
    </w:rPr>
  </w:style>
  <w:style w:type="character" w:customStyle="1" w:styleId="Zkladntext3Char">
    <w:name w:val="Základný text 3 Char"/>
    <w:semiHidden/>
    <w:rPr>
      <w:rFonts w:ascii="Times New Roman" w:hAnsi="Times New Roman" w:cs="Times New Roman"/>
      <w:sz w:val="16"/>
    </w:rPr>
  </w:style>
  <w:style w:type="paragraph" w:styleId="FootnoteText">
    <w:name w:val="footnote text"/>
    <w:basedOn w:val="Normal"/>
    <w:semiHidden/>
    <w:pPr>
      <w:autoSpaceDE/>
      <w:autoSpaceDN/>
      <w:jc w:val="left"/>
    </w:pPr>
  </w:style>
  <w:style w:type="character" w:customStyle="1" w:styleId="TextpoznmkypodiarouChar">
    <w:name w:val="Text poznámky pod čiarou Char"/>
    <w:semiHidden/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419</Words>
  <Characters>2394</Characters>
  <Application>Microsoft Office Word</Application>
  <DocSecurity>0</DocSecurity>
  <Lines>0</Lines>
  <Paragraphs>0</Paragraphs>
  <ScaleCrop>false</ScaleCrop>
  <Company>Nebo</Company>
  <LinksUpToDate>false</LinksUpToDate>
  <CharactersWithSpaces>2808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 RADA  SLOVENSKEJ  REPUBLIKY</dc:title>
  <dc:creator>Valaštínová</dc:creator>
  <cp:lastModifiedBy>Gašparíková, Jarmila</cp:lastModifiedBy>
  <cp:revision>2</cp:revision>
  <cp:lastPrinted>2014-04-08T14:38:00Z</cp:lastPrinted>
  <dcterms:created xsi:type="dcterms:W3CDTF">2014-08-22T12:48:00Z</dcterms:created>
  <dcterms:modified xsi:type="dcterms:W3CDTF">2014-08-22T12:48:00Z</dcterms:modified>
</cp:coreProperties>
</file>