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B25A6" w:rsidRPr="00A64D2D" w:rsidP="008B25A6">
      <w:pPr>
        <w:widowControl/>
        <w:bidi w:val="0"/>
        <w:jc w:val="center"/>
        <w:rPr>
          <w:rFonts w:ascii="Times New Roman" w:hAnsi="Times New Roman"/>
          <w:b/>
          <w:caps/>
          <w:color w:val="000000"/>
          <w:spacing w:val="30"/>
        </w:rPr>
      </w:pPr>
      <w:r w:rsidRPr="00A64D2D">
        <w:rPr>
          <w:rFonts w:ascii="Times New Roman" w:hAnsi="Times New Roman"/>
          <w:b/>
          <w:caps/>
          <w:color w:val="000000"/>
          <w:spacing w:val="30"/>
        </w:rPr>
        <w:t>Dôvodová správa</w:t>
      </w:r>
    </w:p>
    <w:p w:rsidR="008B25A6" w:rsidRPr="00A64D2D" w:rsidP="008B25A6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8B25A6" w:rsidRPr="00A64D2D" w:rsidP="008B25A6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8B25A6" w:rsidRPr="00A64D2D" w:rsidP="008B25A6">
      <w:pPr>
        <w:widowControl/>
        <w:bidi w:val="0"/>
        <w:jc w:val="both"/>
        <w:rPr>
          <w:rFonts w:ascii="Times New Roman" w:hAnsi="Times New Roman"/>
          <w:b/>
          <w:color w:val="000000"/>
        </w:rPr>
      </w:pPr>
      <w:r w:rsidRPr="00A64D2D">
        <w:rPr>
          <w:rFonts w:ascii="Times New Roman" w:hAnsi="Times New Roman"/>
          <w:b/>
          <w:color w:val="000000"/>
        </w:rPr>
        <w:t>A. Všeobecná časť</w:t>
      </w:r>
    </w:p>
    <w:p w:rsidR="008B25A6" w:rsidRPr="00A64D2D" w:rsidP="008B25A6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8B25A6" w:rsidRPr="00A64D2D">
      <w:pPr>
        <w:widowControl/>
        <w:bidi w:val="0"/>
        <w:jc w:val="both"/>
        <w:rPr>
          <w:rFonts w:ascii="Times New Roman" w:hAnsi="Times New Roman"/>
          <w:color w:val="000000"/>
        </w:rPr>
      </w:pPr>
      <w:r w:rsidR="00C0489E">
        <w:rPr>
          <w:rStyle w:val="PlaceholderText"/>
          <w:color w:val="000000"/>
        </w:rPr>
        <w:t>      Dôvodom na predloženie navrhovaného  zákona je  opätovné zavedenie tzv. zbraňovej amnestie, v dôsledku ktorej zaniká trestnosť nedovoleného ozbrojovania osobám, ktoré bez povolenia držia vymedzené strelné zbrane alebo strelivo do týchto zbraní a v zákonom ustanovenej lehote odovzdajú tieto zbrane alebo strelivo do úschovy Policajnému zboru.</w:t>
      </w:r>
    </w:p>
    <w:p w:rsidR="00C0489E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C0489E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 xml:space="preserve">     Cieľom zbraňovej amnestie je zníženie počtu nelegálne držaných zbraní a streliva a tým zníženie rizika, že sa týmito strelnými zbraňami bude páchať trestná činnosť, ako aj prípadná identifikácia zbraní, ktoré mohli byť použité v súvislosti s páchaním trestnej činnosti. </w:t>
      </w:r>
    </w:p>
    <w:p w:rsidR="00C0489E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C0489E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    Predložený návrh vychádza zo skúseností z predchádzajúcich zbraňových amnestií. Inštitút zbraňovej amnestie už bol v minulosti ustanovený zákonom  č. 132/2005 Z. z., ktorý nadobudol účinnosť 14. 4. 2005. Táto právna úprava vytvorila na časovo obmedzené obdobie 12 mesiacov možnosť dobrovoľne odovzdať strelnú zbraň ktorémukoľvek útvaru Policajného zboru s tým, že</w:t>
      </w:r>
      <w:r w:rsidR="007523ED">
        <w:rPr>
          <w:rStyle w:val="PlaceholderText"/>
          <w:color w:val="000000"/>
        </w:rPr>
        <w:t> </w:t>
      </w:r>
      <w:r>
        <w:rPr>
          <w:rStyle w:val="PlaceholderText"/>
          <w:color w:val="000000"/>
        </w:rPr>
        <w:t>počas tohto obdobia zanikla trestnosť nedovoleného ozbrojovania dobrovoľným odovzdaním strelnej zbrane. V priebehu týchto 12 mesiacov bolo celkovo odovzdaných 3490 zbraní, pričom v posledných týždňoch pred skončením 12 mesačného obdobia narastal počet odovzdaných zbraní. Tendenciu v rámci zbraňovej amnestie odovzdávať strelné zbrane a strelivo ešte zvýraznila tzv. druhá zbraňová amnestia, ktorá prebehla</w:t>
      </w:r>
      <w:r w:rsidR="007523ED">
        <w:rPr>
          <w:rStyle w:val="PlaceholderText"/>
          <w:color w:val="000000"/>
        </w:rPr>
        <w:t xml:space="preserve"> v rokoch 2009 a 2010 (zákon č. </w:t>
      </w:r>
      <w:r>
        <w:rPr>
          <w:rStyle w:val="PlaceholderText"/>
          <w:color w:val="000000"/>
        </w:rPr>
        <w:t>440/2009 Z. z.), v rámci ktorej počas siedmich mesiacov bolo odovzdaných celkovo</w:t>
      </w:r>
      <w:r w:rsidR="007523ED">
        <w:rPr>
          <w:rStyle w:val="PlaceholderText"/>
          <w:color w:val="000000"/>
        </w:rPr>
        <w:t xml:space="preserve"> </w:t>
      </w:r>
      <w:r>
        <w:rPr>
          <w:rStyle w:val="PlaceholderText"/>
          <w:color w:val="000000"/>
        </w:rPr>
        <w:t>4</w:t>
      </w:r>
      <w:r w:rsidR="007523ED">
        <w:rPr>
          <w:rStyle w:val="PlaceholderText"/>
          <w:color w:val="000000"/>
        </w:rPr>
        <w:t> </w:t>
      </w:r>
      <w:r>
        <w:rPr>
          <w:rStyle w:val="PlaceholderText"/>
          <w:color w:val="000000"/>
        </w:rPr>
        <w:t>368</w:t>
      </w:r>
      <w:r w:rsidR="007523ED">
        <w:rPr>
          <w:rStyle w:val="PlaceholderText"/>
          <w:color w:val="000000"/>
        </w:rPr>
        <w:t> </w:t>
      </w:r>
      <w:r>
        <w:rPr>
          <w:rStyle w:val="PlaceholderText"/>
          <w:color w:val="000000"/>
        </w:rPr>
        <w:t>zbraní.</w:t>
      </w:r>
    </w:p>
    <w:p w:rsidR="00C0489E">
      <w:pPr>
        <w:widowControl/>
        <w:bidi w:val="0"/>
        <w:ind w:firstLine="709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037797" w:rsidP="00037797">
      <w:pPr>
        <w:autoSpaceDE w:val="0"/>
        <w:autoSpaceDN w:val="0"/>
        <w:bidi w:val="0"/>
        <w:ind w:right="-6" w:firstLine="708"/>
        <w:jc w:val="both"/>
        <w:rPr>
          <w:rFonts w:ascii="TimesNewRomanPSMT" w:hAnsi="TimesNewRomanPSMT" w:cs="TimesNewRomanPSMT"/>
        </w:rPr>
      </w:pPr>
      <w:r w:rsidRPr="007C6D09">
        <w:rPr>
          <w:rFonts w:ascii="TimesNewRomanPSMT" w:hAnsi="TimesNewRomanPSMT" w:cs="TimesNewRomanPSMT"/>
        </w:rPr>
        <w:t>Návrh zákona bol podľa § 33 ods. 2 zákona č. 523/2004 Z. z. o rozpočtových pravidlách verejnej správy a o zmene a doplnení niektorých zákonov prerokovaný s Ministerstvom financií Slovenskej republiky.</w:t>
      </w:r>
    </w:p>
    <w:p w:rsidR="00037797" w:rsidP="00037797">
      <w:pPr>
        <w:autoSpaceDE w:val="0"/>
        <w:autoSpaceDN w:val="0"/>
        <w:bidi w:val="0"/>
        <w:ind w:right="-6" w:firstLine="708"/>
        <w:jc w:val="both"/>
        <w:rPr>
          <w:rStyle w:val="PlaceholderText"/>
          <w:color w:val="000000"/>
        </w:rPr>
      </w:pPr>
    </w:p>
    <w:p w:rsidR="00C0489E" w:rsidP="00037797">
      <w:pPr>
        <w:widowControl/>
        <w:bidi w:val="0"/>
        <w:jc w:val="both"/>
        <w:rPr>
          <w:rStyle w:val="PlaceholderText"/>
          <w:color w:val="000000"/>
        </w:rPr>
      </w:pPr>
      <w:r w:rsidR="00037797">
        <w:rPr>
          <w:rStyle w:val="PlaceholderText"/>
          <w:color w:val="000000"/>
        </w:rPr>
        <w:tab/>
      </w:r>
      <w:r>
        <w:rPr>
          <w:rStyle w:val="PlaceholderText"/>
          <w:color w:val="000000"/>
        </w:rPr>
        <w:t>Návrh zákona je v súlade s Ústavou Slovenskej r</w:t>
      </w:r>
      <w:r w:rsidR="00EB3F9C">
        <w:rPr>
          <w:rStyle w:val="PlaceholderText"/>
          <w:color w:val="000000"/>
        </w:rPr>
        <w:t>epubliky, s ostatnými zákonmi a </w:t>
      </w:r>
      <w:r>
        <w:rPr>
          <w:rStyle w:val="PlaceholderText"/>
          <w:color w:val="000000"/>
        </w:rPr>
        <w:t>medzinárodnými zmluvami, ktorými je Slovenská republika viazaná. </w:t>
      </w:r>
    </w:p>
    <w:p w:rsidR="0041014A" w:rsidP="00F51FAC">
      <w:pPr>
        <w:widowControl/>
        <w:bidi w:val="0"/>
        <w:spacing w:after="280" w:afterAutospacing="1"/>
        <w:jc w:val="both"/>
        <w:rPr>
          <w:rStyle w:val="PlaceholderText"/>
          <w:color w:val="000000"/>
        </w:rPr>
      </w:pPr>
    </w:p>
    <w:p w:rsidR="0041014A" w:rsidP="00F51FAC">
      <w:pPr>
        <w:widowControl/>
        <w:bidi w:val="0"/>
        <w:spacing w:after="280" w:afterAutospacing="1"/>
        <w:jc w:val="both"/>
        <w:rPr>
          <w:rStyle w:val="PlaceholderText"/>
          <w:color w:val="000000"/>
        </w:rPr>
      </w:pPr>
    </w:p>
    <w:p w:rsidR="0041014A" w:rsidP="00F51FAC">
      <w:pPr>
        <w:widowControl/>
        <w:bidi w:val="0"/>
        <w:spacing w:after="280" w:afterAutospacing="1"/>
        <w:jc w:val="both"/>
        <w:rPr>
          <w:rStyle w:val="PlaceholderText"/>
          <w:color w:val="000000"/>
        </w:rPr>
      </w:pPr>
    </w:p>
    <w:p w:rsidR="0041014A" w:rsidP="00F51FAC">
      <w:pPr>
        <w:widowControl/>
        <w:bidi w:val="0"/>
        <w:spacing w:after="280" w:afterAutospacing="1"/>
        <w:jc w:val="both"/>
        <w:rPr>
          <w:rStyle w:val="PlaceholderText"/>
          <w:color w:val="000000"/>
        </w:rPr>
      </w:pPr>
    </w:p>
    <w:p w:rsidR="0041014A" w:rsidP="00F51FAC">
      <w:pPr>
        <w:widowControl/>
        <w:bidi w:val="0"/>
        <w:spacing w:after="280" w:afterAutospacing="1"/>
        <w:jc w:val="both"/>
        <w:rPr>
          <w:rStyle w:val="PlaceholderText"/>
          <w:color w:val="000000"/>
        </w:rPr>
      </w:pPr>
    </w:p>
    <w:p w:rsidR="0041014A" w:rsidP="00F51FAC">
      <w:pPr>
        <w:widowControl/>
        <w:bidi w:val="0"/>
        <w:spacing w:after="280" w:afterAutospacing="1"/>
        <w:jc w:val="both"/>
        <w:rPr>
          <w:rStyle w:val="PlaceholderText"/>
          <w:color w:val="000000"/>
        </w:rPr>
      </w:pPr>
    </w:p>
    <w:p w:rsidR="0041014A" w:rsidP="00F51FAC">
      <w:pPr>
        <w:widowControl/>
        <w:bidi w:val="0"/>
        <w:spacing w:after="280" w:afterAutospacing="1"/>
        <w:jc w:val="both"/>
        <w:rPr>
          <w:rStyle w:val="PlaceholderText"/>
          <w:color w:val="000000"/>
        </w:rPr>
      </w:pPr>
    </w:p>
    <w:p w:rsidR="0041014A" w:rsidRPr="00351BD4" w:rsidP="0041014A">
      <w:pPr>
        <w:pageBreakBefore/>
        <w:bidi w:val="0"/>
        <w:jc w:val="center"/>
        <w:rPr>
          <w:rFonts w:ascii="Times New Roman" w:hAnsi="Times New Roman"/>
          <w:b/>
          <w:bCs/>
          <w:caps/>
          <w:spacing w:val="30"/>
        </w:rPr>
      </w:pPr>
      <w:r w:rsidRPr="00351BD4">
        <w:rPr>
          <w:rFonts w:ascii="Times New Roman" w:hAnsi="Times New Roman"/>
          <w:b/>
          <w:bCs/>
          <w:caps/>
          <w:spacing w:val="30"/>
        </w:rPr>
        <w:t>Doložka zlučiteľnosti</w:t>
      </w:r>
    </w:p>
    <w:p w:rsidR="0041014A" w:rsidRPr="00351BD4" w:rsidP="0041014A">
      <w:pPr>
        <w:bidi w:val="0"/>
        <w:jc w:val="center"/>
        <w:rPr>
          <w:rFonts w:ascii="Times New Roman" w:hAnsi="Times New Roman"/>
          <w:b/>
          <w:bCs/>
        </w:rPr>
      </w:pPr>
      <w:r w:rsidRPr="00351BD4">
        <w:rPr>
          <w:rFonts w:ascii="Times New Roman" w:hAnsi="Times New Roman"/>
          <w:b/>
          <w:bCs/>
        </w:rPr>
        <w:t>právneho predpisu s právom Európskej únie </w:t>
      </w:r>
    </w:p>
    <w:p w:rsidR="0041014A" w:rsidRPr="00351BD4" w:rsidP="0041014A">
      <w:pPr>
        <w:bidi w:val="0"/>
        <w:rPr>
          <w:rFonts w:ascii="Times New Roman" w:hAnsi="Times New Roman"/>
        </w:rPr>
      </w:pPr>
    </w:p>
    <w:p w:rsidR="0041014A" w:rsidRPr="00351BD4" w:rsidP="0041014A">
      <w:pPr>
        <w:bidi w:val="0"/>
        <w:rPr>
          <w:rFonts w:ascii="Times New Roman" w:hAnsi="Times New Roman"/>
        </w:rPr>
      </w:pPr>
    </w:p>
    <w:p w:rsidR="0041014A" w:rsidRPr="00351BD4" w:rsidP="0041014A">
      <w:pPr>
        <w:bidi w:val="0"/>
        <w:ind w:left="360" w:hanging="360"/>
        <w:jc w:val="both"/>
        <w:rPr>
          <w:rFonts w:ascii="Times New Roman" w:hAnsi="Times New Roman"/>
          <w:b/>
          <w:bCs/>
        </w:rPr>
      </w:pPr>
      <w:r w:rsidRPr="00351BD4">
        <w:rPr>
          <w:rFonts w:ascii="Times New Roman" w:hAnsi="Times New Roman"/>
          <w:b/>
          <w:bCs/>
        </w:rPr>
        <w:t>1.</w:t>
        <w:tab/>
        <w:t>Predkladateľ právneho predpisu:</w:t>
      </w:r>
      <w:r>
        <w:rPr>
          <w:rFonts w:ascii="Times New Roman" w:hAnsi="Times New Roman"/>
        </w:rPr>
        <w:t xml:space="preserve"> vláda Slovenskej republiky</w:t>
      </w:r>
      <w:r w:rsidRPr="00351BD4">
        <w:rPr>
          <w:rFonts w:ascii="Times New Roman" w:hAnsi="Times New Roman"/>
        </w:rPr>
        <w:t xml:space="preserve"> </w:t>
      </w:r>
    </w:p>
    <w:p w:rsidR="0041014A" w:rsidRPr="00351BD4" w:rsidP="0041014A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</w:rPr>
      </w:pPr>
      <w:r w:rsidRPr="00351BD4">
        <w:rPr>
          <w:rFonts w:ascii="Times New Roman" w:hAnsi="Times New Roman"/>
        </w:rPr>
        <w:t xml:space="preserve"> </w:t>
      </w:r>
    </w:p>
    <w:p w:rsidR="0041014A" w:rsidRPr="00351BD4" w:rsidP="0041014A">
      <w:pPr>
        <w:bidi w:val="0"/>
        <w:ind w:left="360" w:hanging="360"/>
        <w:jc w:val="both"/>
        <w:rPr>
          <w:rFonts w:ascii="Times New Roman" w:hAnsi="Times New Roman"/>
          <w:b/>
          <w:bCs/>
        </w:rPr>
      </w:pPr>
      <w:r w:rsidRPr="00351BD4">
        <w:rPr>
          <w:rFonts w:ascii="Times New Roman" w:hAnsi="Times New Roman"/>
          <w:b/>
          <w:bCs/>
        </w:rPr>
        <w:t>2.</w:t>
        <w:tab/>
        <w:t>Názov návrhu právneho predpisu:</w:t>
      </w:r>
      <w:r w:rsidRPr="00351BD4">
        <w:rPr>
          <w:rFonts w:ascii="Times New Roman" w:hAnsi="Times New Roman"/>
        </w:rPr>
        <w:t xml:space="preserve"> Návrh zákona, ktorým sa mení a dopĺňa zákon č. 190/2003 Z. z. o strelných zbraniach a strelive a o zmene </w:t>
      </w:r>
      <w:r w:rsidR="007523ED">
        <w:rPr>
          <w:rFonts w:ascii="Times New Roman" w:hAnsi="Times New Roman"/>
        </w:rPr>
        <w:t>a doplnení niektorých zákonov v </w:t>
      </w:r>
      <w:r w:rsidRPr="00351BD4">
        <w:rPr>
          <w:rFonts w:ascii="Times New Roman" w:hAnsi="Times New Roman"/>
        </w:rPr>
        <w:t>znení neskorších predpisov </w:t>
      </w:r>
    </w:p>
    <w:p w:rsidR="0041014A" w:rsidRPr="00351BD4" w:rsidP="0041014A">
      <w:pPr>
        <w:bidi w:val="0"/>
        <w:jc w:val="both"/>
        <w:rPr>
          <w:rFonts w:ascii="Times New Roman" w:hAnsi="Times New Roman"/>
        </w:rPr>
      </w:pPr>
    </w:p>
    <w:p w:rsidR="0041014A" w:rsidRPr="00351BD4" w:rsidP="0041014A">
      <w:pPr>
        <w:bidi w:val="0"/>
        <w:ind w:left="360" w:hanging="360"/>
        <w:jc w:val="both"/>
        <w:rPr>
          <w:rFonts w:ascii="Times New Roman" w:hAnsi="Times New Roman"/>
          <w:b/>
          <w:bCs/>
        </w:rPr>
      </w:pPr>
      <w:r w:rsidRPr="00351BD4">
        <w:rPr>
          <w:rFonts w:ascii="Times New Roman" w:hAnsi="Times New Roman"/>
          <w:b/>
          <w:bCs/>
        </w:rPr>
        <w:t>3.</w:t>
        <w:tab/>
        <w:t>Problematika návrhu právneho predpisu:</w:t>
      </w:r>
    </w:p>
    <w:p w:rsidR="0041014A" w:rsidRPr="00351BD4" w:rsidP="0041014A">
      <w:pPr>
        <w:bidi w:val="0"/>
        <w:ind w:firstLine="360"/>
        <w:jc w:val="both"/>
        <w:rPr>
          <w:rFonts w:ascii="Times New Roman" w:hAnsi="Times New Roman"/>
        </w:rPr>
      </w:pPr>
    </w:p>
    <w:p w:rsidR="0041014A" w:rsidRPr="00351BD4" w:rsidP="0041014A">
      <w:pPr>
        <w:bidi w:val="0"/>
        <w:ind w:left="709" w:hanging="349"/>
        <w:jc w:val="both"/>
        <w:rPr>
          <w:rFonts w:ascii="Times New Roman" w:hAnsi="Times New Roman"/>
        </w:rPr>
      </w:pPr>
      <w:r w:rsidRPr="00351BD4">
        <w:rPr>
          <w:rFonts w:ascii="Times New Roman" w:hAnsi="Times New Roman"/>
        </w:rPr>
        <w:t>a)</w:t>
        <w:tab/>
      </w:r>
      <w:r>
        <w:rPr>
          <w:rFonts w:ascii="Times New Roman" w:hAnsi="Times New Roman"/>
        </w:rPr>
        <w:t xml:space="preserve">nie </w:t>
      </w:r>
      <w:r w:rsidRPr="00351BD4">
        <w:rPr>
          <w:rFonts w:ascii="Times New Roman" w:hAnsi="Times New Roman"/>
        </w:rPr>
        <w:t xml:space="preserve">je upravená v práve </w:t>
      </w:r>
      <w:r w:rsidRPr="00455D89">
        <w:rPr>
          <w:rFonts w:ascii="Times New Roman" w:hAnsi="Times New Roman"/>
        </w:rPr>
        <w:t>Európskej únie</w:t>
      </w:r>
    </w:p>
    <w:p w:rsidR="0041014A" w:rsidRPr="00351BD4" w:rsidP="0041014A">
      <w:pPr>
        <w:bidi w:val="0"/>
        <w:ind w:left="360"/>
        <w:jc w:val="both"/>
        <w:rPr>
          <w:rFonts w:ascii="Times New Roman" w:hAnsi="Times New Roman"/>
        </w:rPr>
      </w:pPr>
    </w:p>
    <w:p w:rsidR="0041014A" w:rsidRPr="00351BD4" w:rsidP="0041014A">
      <w:pPr>
        <w:widowControl/>
        <w:numPr>
          <w:numId w:val="1"/>
        </w:numPr>
        <w:tabs>
          <w:tab w:val="left" w:pos="1068"/>
        </w:tabs>
        <w:bidi w:val="0"/>
        <w:jc w:val="both"/>
        <w:rPr>
          <w:rFonts w:ascii="Times New Roman" w:hAnsi="Times New Roman"/>
          <w:i/>
          <w:iCs/>
        </w:rPr>
      </w:pPr>
      <w:r w:rsidRPr="00351BD4">
        <w:rPr>
          <w:rFonts w:ascii="Times New Roman" w:hAnsi="Times New Roman"/>
          <w:i/>
          <w:iCs/>
        </w:rPr>
        <w:t>primárnom</w:t>
      </w:r>
    </w:p>
    <w:p w:rsidR="0041014A" w:rsidRPr="00351BD4" w:rsidP="0041014A">
      <w:pPr>
        <w:bidi w:val="0"/>
        <w:ind w:firstLine="360"/>
        <w:jc w:val="both"/>
        <w:rPr>
          <w:rFonts w:ascii="Times New Roman" w:hAnsi="Times New Roman"/>
        </w:rPr>
      </w:pPr>
    </w:p>
    <w:p w:rsidR="0041014A" w:rsidRPr="00351BD4" w:rsidP="0041014A">
      <w:pPr>
        <w:widowControl/>
        <w:numPr>
          <w:numId w:val="1"/>
        </w:numPr>
        <w:bidi w:val="0"/>
        <w:jc w:val="both"/>
        <w:rPr>
          <w:rFonts w:ascii="Times New Roman" w:hAnsi="Times New Roman"/>
          <w:i/>
          <w:iCs/>
        </w:rPr>
      </w:pPr>
      <w:r w:rsidRPr="00351BD4">
        <w:rPr>
          <w:rFonts w:ascii="Times New Roman" w:hAnsi="Times New Roman"/>
          <w:i/>
          <w:iCs/>
        </w:rPr>
        <w:t>sekundárnom</w:t>
      </w:r>
      <w:r w:rsidRPr="00351BD4">
        <w:rPr>
          <w:rFonts w:ascii="Times New Roman" w:hAnsi="Times New Roman"/>
        </w:rPr>
        <w:t xml:space="preserve"> (</w:t>
      </w:r>
      <w:r w:rsidRPr="00351BD4">
        <w:rPr>
          <w:rFonts w:ascii="Times New Roman" w:hAnsi="Times New Roman"/>
          <w:i/>
          <w:iCs/>
        </w:rPr>
        <w:t>prijatom pred nadobudnutím platnosti Lisabonskej zmluvy, ktorou sa mení a dopĺňa Zmluva o Európskej únii a Zmluva o založení Európskeho spoločenstva - do 30. novembra 2009)</w:t>
      </w:r>
    </w:p>
    <w:p w:rsidR="0041014A" w:rsidRPr="00351BD4" w:rsidP="0041014A">
      <w:pPr>
        <w:bidi w:val="0"/>
        <w:jc w:val="both"/>
        <w:rPr>
          <w:rFonts w:ascii="Times New Roman" w:hAnsi="Times New Roman"/>
        </w:rPr>
      </w:pPr>
    </w:p>
    <w:p w:rsidR="0041014A" w:rsidRPr="00351BD4" w:rsidP="0041014A">
      <w:pPr>
        <w:bidi w:val="0"/>
        <w:ind w:left="709" w:hanging="349"/>
        <w:jc w:val="both"/>
        <w:rPr>
          <w:rFonts w:ascii="Times New Roman" w:hAnsi="Times New Roman"/>
        </w:rPr>
      </w:pPr>
      <w:r w:rsidRPr="00351BD4">
        <w:rPr>
          <w:rFonts w:ascii="Times New Roman" w:hAnsi="Times New Roman"/>
        </w:rPr>
        <w:t>b)</w:t>
        <w:tab/>
        <w:t xml:space="preserve">nie je obsiahnutá v judikatúre Súdneho dvora </w:t>
      </w:r>
      <w:r w:rsidRPr="00455D89">
        <w:rPr>
          <w:rFonts w:ascii="Times New Roman" w:hAnsi="Times New Roman"/>
        </w:rPr>
        <w:t>Európskej únie.</w:t>
      </w:r>
    </w:p>
    <w:p w:rsidR="0041014A" w:rsidP="0041014A">
      <w:pPr>
        <w:bidi w:val="0"/>
        <w:ind w:left="360"/>
        <w:jc w:val="both"/>
        <w:rPr>
          <w:rFonts w:ascii="Times New Roman" w:hAnsi="Times New Roman"/>
        </w:rPr>
      </w:pPr>
    </w:p>
    <w:p w:rsidR="0041014A" w:rsidRPr="00351BD4" w:rsidP="0041014A">
      <w:pPr>
        <w:bidi w:val="0"/>
        <w:ind w:left="360"/>
        <w:jc w:val="both"/>
        <w:rPr>
          <w:rFonts w:ascii="Times New Roman" w:hAnsi="Times New Roman"/>
        </w:rPr>
      </w:pPr>
    </w:p>
    <w:p w:rsidR="0041014A" w:rsidRPr="00351BD4" w:rsidP="0041014A">
      <w:pPr>
        <w:bidi w:val="0"/>
        <w:ind w:firstLine="360"/>
        <w:jc w:val="both"/>
        <w:rPr>
          <w:rFonts w:ascii="Times New Roman" w:hAnsi="Times New Roman"/>
        </w:rPr>
      </w:pPr>
      <w:r w:rsidRPr="007445D0">
        <w:rPr>
          <w:rFonts w:ascii="Times New Roman" w:hAnsi="Times New Roman"/>
          <w:b/>
          <w:bCs/>
        </w:rPr>
        <w:t>Vzhľadom na vnútroštátny charakter navrhovaného právneho predpisu je</w:t>
      </w:r>
      <w:r>
        <w:rPr>
          <w:rFonts w:ascii="Times New Roman" w:hAnsi="Times New Roman"/>
          <w:b/>
          <w:bCs/>
        </w:rPr>
        <w:t xml:space="preserve"> </w:t>
      </w:r>
      <w:r w:rsidRPr="007445D0">
        <w:rPr>
          <w:rFonts w:ascii="Times New Roman" w:hAnsi="Times New Roman"/>
          <w:b/>
          <w:bCs/>
        </w:rPr>
        <w:t>bezpredmetné vyjadrovať sa k bodom 4., 5. a 6. doložky zlučiteľnosti.</w:t>
      </w:r>
    </w:p>
    <w:p w:rsidR="0041014A" w:rsidRPr="00351BD4" w:rsidP="0041014A">
      <w:pPr>
        <w:tabs>
          <w:tab w:val="left" w:pos="0"/>
        </w:tabs>
        <w:bidi w:val="0"/>
        <w:jc w:val="both"/>
        <w:rPr>
          <w:rFonts w:ascii="Times New Roman" w:hAnsi="Times New Roman"/>
          <w:b/>
          <w:bCs/>
        </w:rPr>
      </w:pPr>
      <w:r w:rsidRPr="00351BD4">
        <w:rPr>
          <w:rFonts w:ascii="Times New Roman" w:hAnsi="Times New Roman"/>
        </w:rPr>
        <w:br/>
      </w:r>
    </w:p>
    <w:p w:rsidR="0041014A" w:rsidRPr="00351BD4" w:rsidP="0041014A">
      <w:pPr>
        <w:tabs>
          <w:tab w:val="left" w:pos="0"/>
        </w:tabs>
        <w:bidi w:val="0"/>
        <w:jc w:val="both"/>
        <w:rPr>
          <w:rFonts w:ascii="Times New Roman" w:hAnsi="Times New Roman"/>
          <w:b/>
          <w:bCs/>
        </w:rPr>
      </w:pPr>
    </w:p>
    <w:p w:rsidR="0041014A" w:rsidP="0041014A">
      <w:pPr>
        <w:tabs>
          <w:tab w:val="left" w:pos="0"/>
        </w:tabs>
        <w:bidi w:val="0"/>
        <w:jc w:val="both"/>
        <w:rPr>
          <w:rFonts w:ascii="Times New Roman" w:hAnsi="Times New Roman"/>
          <w:b/>
          <w:bCs/>
        </w:rPr>
      </w:pPr>
    </w:p>
    <w:p w:rsidR="0041014A" w:rsidP="0041014A">
      <w:pPr>
        <w:tabs>
          <w:tab w:val="left" w:pos="0"/>
        </w:tabs>
        <w:bidi w:val="0"/>
        <w:jc w:val="both"/>
        <w:rPr>
          <w:rFonts w:ascii="Times New Roman" w:hAnsi="Times New Roman"/>
          <w:b/>
          <w:bCs/>
        </w:rPr>
      </w:pPr>
    </w:p>
    <w:p w:rsidR="0041014A" w:rsidP="0041014A">
      <w:pPr>
        <w:tabs>
          <w:tab w:val="left" w:pos="0"/>
        </w:tabs>
        <w:bidi w:val="0"/>
        <w:jc w:val="both"/>
        <w:rPr>
          <w:rFonts w:ascii="Times New Roman" w:hAnsi="Times New Roman"/>
          <w:b/>
          <w:bCs/>
        </w:rPr>
      </w:pPr>
    </w:p>
    <w:p w:rsidR="0041014A" w:rsidP="0041014A">
      <w:pPr>
        <w:tabs>
          <w:tab w:val="left" w:pos="0"/>
        </w:tabs>
        <w:bidi w:val="0"/>
        <w:jc w:val="both"/>
        <w:rPr>
          <w:rFonts w:ascii="Times New Roman" w:hAnsi="Times New Roman"/>
          <w:b/>
          <w:bCs/>
        </w:rPr>
      </w:pPr>
    </w:p>
    <w:p w:rsidR="0041014A" w:rsidP="0041014A">
      <w:pPr>
        <w:tabs>
          <w:tab w:val="left" w:pos="0"/>
        </w:tabs>
        <w:bidi w:val="0"/>
        <w:jc w:val="both"/>
        <w:rPr>
          <w:rFonts w:ascii="Times New Roman" w:hAnsi="Times New Roman"/>
          <w:b/>
          <w:bCs/>
        </w:rPr>
      </w:pPr>
    </w:p>
    <w:p w:rsidR="0041014A" w:rsidP="0041014A">
      <w:pPr>
        <w:tabs>
          <w:tab w:val="left" w:pos="0"/>
        </w:tabs>
        <w:bidi w:val="0"/>
        <w:jc w:val="both"/>
        <w:rPr>
          <w:rFonts w:ascii="Times New Roman" w:hAnsi="Times New Roman"/>
          <w:b/>
          <w:bCs/>
        </w:rPr>
      </w:pPr>
    </w:p>
    <w:p w:rsidR="0041014A" w:rsidP="0041014A">
      <w:pPr>
        <w:tabs>
          <w:tab w:val="left" w:pos="0"/>
        </w:tabs>
        <w:bidi w:val="0"/>
        <w:jc w:val="both"/>
        <w:rPr>
          <w:rFonts w:ascii="Times New Roman" w:hAnsi="Times New Roman"/>
          <w:b/>
          <w:bCs/>
        </w:rPr>
      </w:pPr>
    </w:p>
    <w:p w:rsidR="0041014A" w:rsidP="0041014A">
      <w:pPr>
        <w:tabs>
          <w:tab w:val="left" w:pos="0"/>
        </w:tabs>
        <w:bidi w:val="0"/>
        <w:jc w:val="both"/>
        <w:rPr>
          <w:rFonts w:ascii="Times New Roman" w:hAnsi="Times New Roman"/>
          <w:b/>
          <w:bCs/>
        </w:rPr>
      </w:pPr>
    </w:p>
    <w:p w:rsidR="0041014A" w:rsidP="0041014A">
      <w:pPr>
        <w:tabs>
          <w:tab w:val="left" w:pos="0"/>
        </w:tabs>
        <w:bidi w:val="0"/>
        <w:jc w:val="both"/>
        <w:rPr>
          <w:rFonts w:ascii="Times New Roman" w:hAnsi="Times New Roman"/>
          <w:b/>
          <w:bCs/>
        </w:rPr>
      </w:pPr>
    </w:p>
    <w:p w:rsidR="0041014A" w:rsidP="0041014A">
      <w:pPr>
        <w:tabs>
          <w:tab w:val="left" w:pos="0"/>
        </w:tabs>
        <w:bidi w:val="0"/>
        <w:jc w:val="both"/>
        <w:rPr>
          <w:rFonts w:ascii="Times New Roman" w:hAnsi="Times New Roman"/>
          <w:b/>
          <w:bCs/>
        </w:rPr>
      </w:pPr>
    </w:p>
    <w:p w:rsidR="0041014A" w:rsidP="0041014A">
      <w:pPr>
        <w:tabs>
          <w:tab w:val="left" w:pos="0"/>
        </w:tabs>
        <w:bidi w:val="0"/>
        <w:jc w:val="both"/>
        <w:rPr>
          <w:rFonts w:ascii="Times New Roman" w:hAnsi="Times New Roman"/>
          <w:b/>
          <w:bCs/>
        </w:rPr>
      </w:pPr>
    </w:p>
    <w:p w:rsidR="0041014A" w:rsidP="0041014A">
      <w:pPr>
        <w:tabs>
          <w:tab w:val="left" w:pos="0"/>
        </w:tabs>
        <w:bidi w:val="0"/>
        <w:jc w:val="both"/>
        <w:rPr>
          <w:rFonts w:ascii="Times New Roman" w:hAnsi="Times New Roman"/>
          <w:b/>
          <w:bCs/>
        </w:rPr>
      </w:pPr>
    </w:p>
    <w:p w:rsidR="0041014A" w:rsidP="0041014A">
      <w:pPr>
        <w:tabs>
          <w:tab w:val="left" w:pos="0"/>
        </w:tabs>
        <w:bidi w:val="0"/>
        <w:jc w:val="both"/>
        <w:rPr>
          <w:rFonts w:ascii="Times New Roman" w:hAnsi="Times New Roman"/>
          <w:b/>
          <w:bCs/>
        </w:rPr>
      </w:pPr>
    </w:p>
    <w:p w:rsidR="0041014A" w:rsidP="0041014A">
      <w:pPr>
        <w:tabs>
          <w:tab w:val="left" w:pos="0"/>
        </w:tabs>
        <w:bidi w:val="0"/>
        <w:jc w:val="both"/>
        <w:rPr>
          <w:rFonts w:ascii="Times New Roman" w:hAnsi="Times New Roman"/>
          <w:b/>
          <w:bCs/>
        </w:rPr>
      </w:pPr>
    </w:p>
    <w:p w:rsidR="0041014A" w:rsidP="0041014A">
      <w:pPr>
        <w:tabs>
          <w:tab w:val="left" w:pos="0"/>
        </w:tabs>
        <w:bidi w:val="0"/>
        <w:jc w:val="both"/>
        <w:rPr>
          <w:rFonts w:ascii="Times New Roman" w:hAnsi="Times New Roman"/>
          <w:b/>
          <w:bCs/>
        </w:rPr>
      </w:pPr>
    </w:p>
    <w:p w:rsidR="0041014A" w:rsidP="0041014A">
      <w:pPr>
        <w:tabs>
          <w:tab w:val="left" w:pos="0"/>
        </w:tabs>
        <w:bidi w:val="0"/>
        <w:jc w:val="both"/>
        <w:rPr>
          <w:rFonts w:ascii="Times New Roman" w:hAnsi="Times New Roman"/>
          <w:b/>
          <w:bCs/>
        </w:rPr>
      </w:pPr>
    </w:p>
    <w:p w:rsidR="0041014A" w:rsidP="0041014A">
      <w:pPr>
        <w:tabs>
          <w:tab w:val="left" w:pos="0"/>
        </w:tabs>
        <w:bidi w:val="0"/>
        <w:jc w:val="both"/>
        <w:rPr>
          <w:rFonts w:ascii="Times New Roman" w:hAnsi="Times New Roman"/>
          <w:b/>
          <w:bCs/>
        </w:rPr>
      </w:pPr>
    </w:p>
    <w:p w:rsidR="0041014A" w:rsidP="0041014A">
      <w:pPr>
        <w:tabs>
          <w:tab w:val="left" w:pos="0"/>
        </w:tabs>
        <w:bidi w:val="0"/>
        <w:jc w:val="both"/>
        <w:rPr>
          <w:rFonts w:ascii="Times New Roman" w:hAnsi="Times New Roman"/>
          <w:b/>
          <w:bCs/>
        </w:rPr>
      </w:pPr>
    </w:p>
    <w:p w:rsidR="0041014A" w:rsidP="0041014A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  <w:r>
        <w:rPr>
          <w:rFonts w:ascii="Times New Roman" w:hAnsi="Times New Roman"/>
          <w:b/>
          <w:bCs/>
          <w:caps/>
          <w:color w:val="000000"/>
          <w:spacing w:val="30"/>
        </w:rPr>
        <w:t>Doložka</w:t>
      </w:r>
    </w:p>
    <w:p w:rsidR="0041014A" w:rsidP="0041014A">
      <w:pPr>
        <w:bidi w:val="0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vybraných vplyvov</w:t>
      </w:r>
    </w:p>
    <w:p w:rsidR="0041014A" w:rsidP="0041014A">
      <w:pPr>
        <w:bidi w:val="0"/>
        <w:rPr>
          <w:rFonts w:ascii="Times New Roman" w:hAnsi="Times New Roman"/>
          <w:color w:val="000000"/>
        </w:rPr>
      </w:pPr>
    </w:p>
    <w:p w:rsidR="0041014A" w:rsidP="0041014A">
      <w:pPr>
        <w:bidi w:val="0"/>
        <w:rPr>
          <w:rFonts w:ascii="Times New Roman" w:hAnsi="Times New Roman"/>
          <w:color w:val="000000"/>
        </w:rPr>
      </w:pPr>
    </w:p>
    <w:p w:rsidR="0041014A" w:rsidP="0041014A">
      <w:p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A.1. Názov materiálu: </w:t>
      </w:r>
      <w:r>
        <w:rPr>
          <w:rFonts w:ascii="Times New Roman" w:hAnsi="Times New Roman"/>
          <w:color w:val="000000"/>
        </w:rPr>
        <w:t>Návrh zákona, ktorým sa dopĺňa zákon č. 190/2003 Z. z. o strelných zbraniach a strelive a o zmene a doplnení niektorých zákonov v znení neskorších predpisov </w:t>
      </w:r>
    </w:p>
    <w:p w:rsidR="0041014A" w:rsidP="0041014A">
      <w:p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        Termín začatia a ukončenia PPK:</w:t>
      </w:r>
      <w:r w:rsidRPr="002704AC">
        <w:rPr>
          <w:rFonts w:ascii="Times New Roman" w:hAnsi="Times New Roman"/>
          <w:color w:val="000000"/>
        </w:rPr>
        <w:t xml:space="preserve"> -  </w:t>
      </w:r>
    </w:p>
    <w:p w:rsidR="0041014A" w:rsidP="0041014A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41014A" w:rsidP="0041014A">
      <w:p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758"/>
        <w:gridCol w:w="1206"/>
        <w:gridCol w:w="1206"/>
        <w:gridCol w:w="120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1014A" w:rsidP="00284FC2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1014A" w:rsidP="00284FC2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1014A" w:rsidP="00284FC2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1014A" w:rsidP="00284FC2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1014A" w:rsidP="00284FC2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1014A" w:rsidP="00284FC2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1014A" w:rsidP="00284FC2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1014A" w:rsidP="00284FC2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1014A" w:rsidP="00284FC2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1014A" w:rsidP="00284FC2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1014A" w:rsidP="00284FC2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1014A" w:rsidP="00284FC2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1014A" w:rsidP="00284FC2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1014A" w:rsidP="00284FC2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1014A" w:rsidP="00284FC2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1014A" w:rsidP="00284FC2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1014A" w:rsidP="00284FC2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1014A" w:rsidP="00284FC2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1014A" w:rsidP="00284FC2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1014A" w:rsidP="00284FC2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1014A" w:rsidP="00284FC2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1014A" w:rsidP="00284FC2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1014A" w:rsidP="00284FC2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1014A" w:rsidP="00284FC2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1014A" w:rsidP="00284FC2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1014A" w:rsidP="00284FC2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1014A" w:rsidP="00284FC2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1014A" w:rsidP="00284FC2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1014A" w:rsidP="00284FC2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1014A" w:rsidP="00284FC2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1014A" w:rsidP="00284FC2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1014A" w:rsidP="00284FC2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1014A" w:rsidP="00284FC2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1014A" w:rsidP="00284FC2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1014A" w:rsidP="00284FC2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1014A" w:rsidP="00284FC2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41014A" w:rsidP="0041014A">
      <w:pPr>
        <w:widowControl/>
        <w:bidi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41014A" w:rsidP="0041014A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41014A" w:rsidP="0041014A">
      <w:p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A.3. Poznámky</w:t>
      </w:r>
    </w:p>
    <w:p w:rsidR="0041014A" w:rsidP="0041014A">
      <w:p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</w:t>
      </w:r>
    </w:p>
    <w:p w:rsidR="0041014A" w:rsidP="0041014A">
      <w:pPr>
        <w:bidi w:val="0"/>
        <w:jc w:val="both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 xml:space="preserve">      </w:t>
      </w:r>
    </w:p>
    <w:p w:rsidR="0041014A" w:rsidP="0041014A">
      <w:p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A.4. Alternatívne riešenia</w:t>
      </w:r>
    </w:p>
    <w:p w:rsidR="0041014A" w:rsidP="0041014A">
      <w:p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color w:val="000000"/>
        </w:rPr>
        <w:t>- </w:t>
      </w:r>
    </w:p>
    <w:p w:rsidR="0041014A" w:rsidP="0041014A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41014A" w:rsidP="0041014A">
      <w:p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A.5. Stanovisko gestorov</w:t>
      </w:r>
    </w:p>
    <w:p w:rsidR="0041014A" w:rsidP="0041014A">
      <w:p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color w:val="000000"/>
        </w:rPr>
        <w:t>- </w:t>
      </w:r>
    </w:p>
    <w:p w:rsidR="0041014A" w:rsidP="0041014A">
      <w:pPr>
        <w:tabs>
          <w:tab w:val="left" w:pos="0"/>
        </w:tabs>
        <w:bidi w:val="0"/>
        <w:jc w:val="both"/>
        <w:rPr>
          <w:rFonts w:ascii="Times New Roman" w:hAnsi="Times New Roman"/>
          <w:b/>
          <w:bCs/>
        </w:rPr>
      </w:pPr>
    </w:p>
    <w:p w:rsidR="0041014A" w:rsidP="0041014A">
      <w:pPr>
        <w:tabs>
          <w:tab w:val="left" w:pos="0"/>
        </w:tabs>
        <w:bidi w:val="0"/>
        <w:jc w:val="both"/>
        <w:rPr>
          <w:rFonts w:ascii="Times New Roman" w:hAnsi="Times New Roman"/>
          <w:b/>
          <w:bCs/>
        </w:rPr>
      </w:pPr>
    </w:p>
    <w:p w:rsidR="0041014A" w:rsidP="0041014A">
      <w:pPr>
        <w:tabs>
          <w:tab w:val="left" w:pos="0"/>
        </w:tabs>
        <w:bidi w:val="0"/>
        <w:jc w:val="both"/>
        <w:rPr>
          <w:rFonts w:ascii="Times New Roman" w:hAnsi="Times New Roman"/>
          <w:b/>
          <w:bCs/>
        </w:rPr>
      </w:pPr>
    </w:p>
    <w:p w:rsidR="0041014A" w:rsidP="0041014A">
      <w:pPr>
        <w:tabs>
          <w:tab w:val="left" w:pos="0"/>
        </w:tabs>
        <w:bidi w:val="0"/>
        <w:jc w:val="both"/>
        <w:rPr>
          <w:rFonts w:ascii="Times New Roman" w:hAnsi="Times New Roman"/>
          <w:b/>
          <w:bCs/>
        </w:rPr>
      </w:pPr>
    </w:p>
    <w:p w:rsidR="0041014A" w:rsidP="0041014A">
      <w:pPr>
        <w:tabs>
          <w:tab w:val="left" w:pos="0"/>
        </w:tabs>
        <w:bidi w:val="0"/>
        <w:jc w:val="both"/>
        <w:rPr>
          <w:rFonts w:ascii="Times New Roman" w:hAnsi="Times New Roman"/>
          <w:b/>
          <w:bCs/>
        </w:rPr>
      </w:pPr>
    </w:p>
    <w:p w:rsidR="0041014A" w:rsidP="0041014A">
      <w:pPr>
        <w:tabs>
          <w:tab w:val="left" w:pos="0"/>
        </w:tabs>
        <w:bidi w:val="0"/>
        <w:jc w:val="both"/>
        <w:rPr>
          <w:rFonts w:ascii="Times New Roman" w:hAnsi="Times New Roman"/>
          <w:b/>
          <w:bCs/>
        </w:rPr>
      </w:pPr>
    </w:p>
    <w:p w:rsidR="0041014A" w:rsidP="0041014A">
      <w:pPr>
        <w:tabs>
          <w:tab w:val="left" w:pos="0"/>
        </w:tabs>
        <w:bidi w:val="0"/>
        <w:jc w:val="both"/>
        <w:rPr>
          <w:rFonts w:ascii="Times New Roman" w:hAnsi="Times New Roman"/>
          <w:b/>
          <w:bCs/>
        </w:rPr>
      </w:pPr>
    </w:p>
    <w:p w:rsidR="0041014A" w:rsidP="0041014A">
      <w:pPr>
        <w:tabs>
          <w:tab w:val="left" w:pos="0"/>
        </w:tabs>
        <w:bidi w:val="0"/>
        <w:jc w:val="both"/>
        <w:rPr>
          <w:rFonts w:ascii="Times New Roman" w:hAnsi="Times New Roman"/>
          <w:b/>
          <w:bCs/>
        </w:rPr>
      </w:pPr>
    </w:p>
    <w:p w:rsidR="0041014A" w:rsidP="0041014A">
      <w:pPr>
        <w:tabs>
          <w:tab w:val="left" w:pos="0"/>
        </w:tabs>
        <w:bidi w:val="0"/>
        <w:jc w:val="both"/>
        <w:rPr>
          <w:rFonts w:ascii="Times New Roman" w:hAnsi="Times New Roman"/>
          <w:b/>
          <w:bCs/>
        </w:rPr>
      </w:pPr>
    </w:p>
    <w:p w:rsidR="0041014A" w:rsidP="0041014A">
      <w:pPr>
        <w:tabs>
          <w:tab w:val="left" w:pos="0"/>
        </w:tabs>
        <w:bidi w:val="0"/>
        <w:jc w:val="both"/>
        <w:rPr>
          <w:rFonts w:ascii="Times New Roman" w:hAnsi="Times New Roman"/>
          <w:b/>
          <w:bCs/>
        </w:rPr>
      </w:pPr>
    </w:p>
    <w:p w:rsidR="0041014A" w:rsidP="0041014A">
      <w:pPr>
        <w:tabs>
          <w:tab w:val="left" w:pos="0"/>
        </w:tabs>
        <w:bidi w:val="0"/>
        <w:jc w:val="both"/>
        <w:rPr>
          <w:rFonts w:ascii="Times New Roman" w:hAnsi="Times New Roman"/>
          <w:b/>
          <w:bCs/>
        </w:rPr>
      </w:pPr>
    </w:p>
    <w:p w:rsidR="0041014A" w:rsidP="0041014A">
      <w:pPr>
        <w:tabs>
          <w:tab w:val="left" w:pos="0"/>
        </w:tabs>
        <w:bidi w:val="0"/>
        <w:jc w:val="both"/>
        <w:rPr>
          <w:rFonts w:ascii="Times New Roman" w:hAnsi="Times New Roman"/>
          <w:b/>
          <w:bCs/>
        </w:rPr>
      </w:pPr>
    </w:p>
    <w:p w:rsidR="0041014A" w:rsidP="0041014A">
      <w:pPr>
        <w:tabs>
          <w:tab w:val="left" w:pos="0"/>
        </w:tabs>
        <w:bidi w:val="0"/>
        <w:jc w:val="both"/>
        <w:rPr>
          <w:rFonts w:ascii="Times New Roman" w:hAnsi="Times New Roman"/>
          <w:b/>
          <w:bCs/>
        </w:rPr>
      </w:pPr>
    </w:p>
    <w:p w:rsidR="0041014A" w:rsidP="0041014A">
      <w:pPr>
        <w:tabs>
          <w:tab w:val="left" w:pos="0"/>
        </w:tabs>
        <w:bidi w:val="0"/>
        <w:jc w:val="both"/>
        <w:rPr>
          <w:rFonts w:ascii="Times New Roman" w:hAnsi="Times New Roman"/>
          <w:b/>
          <w:bCs/>
        </w:rPr>
      </w:pPr>
    </w:p>
    <w:p w:rsidR="0041014A" w:rsidRPr="00351BD4" w:rsidP="0041014A">
      <w:pPr>
        <w:tabs>
          <w:tab w:val="left" w:pos="0"/>
        </w:tabs>
        <w:bidi w:val="0"/>
        <w:jc w:val="both"/>
        <w:rPr>
          <w:rFonts w:ascii="Times New Roman" w:hAnsi="Times New Roman"/>
          <w:b/>
          <w:bCs/>
        </w:rPr>
      </w:pPr>
    </w:p>
    <w:p w:rsidR="0041014A" w:rsidRPr="00351BD4" w:rsidP="0041014A">
      <w:pPr>
        <w:tabs>
          <w:tab w:val="left" w:pos="0"/>
        </w:tabs>
        <w:bidi w:val="0"/>
        <w:jc w:val="both"/>
        <w:rPr>
          <w:rFonts w:ascii="Times New Roman" w:hAnsi="Times New Roman"/>
          <w:b/>
          <w:bCs/>
        </w:rPr>
      </w:pPr>
    </w:p>
    <w:p w:rsidR="0041014A" w:rsidP="0041014A">
      <w:pPr>
        <w:widowControl/>
        <w:bidi w:val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B. Osobitná časť</w:t>
      </w:r>
    </w:p>
    <w:p w:rsidR="0041014A" w:rsidP="0041014A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41014A" w:rsidP="0041014A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K čl. I</w:t>
      </w:r>
    </w:p>
    <w:p w:rsidR="0041014A" w:rsidP="0041014A">
      <w:pPr>
        <w:widowControl/>
        <w:bidi w:val="0"/>
        <w:jc w:val="both"/>
        <w:rPr>
          <w:rFonts w:ascii="Times New Roman" w:hAnsi="Times New Roman"/>
        </w:rPr>
      </w:pPr>
    </w:p>
    <w:p w:rsidR="0041014A" w:rsidP="0041014A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41014A" w:rsidP="0041014A">
      <w:pPr>
        <w:widowControl/>
        <w:bidi w:val="0"/>
        <w:ind w:firstLine="284"/>
        <w:jc w:val="both"/>
        <w:rPr>
          <w:rFonts w:ascii="Times New Roman" w:hAnsi="Times New Roman"/>
          <w:color w:val="000000"/>
        </w:rPr>
      </w:pPr>
      <w:r>
        <w:rPr>
          <w:rStyle w:val="PlaceholderText"/>
          <w:color w:val="000000"/>
        </w:rPr>
        <w:t xml:space="preserve">Podobne ako pri predchádzajúcich zbraňových amnestiách  sa navrhuje možnosť vo vymedzenom časovom období šiestich mesiacov odovzdať strelné zbrane a strelivo ktorémukoľvek útvaru Policajného zboru s tým, že osoba, ktorá takúto zbraň a strelivo odovzdá, sa nedopustí trestného činu nedovoleného ozbrojovania. </w:t>
      </w:r>
    </w:p>
    <w:p w:rsidR="0041014A" w:rsidP="0041014A">
      <w:pPr>
        <w:widowControl/>
        <w:bidi w:val="0"/>
        <w:ind w:firstLine="284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41014A" w:rsidP="0041014A">
      <w:pPr>
        <w:widowControl/>
        <w:bidi w:val="0"/>
        <w:ind w:firstLine="284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Taktiež sa umožňuje, aby táto osoba, ak spĺňa podmienky podľa zákona o strelných zbraniach a strelive na držanie zbrane, si takúto zbraň zaevidovala za podmienky, že s touto zbraňou podľa odborného vyjadrenia špecializovaného útvaru ministerstva vnútra nebol spáchaný trestný čin, a že si podá žiadosť o zaevidovanie do dvoch mesiacov od doručenia tohto odborného vyjadrenia.  Osoba, ktorá odovzdala zbraň, môže tiež v uvedenej lehote a za podmienky, že so zbraňou nebol spáchaný trestný čin, previesť vlastníctvo zbrane alebo streliva na osobu, ktorá spĺňa podmienky na držanie zbrane.</w:t>
      </w:r>
    </w:p>
    <w:p w:rsidR="0041014A" w:rsidP="0041014A">
      <w:pPr>
        <w:widowControl/>
        <w:bidi w:val="0"/>
        <w:ind w:firstLine="284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41014A" w:rsidP="0041014A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K čl. II</w:t>
      </w:r>
    </w:p>
    <w:p w:rsidR="0041014A" w:rsidP="0041014A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41014A" w:rsidP="0041014A">
      <w:pPr>
        <w:widowControl/>
        <w:bidi w:val="0"/>
        <w:jc w:val="both"/>
        <w:rPr>
          <w:rStyle w:val="PlaceholderText"/>
          <w:color w:val="000000"/>
        </w:rPr>
      </w:pPr>
      <w:r w:rsidR="00DD2F56">
        <w:rPr>
          <w:rStyle w:val="PlaceholderText"/>
          <w:color w:val="000000"/>
        </w:rPr>
        <w:t xml:space="preserve">   </w:t>
      </w:r>
      <w:r>
        <w:rPr>
          <w:rStyle w:val="PlaceholderText"/>
          <w:color w:val="000000"/>
        </w:rPr>
        <w:t>Vzhľadom na charakter navrhovanej úpravy je vhodné, aby úprava nadobudla účinnosť dňom vyhlásenia.</w:t>
      </w:r>
    </w:p>
    <w:p w:rsidR="0041014A" w:rsidP="00F51FAC">
      <w:pPr>
        <w:widowControl/>
        <w:bidi w:val="0"/>
        <w:spacing w:after="280" w:afterAutospacing="1"/>
        <w:jc w:val="both"/>
        <w:rPr>
          <w:rStyle w:val="PlaceholderText"/>
          <w:color w:val="000000"/>
        </w:rPr>
      </w:pPr>
    </w:p>
    <w:p w:rsidR="0041014A" w:rsidP="00F51FAC">
      <w:pPr>
        <w:widowControl/>
        <w:bidi w:val="0"/>
        <w:spacing w:after="280" w:afterAutospacing="1"/>
        <w:jc w:val="both"/>
        <w:rPr>
          <w:rStyle w:val="PlaceholderText"/>
          <w:color w:val="000000"/>
        </w:rPr>
      </w:pPr>
    </w:p>
    <w:p w:rsidR="00EB3F9C" w:rsidRPr="008E7A6D" w:rsidP="00EB3F9C">
      <w:pPr>
        <w:pStyle w:val="NoSpacing"/>
        <w:bidi w:val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E7A6D">
        <w:rPr>
          <w:rFonts w:ascii="Times New Roman" w:hAnsi="Times New Roman"/>
          <w:color w:val="000000"/>
          <w:sz w:val="24"/>
          <w:szCs w:val="24"/>
        </w:rPr>
        <w:t xml:space="preserve">Schválené na rokovaní vlády Slovenskej republiky </w:t>
      </w:r>
      <w:r>
        <w:rPr>
          <w:rFonts w:ascii="Times New Roman" w:hAnsi="Times New Roman"/>
          <w:color w:val="000000"/>
          <w:sz w:val="24"/>
          <w:szCs w:val="24"/>
        </w:rPr>
        <w:t>20</w:t>
      </w:r>
      <w:r w:rsidRPr="008E7A6D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augusta 2014.</w:t>
      </w:r>
    </w:p>
    <w:p w:rsidR="00EB3F9C" w:rsidRPr="008E7A6D" w:rsidP="00EB3F9C">
      <w:pPr>
        <w:pStyle w:val="NoSpacing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B3F9C" w:rsidRPr="008E7A6D" w:rsidP="00EB3F9C">
      <w:pPr>
        <w:pStyle w:val="NoSpacing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B3F9C" w:rsidRPr="008E7A6D" w:rsidP="00EB3F9C">
      <w:pPr>
        <w:pStyle w:val="NoSpacing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B3F9C" w:rsidRPr="008E7A6D" w:rsidP="00EB3F9C">
      <w:pPr>
        <w:pStyle w:val="NoSpacing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B3F9C" w:rsidRPr="002B1C34" w:rsidP="00EB3F9C">
      <w:pPr>
        <w:bidi w:val="0"/>
        <w:jc w:val="both"/>
        <w:rPr>
          <w:rFonts w:ascii="Times New Roman" w:hAnsi="Times New Roman"/>
          <w:color w:val="000000"/>
        </w:rPr>
      </w:pPr>
    </w:p>
    <w:p w:rsidR="00EB3F9C" w:rsidRPr="002B1C34" w:rsidP="00EB3F9C">
      <w:pPr>
        <w:bidi w:val="0"/>
        <w:ind w:firstLine="3828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Robert Fico</w:t>
      </w:r>
      <w:r w:rsidR="00A27CCD">
        <w:rPr>
          <w:rFonts w:ascii="Times New Roman" w:hAnsi="Times New Roman"/>
          <w:b/>
          <w:bCs/>
        </w:rPr>
        <w:t xml:space="preserve"> v. r.</w:t>
      </w:r>
    </w:p>
    <w:p w:rsidR="00EB3F9C" w:rsidRPr="002B1C34" w:rsidP="00EB3F9C">
      <w:pPr>
        <w:bidi w:val="0"/>
        <w:ind w:firstLine="3828"/>
        <w:jc w:val="center"/>
        <w:rPr>
          <w:rFonts w:ascii="Times New Roman" w:hAnsi="Times New Roman"/>
          <w:b/>
          <w:bCs/>
        </w:rPr>
      </w:pPr>
    </w:p>
    <w:p w:rsidR="00EB3F9C" w:rsidRPr="002B1C34" w:rsidP="00EB3F9C">
      <w:pPr>
        <w:bidi w:val="0"/>
        <w:ind w:firstLine="3828"/>
        <w:jc w:val="center"/>
        <w:rPr>
          <w:rFonts w:ascii="Times New Roman" w:hAnsi="Times New Roman"/>
          <w:b/>
          <w:bCs/>
        </w:rPr>
      </w:pPr>
      <w:r w:rsidRPr="002B1C34">
        <w:rPr>
          <w:rFonts w:ascii="Times New Roman" w:hAnsi="Times New Roman"/>
          <w:b/>
          <w:bCs/>
        </w:rPr>
        <w:t>predseda vlády</w:t>
      </w:r>
    </w:p>
    <w:p w:rsidR="00EB3F9C" w:rsidRPr="002B1C34" w:rsidP="00EB3F9C">
      <w:pPr>
        <w:bidi w:val="0"/>
        <w:ind w:firstLine="3828"/>
        <w:jc w:val="center"/>
        <w:rPr>
          <w:rFonts w:ascii="Times New Roman" w:hAnsi="Times New Roman"/>
          <w:b/>
          <w:bCs/>
        </w:rPr>
      </w:pPr>
      <w:r w:rsidRPr="002B1C34">
        <w:rPr>
          <w:rFonts w:ascii="Times New Roman" w:hAnsi="Times New Roman"/>
          <w:b/>
          <w:bCs/>
        </w:rPr>
        <w:t>Slovenskej republiky</w:t>
      </w:r>
    </w:p>
    <w:p w:rsidR="00EB3F9C" w:rsidRPr="002B1C34" w:rsidP="00EB3F9C">
      <w:pPr>
        <w:bidi w:val="0"/>
        <w:ind w:firstLine="3828"/>
        <w:jc w:val="center"/>
        <w:rPr>
          <w:rFonts w:ascii="Times New Roman" w:hAnsi="Times New Roman"/>
          <w:b/>
          <w:bCs/>
        </w:rPr>
      </w:pPr>
    </w:p>
    <w:p w:rsidR="00EB3F9C" w:rsidRPr="002B1C34" w:rsidP="00EB3F9C">
      <w:pPr>
        <w:bidi w:val="0"/>
        <w:ind w:firstLine="3828"/>
        <w:jc w:val="center"/>
        <w:rPr>
          <w:rFonts w:ascii="Times New Roman" w:hAnsi="Times New Roman"/>
          <w:b/>
          <w:bCs/>
        </w:rPr>
      </w:pPr>
    </w:p>
    <w:p w:rsidR="00EB3F9C" w:rsidRPr="002B1C34" w:rsidP="00EB3F9C">
      <w:pPr>
        <w:bidi w:val="0"/>
        <w:ind w:firstLine="3828"/>
        <w:jc w:val="center"/>
        <w:rPr>
          <w:rFonts w:ascii="Times New Roman" w:hAnsi="Times New Roman"/>
          <w:b/>
          <w:bCs/>
        </w:rPr>
      </w:pPr>
    </w:p>
    <w:p w:rsidR="00EB3F9C" w:rsidRPr="002B1C34" w:rsidP="00EB3F9C">
      <w:pPr>
        <w:bidi w:val="0"/>
        <w:ind w:firstLine="3828"/>
        <w:jc w:val="center"/>
        <w:rPr>
          <w:rFonts w:ascii="Times New Roman" w:hAnsi="Times New Roman"/>
          <w:b/>
          <w:bCs/>
        </w:rPr>
      </w:pPr>
    </w:p>
    <w:p w:rsidR="00EB3F9C" w:rsidRPr="002B1C34" w:rsidP="00EB3F9C">
      <w:pPr>
        <w:bidi w:val="0"/>
        <w:ind w:firstLine="3828"/>
        <w:jc w:val="center"/>
        <w:rPr>
          <w:rFonts w:ascii="Times New Roman" w:hAnsi="Times New Roman"/>
          <w:b/>
          <w:bCs/>
        </w:rPr>
      </w:pPr>
      <w:r w:rsidRPr="002B1C34">
        <w:rPr>
          <w:rFonts w:ascii="Times New Roman" w:hAnsi="Times New Roman"/>
          <w:b/>
          <w:bCs/>
        </w:rPr>
        <w:t>Robert Kaliňák</w:t>
      </w:r>
      <w:r w:rsidR="00A27CCD">
        <w:rPr>
          <w:rFonts w:ascii="Times New Roman" w:hAnsi="Times New Roman"/>
          <w:b/>
          <w:bCs/>
        </w:rPr>
        <w:t xml:space="preserve"> v. r.</w:t>
      </w:r>
    </w:p>
    <w:p w:rsidR="00EB3F9C" w:rsidRPr="002B1C34" w:rsidP="00EB3F9C">
      <w:pPr>
        <w:bidi w:val="0"/>
        <w:ind w:firstLine="3828"/>
        <w:jc w:val="center"/>
        <w:rPr>
          <w:rFonts w:ascii="Times New Roman" w:hAnsi="Times New Roman"/>
          <w:b/>
          <w:bCs/>
        </w:rPr>
      </w:pPr>
    </w:p>
    <w:p w:rsidR="00EB3F9C" w:rsidRPr="002B1C34" w:rsidP="00EB3F9C">
      <w:pPr>
        <w:bidi w:val="0"/>
        <w:ind w:firstLine="3828"/>
        <w:jc w:val="center"/>
        <w:rPr>
          <w:rFonts w:ascii="Times New Roman" w:hAnsi="Times New Roman"/>
          <w:b/>
          <w:bCs/>
        </w:rPr>
      </w:pPr>
      <w:r w:rsidRPr="002B1C34">
        <w:rPr>
          <w:rFonts w:ascii="Times New Roman" w:hAnsi="Times New Roman"/>
          <w:b/>
          <w:bCs/>
        </w:rPr>
        <w:t>podpredseda vlády a minister vnútra</w:t>
      </w:r>
    </w:p>
    <w:p w:rsidR="00EB3F9C" w:rsidRPr="002B1C34" w:rsidP="00EB3F9C">
      <w:pPr>
        <w:bidi w:val="0"/>
        <w:ind w:firstLine="3828"/>
        <w:jc w:val="center"/>
        <w:rPr>
          <w:rFonts w:ascii="Times New Roman" w:hAnsi="Times New Roman"/>
          <w:color w:val="000000"/>
        </w:rPr>
      </w:pPr>
      <w:r w:rsidRPr="002B1C34">
        <w:rPr>
          <w:rFonts w:ascii="Times New Roman" w:hAnsi="Times New Roman"/>
          <w:b/>
          <w:bCs/>
        </w:rPr>
        <w:t>Slovenskej republiky</w:t>
      </w:r>
    </w:p>
    <w:p w:rsidR="00EB3F9C" w:rsidRPr="00D6186F" w:rsidP="00EB3F9C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41014A" w:rsidP="00F51FAC">
      <w:pPr>
        <w:widowControl/>
        <w:bidi w:val="0"/>
        <w:spacing w:after="280" w:afterAutospacing="1"/>
        <w:jc w:val="both"/>
        <w:rPr>
          <w:rStyle w:val="PlaceholderText"/>
          <w:color w:val="000000"/>
        </w:rPr>
      </w:pPr>
    </w:p>
    <w:sectPr>
      <w:footerReference w:type="default" r:id="rId5"/>
      <w:pgSz w:w="12240" w:h="15840"/>
      <w:pgMar w:top="1440" w:right="1440" w:bottom="1440" w:left="144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28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A27CCD">
      <w:rPr>
        <w:rFonts w:ascii="Times New Roman" w:hAnsi="Times New Roman"/>
        <w:noProof/>
      </w:rPr>
      <w:t>4</w:t>
    </w:r>
    <w:r>
      <w:rPr>
        <w:rFonts w:ascii="Times New Roman" w:hAnsi="Times New Roman"/>
      </w:rPr>
      <w:fldChar w:fldCharType="end"/>
    </w:r>
  </w:p>
  <w:p w:rsidR="007C7028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983FF9"/>
    <w:multiLevelType w:val="hybridMultilevel"/>
    <w:tmpl w:val="0FE2C0CA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20"/>
  <w:hyphenationZone w:val="425"/>
  <w:characterSpacingControl w:val="doNotCompress"/>
  <w:doNotValidateAgainstSchema/>
  <w:compat>
    <w:doNotUseIndentAsNumberingTabStop/>
    <w:allowSpaceOfSameStyleInTable/>
    <w:splitPgBreakAndParaMark/>
    <w:useAnsiKerningPairs/>
  </w:compat>
  <w:rsids>
    <w:rsidRoot w:val="00F51FAC"/>
    <w:rsid w:val="00037797"/>
    <w:rsid w:val="002416C4"/>
    <w:rsid w:val="002704AC"/>
    <w:rsid w:val="00284FC2"/>
    <w:rsid w:val="002B1C34"/>
    <w:rsid w:val="00351BD4"/>
    <w:rsid w:val="003C1598"/>
    <w:rsid w:val="0041014A"/>
    <w:rsid w:val="00455D89"/>
    <w:rsid w:val="007445D0"/>
    <w:rsid w:val="007523ED"/>
    <w:rsid w:val="007C6D09"/>
    <w:rsid w:val="007C7028"/>
    <w:rsid w:val="008B25A6"/>
    <w:rsid w:val="008E7A6D"/>
    <w:rsid w:val="00A27CCD"/>
    <w:rsid w:val="00A64D2D"/>
    <w:rsid w:val="00BF3FAA"/>
    <w:rsid w:val="00C0489E"/>
    <w:rsid w:val="00C300BD"/>
    <w:rsid w:val="00C56303"/>
    <w:rsid w:val="00D6186F"/>
    <w:rsid w:val="00DD2F56"/>
    <w:rsid w:val="00EB3F9C"/>
    <w:rsid w:val="00EF2DDE"/>
    <w:rsid w:val="00F51FA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5A6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B25A6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B25A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B25A6"/>
    <w:rPr>
      <w:rFonts w:ascii="Tahoma" w:hAnsi="Tahoma" w:cs="Tahoma"/>
      <w:sz w:val="16"/>
      <w:szCs w:val="16"/>
      <w:rtl w:val="0"/>
      <w:cs w:val="0"/>
      <w:lang w:val="sk-SK" w:eastAsia="sk-SK"/>
    </w:rPr>
  </w:style>
  <w:style w:type="paragraph" w:styleId="Header">
    <w:name w:val="header"/>
    <w:basedOn w:val="Normal"/>
    <w:link w:val="HlavikaChar"/>
    <w:uiPriority w:val="99"/>
    <w:unhideWhenUsed/>
    <w:rsid w:val="0041014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41014A"/>
    <w:rPr>
      <w:rFonts w:ascii="Times New Roman" w:hAnsi="Times New Roman"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41014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41014A"/>
    <w:rPr>
      <w:rFonts w:ascii="Times New Roman" w:hAnsi="Times New Roman" w:cs="Times New Roman"/>
      <w:sz w:val="24"/>
      <w:szCs w:val="24"/>
      <w:rtl w:val="0"/>
      <w:cs w:val="0"/>
    </w:rPr>
  </w:style>
  <w:style w:type="paragraph" w:styleId="NoSpacing">
    <w:name w:val="No Spacing"/>
    <w:uiPriority w:val="1"/>
    <w:qFormat/>
    <w:locked/>
    <w:rsid w:val="00EB3F9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5BA89-0C2C-4C5D-8045-EEF8EDC19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716</Words>
  <Characters>4084</Characters>
  <Application>Microsoft Office Word</Application>
  <DocSecurity>0</DocSecurity>
  <Lines>0</Lines>
  <Paragraphs>0</Paragraphs>
  <ScaleCrop>false</ScaleCrop>
  <Company>Abyss</Company>
  <LinksUpToDate>false</LinksUpToDate>
  <CharactersWithSpaces>4791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Nataša Wiedemannová</cp:lastModifiedBy>
  <cp:revision>3</cp:revision>
  <dcterms:created xsi:type="dcterms:W3CDTF">2014-08-20T13:17:00Z</dcterms:created>
  <dcterms:modified xsi:type="dcterms:W3CDTF">2014-08-22T11:58:00Z</dcterms:modified>
</cp:coreProperties>
</file>