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2A154A" w:rsidP="008B25A6">
      <w:pPr>
        <w:widowControl/>
        <w:bidi w:val="0"/>
        <w:jc w:val="center"/>
        <w:rPr>
          <w:rFonts w:ascii="Times New Roman" w:hAnsi="Times New Roman"/>
          <w:b/>
          <w:caps/>
          <w:color w:val="000000"/>
          <w:spacing w:val="30"/>
        </w:rPr>
      </w:pPr>
      <w:r w:rsidRPr="002A154A">
        <w:rPr>
          <w:rFonts w:ascii="Times New Roman" w:hAnsi="Times New Roman"/>
          <w:b/>
          <w:caps/>
          <w:color w:val="000000"/>
          <w:spacing w:val="30"/>
        </w:rPr>
        <w:t>Dôvodová správa</w:t>
      </w:r>
    </w:p>
    <w:p w:rsidR="008B25A6" w:rsidRPr="002A154A" w:rsidP="008B25A6">
      <w:pPr>
        <w:widowControl/>
        <w:bidi w:val="0"/>
        <w:jc w:val="both"/>
        <w:rPr>
          <w:rFonts w:ascii="Times New Roman" w:hAnsi="Times New Roman"/>
          <w:color w:val="000000"/>
        </w:rPr>
      </w:pPr>
    </w:p>
    <w:p w:rsidR="008B25A6" w:rsidRPr="002A154A" w:rsidP="008B25A6">
      <w:pPr>
        <w:widowControl/>
        <w:bidi w:val="0"/>
        <w:jc w:val="both"/>
        <w:rPr>
          <w:rFonts w:ascii="Times New Roman" w:hAnsi="Times New Roman"/>
          <w:color w:val="000000"/>
        </w:rPr>
      </w:pPr>
    </w:p>
    <w:p w:rsidR="008B25A6" w:rsidRPr="002A154A" w:rsidP="008B25A6">
      <w:pPr>
        <w:widowControl/>
        <w:bidi w:val="0"/>
        <w:jc w:val="both"/>
        <w:rPr>
          <w:rFonts w:ascii="Times New Roman" w:hAnsi="Times New Roman"/>
          <w:b/>
          <w:color w:val="000000"/>
        </w:rPr>
      </w:pPr>
      <w:r w:rsidRPr="002A154A">
        <w:rPr>
          <w:rFonts w:ascii="Times New Roman" w:hAnsi="Times New Roman"/>
          <w:b/>
          <w:color w:val="000000"/>
        </w:rPr>
        <w:t>A. Všeobecná časť</w:t>
      </w:r>
    </w:p>
    <w:p w:rsidR="008B25A6" w:rsidRPr="002A154A" w:rsidP="008B25A6">
      <w:pPr>
        <w:widowControl/>
        <w:bidi w:val="0"/>
        <w:jc w:val="both"/>
        <w:rPr>
          <w:rFonts w:ascii="Times New Roman" w:hAnsi="Times New Roman"/>
          <w:color w:val="000000"/>
        </w:rPr>
      </w:pPr>
    </w:p>
    <w:p w:rsidR="008B25A6" w:rsidRPr="002A154A">
      <w:pPr>
        <w:widowControl/>
        <w:bidi w:val="0"/>
        <w:ind w:firstLine="567"/>
        <w:jc w:val="both"/>
        <w:rPr>
          <w:rFonts w:ascii="Times New Roman" w:hAnsi="Times New Roman"/>
          <w:color w:val="000000"/>
        </w:rPr>
      </w:pPr>
      <w:r w:rsidRPr="002A154A" w:rsidR="00C0489E">
        <w:rPr>
          <w:rStyle w:val="PlaceholderText"/>
          <w:color w:val="000000"/>
        </w:rPr>
        <w:t>Ministerstvo financií Slovenskej republiky predkladá na rokovanie vlády Slovenskej republiky návrh zákona, ktorým sa mení a dopĺňa zákon č. 98/2004 Z. z. o spotrebnej dani z minerálneho oleja v znení neskorších predpisov, a ktorým sa menia a dopĺňajú niektoré zákony, a to zákon č. 609/2007 Z. z. o spotrebnej dani z uhlia, elektriny a zemného plynu a o zmene a doplnení zákona č. 98/2004 Z. z. o spotrebnej dani z minerálneho oleja v znení neskorších predpisov v znení neskorších predpisov a zákon č. 530/2011 Z. z. o spotrebnej dani z alkoholických nápojov v znení neskorších predpisov (ďalej len „návrh zákona“) mimo plánu legislatívnych úloh vlády Slovenskej republiky na rok 2014. Návrh zákona bol vypracovaný ako iniciatívny.</w:t>
      </w:r>
    </w:p>
    <w:p w:rsidR="00C0489E" w:rsidRPr="002A154A">
      <w:pPr>
        <w:widowControl/>
        <w:bidi w:val="0"/>
        <w:ind w:firstLine="567"/>
        <w:jc w:val="both"/>
        <w:rPr>
          <w:rStyle w:val="PlaceholderText"/>
          <w:color w:val="000000"/>
        </w:rPr>
      </w:pPr>
      <w:r w:rsidRPr="002A154A">
        <w:rPr>
          <w:rStyle w:val="PlaceholderText"/>
          <w:color w:val="000000"/>
        </w:rPr>
        <w:t> </w:t>
      </w:r>
    </w:p>
    <w:p w:rsidR="00C0489E" w:rsidRPr="002A154A">
      <w:pPr>
        <w:widowControl/>
        <w:bidi w:val="0"/>
        <w:ind w:firstLine="567"/>
        <w:jc w:val="both"/>
        <w:rPr>
          <w:rStyle w:val="PlaceholderText"/>
          <w:color w:val="000000"/>
        </w:rPr>
      </w:pPr>
      <w:r w:rsidRPr="002A154A">
        <w:rPr>
          <w:rStyle w:val="PlaceholderText"/>
          <w:color w:val="000000"/>
        </w:rPr>
        <w:t>Cieľom návrhu zákona je:</w:t>
      </w:r>
    </w:p>
    <w:p w:rsidR="00C0489E" w:rsidRPr="002A154A">
      <w:pPr>
        <w:widowControl/>
        <w:bidi w:val="0"/>
        <w:ind w:firstLine="567"/>
        <w:jc w:val="both"/>
        <w:rPr>
          <w:rStyle w:val="PlaceholderText"/>
          <w:color w:val="000000"/>
        </w:rPr>
      </w:pPr>
      <w:r w:rsidRPr="002A154A">
        <w:rPr>
          <w:rStyle w:val="PlaceholderText"/>
          <w:color w:val="000000"/>
        </w:rPr>
        <w:t>- transpozícia smernice Rady 2013/61/EÚ, ktorou sa mení územná pôsobnosť smernice Rady 2008/118/ES  sa znenie ustanovenia upravuje tak, že daňové právne predpisy Európskej únie sa neuplatnia na územie Mayotte,</w:t>
      </w:r>
    </w:p>
    <w:p w:rsidR="00C0489E" w:rsidRPr="002A154A">
      <w:pPr>
        <w:widowControl/>
        <w:bidi w:val="0"/>
        <w:ind w:firstLine="567"/>
        <w:jc w:val="both"/>
        <w:rPr>
          <w:rStyle w:val="PlaceholderText"/>
          <w:color w:val="000000"/>
        </w:rPr>
      </w:pPr>
      <w:r w:rsidRPr="002A154A">
        <w:rPr>
          <w:rStyle w:val="PlaceholderText"/>
          <w:color w:val="000000"/>
        </w:rPr>
        <w:t>- ustanoviť mechanizmus dočasného pozastavenia prístupu do elektronického systému prepráv minerálneho oleja a alkoholických nápojov daňovému subjektu, ktorým je užívateľský podnik, prevádzkovateľ daňového skladu, oprávnený príjemca alebo registrovaný odosielateľ, ak má správca dane odôvodnenú obavu, že nesplatná daň alebo nevyrubená daň bude, v rozsahu presahujúcom zloženú zábezpeku na daň, v čase jej splatnosti a vymáhateľnosti nevymožiteľná alebo že v tomto čase bude vymáhanie dane spojené so značnými ťažkosťami,</w:t>
      </w:r>
    </w:p>
    <w:p w:rsidR="00C0489E" w:rsidRPr="002A154A">
      <w:pPr>
        <w:widowControl/>
        <w:bidi w:val="0"/>
        <w:ind w:firstLine="567"/>
        <w:jc w:val="both"/>
        <w:rPr>
          <w:rStyle w:val="PlaceholderText"/>
          <w:color w:val="000000"/>
        </w:rPr>
      </w:pPr>
      <w:r w:rsidRPr="002A154A">
        <w:rPr>
          <w:rStyle w:val="PlaceholderText"/>
          <w:color w:val="000000"/>
        </w:rPr>
        <w:t>- spresniť a doplniť ustanovenia zákona o spotrebnej dani z minerálneho oleja, ktoré upravuje obchodovanie s pohonnými látkami (motorová nafta, motorový benzín a LPG) v daňovom voľnom obehu a rozšíriť okruh osôb, ktoré budú môcť byť zaradené do evidencie spotrebiteľov pohonných látok.</w:t>
      </w:r>
    </w:p>
    <w:p w:rsidR="00C0489E" w:rsidRPr="002A154A">
      <w:pPr>
        <w:widowControl/>
        <w:bidi w:val="0"/>
        <w:jc w:val="both"/>
        <w:rPr>
          <w:rStyle w:val="PlaceholderText"/>
          <w:color w:val="000000"/>
        </w:rPr>
      </w:pPr>
      <w:r w:rsidRPr="002A154A">
        <w:rPr>
          <w:rStyle w:val="PlaceholderText"/>
          <w:color w:val="000000"/>
        </w:rPr>
        <w:t> </w:t>
      </w:r>
    </w:p>
    <w:p w:rsidR="00C0489E" w:rsidRPr="002A154A">
      <w:pPr>
        <w:widowControl/>
        <w:bidi w:val="0"/>
        <w:ind w:firstLine="567"/>
        <w:jc w:val="both"/>
        <w:rPr>
          <w:rStyle w:val="PlaceholderText"/>
          <w:color w:val="000000"/>
        </w:rPr>
      </w:pPr>
      <w:r w:rsidRPr="002A154A">
        <w:rPr>
          <w:rStyle w:val="PlaceholderText"/>
          <w:color w:val="000000"/>
        </w:rPr>
        <w:t>Účinnosť zákona sa navrhuje od 1. decembra 2014 okrem ustanovení upravujúcich pozastavenie prístupu do elektronického systému prepráv, ktoré nadobúdajú účinnosť 1. januára 2015 a ustanovení týkajúcich sa problematiky obchodovania s pohonnými látkami v daňovom voľnom obehu, ktoré nadobúdajú účinnosť 1. februára 2015.</w:t>
      </w:r>
    </w:p>
    <w:p w:rsidR="00C0489E" w:rsidRPr="002A154A">
      <w:pPr>
        <w:widowControl/>
        <w:bidi w:val="0"/>
        <w:jc w:val="both"/>
        <w:rPr>
          <w:rStyle w:val="PlaceholderText"/>
          <w:color w:val="000000"/>
        </w:rPr>
      </w:pPr>
      <w:r w:rsidRPr="002A154A">
        <w:rPr>
          <w:rStyle w:val="PlaceholderText"/>
          <w:color w:val="000000"/>
        </w:rPr>
        <w:t> </w:t>
      </w:r>
    </w:p>
    <w:p w:rsidR="00C0489E" w:rsidRPr="002A154A">
      <w:pPr>
        <w:widowControl/>
        <w:bidi w:val="0"/>
        <w:spacing w:line="280" w:lineRule="atLeast"/>
        <w:ind w:firstLine="567"/>
        <w:jc w:val="both"/>
        <w:rPr>
          <w:rStyle w:val="PlaceholderText"/>
          <w:color w:val="000000"/>
        </w:rPr>
      </w:pPr>
      <w:r w:rsidRPr="002A154A">
        <w:rPr>
          <w:rStyle w:val="PlaceholderText"/>
          <w:color w:val="000000"/>
        </w:rPr>
        <w:t>Vplyv návrhu zákona na rozpočet verejnej správy, na podnikateľské prostredie, na sociálne prostredie, vplyv na životné prostredie a vplyv na informatizáciu spoločnosti je uvedený v doložke vybraných vplyvov.</w:t>
      </w:r>
    </w:p>
    <w:p w:rsidR="00C0489E" w:rsidRPr="002A154A">
      <w:pPr>
        <w:widowControl/>
        <w:bidi w:val="0"/>
        <w:spacing w:line="280" w:lineRule="atLeast"/>
        <w:jc w:val="both"/>
        <w:rPr>
          <w:rStyle w:val="PlaceholderText"/>
          <w:color w:val="000000"/>
        </w:rPr>
      </w:pPr>
      <w:r w:rsidRPr="002A154A">
        <w:rPr>
          <w:rStyle w:val="PlaceholderText"/>
          <w:color w:val="000000"/>
        </w:rPr>
        <w:t> </w:t>
      </w:r>
    </w:p>
    <w:p w:rsidR="00C0489E" w:rsidRPr="002A154A">
      <w:pPr>
        <w:widowControl/>
        <w:bidi w:val="0"/>
        <w:spacing w:line="280" w:lineRule="atLeast"/>
        <w:ind w:firstLine="567"/>
        <w:jc w:val="both"/>
        <w:rPr>
          <w:rStyle w:val="PlaceholderText"/>
          <w:color w:val="000000"/>
        </w:rPr>
      </w:pPr>
      <w:r w:rsidRPr="002A154A">
        <w:rPr>
          <w:rStyle w:val="PlaceholderText"/>
          <w:color w:val="000000"/>
        </w:rPr>
        <w:t>Predkladaný návrh zákona nebude mať vplyv na rozpočty obcí a rozpočty vyšších územných celkov.</w:t>
      </w:r>
    </w:p>
    <w:p w:rsidR="00C0489E" w:rsidRPr="002A154A">
      <w:pPr>
        <w:widowControl/>
        <w:bidi w:val="0"/>
        <w:jc w:val="both"/>
        <w:rPr>
          <w:rStyle w:val="PlaceholderText"/>
          <w:color w:val="000000"/>
        </w:rPr>
      </w:pPr>
      <w:r w:rsidRPr="002A154A">
        <w:rPr>
          <w:rStyle w:val="PlaceholderText"/>
          <w:color w:val="000000"/>
        </w:rPr>
        <w:t> </w:t>
      </w:r>
    </w:p>
    <w:p w:rsidR="00C0489E" w:rsidRPr="002A154A">
      <w:pPr>
        <w:widowControl/>
        <w:bidi w:val="0"/>
        <w:ind w:firstLine="567"/>
        <w:jc w:val="both"/>
        <w:rPr>
          <w:rStyle w:val="PlaceholderText"/>
          <w:color w:val="000000"/>
        </w:rPr>
      </w:pPr>
      <w:r w:rsidRPr="002A154A">
        <w:rPr>
          <w:rStyle w:val="PlaceholderText"/>
          <w:color w:val="000000"/>
        </w:rPr>
        <w:t>Predkladaný návrh zákon je v súlade s Ústavou Slovenskej republiky a inými právnymi predpismi, medzinárodnými zmluvami a dokumentmi, ktorými je Slovenská republika viazaná, ako aj v súlade s právom Európskej únie.</w:t>
      </w:r>
    </w:p>
    <w:p w:rsidR="00C0489E" w:rsidRPr="002A154A">
      <w:pPr>
        <w:widowControl/>
        <w:bidi w:val="0"/>
        <w:jc w:val="both"/>
        <w:rPr>
          <w:rStyle w:val="PlaceholderText"/>
          <w:color w:val="000000"/>
        </w:rPr>
      </w:pPr>
      <w:r w:rsidRPr="002A154A">
        <w:rPr>
          <w:rStyle w:val="PlaceholderText"/>
          <w:color w:val="000000"/>
        </w:rPr>
        <w:t> </w:t>
      </w:r>
    </w:p>
    <w:p w:rsidR="002A154A" w:rsidRPr="002A154A" w:rsidP="002A154A">
      <w:pPr>
        <w:bidi w:val="0"/>
        <w:jc w:val="center"/>
        <w:rPr>
          <w:rFonts w:ascii="Times New Roman" w:hAnsi="Times New Roman"/>
          <w:b/>
          <w:bCs/>
          <w:caps/>
          <w:color w:val="000000"/>
          <w:spacing w:val="30"/>
        </w:rPr>
      </w:pPr>
      <w:r w:rsidRPr="002A154A" w:rsidR="00C0489E">
        <w:rPr>
          <w:rStyle w:val="PlaceholderText"/>
          <w:color w:val="000000"/>
        </w:rPr>
        <w:t> </w:t>
      </w:r>
      <w:r w:rsidRPr="002A154A">
        <w:rPr>
          <w:rFonts w:ascii="Times New Roman" w:hAnsi="Times New Roman"/>
          <w:b/>
          <w:bCs/>
          <w:caps/>
          <w:color w:val="000000"/>
          <w:spacing w:val="30"/>
        </w:rPr>
        <w:t>Doložka</w:t>
      </w:r>
    </w:p>
    <w:p w:rsidR="002A154A" w:rsidRPr="002A154A" w:rsidP="002A154A">
      <w:pPr>
        <w:bidi w:val="0"/>
        <w:jc w:val="center"/>
        <w:rPr>
          <w:rFonts w:ascii="Times New Roman" w:hAnsi="Times New Roman"/>
          <w:b/>
          <w:bCs/>
          <w:color w:val="000000"/>
        </w:rPr>
      </w:pPr>
      <w:r w:rsidRPr="002A154A">
        <w:rPr>
          <w:rFonts w:ascii="Times New Roman" w:hAnsi="Times New Roman"/>
          <w:b/>
          <w:bCs/>
          <w:color w:val="000000"/>
        </w:rPr>
        <w:t>vybraných vplyvov</w:t>
      </w:r>
    </w:p>
    <w:p w:rsidR="002A154A" w:rsidRPr="002A154A" w:rsidP="002A154A">
      <w:pPr>
        <w:bidi w:val="0"/>
        <w:rPr>
          <w:rFonts w:ascii="Times New Roman" w:hAnsi="Times New Roman"/>
          <w:color w:val="000000"/>
        </w:rPr>
      </w:pPr>
    </w:p>
    <w:p w:rsidR="002A154A" w:rsidRPr="002A154A" w:rsidP="002A154A">
      <w:pPr>
        <w:bidi w:val="0"/>
        <w:rPr>
          <w:rFonts w:ascii="Times New Roman" w:hAnsi="Times New Roman"/>
          <w:color w:val="000000"/>
        </w:rPr>
      </w:pPr>
    </w:p>
    <w:p w:rsidR="002A154A" w:rsidRPr="002A154A" w:rsidP="002A154A">
      <w:pPr>
        <w:bidi w:val="0"/>
        <w:jc w:val="both"/>
        <w:rPr>
          <w:rFonts w:ascii="Times New Roman" w:hAnsi="Times New Roman"/>
          <w:color w:val="000000"/>
        </w:rPr>
      </w:pPr>
      <w:r w:rsidRPr="002A154A">
        <w:rPr>
          <w:rFonts w:ascii="Times New Roman" w:hAnsi="Times New Roman"/>
          <w:b/>
          <w:bCs/>
          <w:color w:val="000000"/>
        </w:rPr>
        <w:t xml:space="preserve">A.1. Názov materiálu: </w:t>
      </w:r>
      <w:r w:rsidRPr="002A154A">
        <w:rPr>
          <w:rFonts w:ascii="Times New Roman" w:hAnsi="Times New Roman"/>
          <w:color w:val="000000"/>
        </w:rPr>
        <w:t>Návrh zákona, ktorým sa mení a dopĺňa zákon č. 98/2004 Z. z. o spotrebnej dani z minerálneho oleja v znení neskorších predpisov a ktorým sa menia a dopĺňajú niektoré zákony </w:t>
      </w:r>
    </w:p>
    <w:p w:rsidR="002A154A" w:rsidRPr="002A154A" w:rsidP="002A154A">
      <w:pPr>
        <w:bidi w:val="0"/>
        <w:jc w:val="both"/>
        <w:rPr>
          <w:rFonts w:ascii="Times New Roman" w:hAnsi="Times New Roman"/>
          <w:b/>
          <w:bCs/>
          <w:color w:val="000000"/>
        </w:rPr>
      </w:pPr>
      <w:r w:rsidRPr="002A154A">
        <w:rPr>
          <w:rFonts w:ascii="Times New Roman" w:hAnsi="Times New Roman"/>
          <w:b/>
          <w:bCs/>
          <w:color w:val="000000"/>
        </w:rPr>
        <w:t xml:space="preserve">        Termín začatia a ukončenia PPK:</w:t>
      </w:r>
      <w:r w:rsidRPr="002A154A">
        <w:rPr>
          <w:rFonts w:ascii="Times New Roman" w:hAnsi="Times New Roman"/>
          <w:color w:val="000000"/>
        </w:rPr>
        <w:t xml:space="preserve"> -  </w:t>
      </w:r>
    </w:p>
    <w:p w:rsidR="002A154A" w:rsidRPr="002A154A" w:rsidP="002A154A">
      <w:pPr>
        <w:bidi w:val="0"/>
        <w:jc w:val="both"/>
        <w:rPr>
          <w:rFonts w:ascii="Times New Roman" w:hAnsi="Times New Roman"/>
          <w:b/>
          <w:bCs/>
          <w:color w:val="000000"/>
        </w:rPr>
      </w:pPr>
    </w:p>
    <w:p w:rsidR="002A154A" w:rsidRPr="002A154A" w:rsidP="002A154A">
      <w:pPr>
        <w:bidi w:val="0"/>
        <w:jc w:val="both"/>
        <w:rPr>
          <w:rFonts w:ascii="Times New Roman" w:hAnsi="Times New Roman"/>
          <w:b/>
          <w:bCs/>
          <w:color w:val="000000"/>
        </w:rPr>
      </w:pPr>
      <w:r w:rsidRPr="002A154A">
        <w:rPr>
          <w:rFonts w:ascii="Times New Roman" w:hAnsi="Times New Roman"/>
          <w:b/>
          <w:bCs/>
          <w:color w:val="000000"/>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758"/>
        <w:gridCol w:w="1206"/>
        <w:gridCol w:w="1206"/>
        <w:gridCol w:w="120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jc w:val="center"/>
              <w:rPr>
                <w:rFonts w:ascii="Times New Roman" w:hAnsi="Times New Roman"/>
                <w:color w:val="000000"/>
              </w:rPr>
            </w:pPr>
            <w:r w:rsidRPr="002A154A">
              <w:rPr>
                <w:rFonts w:ascii="Times New Roman" w:hAnsi="Times New Roman"/>
                <w:color w:val="000000"/>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jc w:val="center"/>
              <w:rPr>
                <w:rFonts w:ascii="Times New Roman" w:hAnsi="Times New Roman"/>
                <w:color w:val="000000"/>
              </w:rPr>
            </w:pPr>
            <w:r w:rsidRPr="002A154A">
              <w:rPr>
                <w:rFonts w:ascii="Times New Roman" w:hAnsi="Times New Roman"/>
                <w:color w:val="000000"/>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jc w:val="center"/>
              <w:rPr>
                <w:rFonts w:ascii="Times New Roman" w:hAnsi="Times New Roman"/>
                <w:color w:val="000000"/>
              </w:rPr>
            </w:pPr>
            <w:r w:rsidRPr="002A154A">
              <w:rPr>
                <w:rFonts w:ascii="Times New Roman" w:hAnsi="Times New Roman"/>
                <w:color w:val="000000"/>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rPr>
                <w:rFonts w:ascii="Times New Roman" w:hAnsi="Times New Roman"/>
                <w:color w:val="000000"/>
              </w:rPr>
            </w:pPr>
            <w:r w:rsidRPr="002A154A">
              <w:rPr>
                <w:rFonts w:ascii="Times New Roman" w:hAnsi="Times New Roman"/>
                <w:color w:val="000000"/>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jc w:val="center"/>
              <w:rPr>
                <w:rFonts w:ascii="Times New Roman" w:hAnsi="Times New Roman"/>
                <w:color w:val="000000"/>
              </w:rPr>
            </w:pPr>
            <w:r w:rsidRPr="002A154A">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rPr>
                <w:rFonts w:ascii="Times New Roman" w:hAnsi="Times New Roman"/>
                <w:color w:val="000000"/>
              </w:rPr>
            </w:pPr>
            <w:r w:rsidRPr="002A154A">
              <w:rPr>
                <w:rFonts w:ascii="Times New Roman" w:hAnsi="Times New Roman"/>
                <w:color w:val="000000"/>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jc w:val="center"/>
              <w:rPr>
                <w:rFonts w:ascii="Times New Roman" w:hAnsi="Times New Roman"/>
                <w:color w:val="000000"/>
              </w:rPr>
            </w:pPr>
            <w:r w:rsidRPr="002A154A">
              <w:rPr>
                <w:rFonts w:ascii="Times New Roman" w:hAnsi="Times New Roman"/>
                <w:color w:val="000000"/>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rPr>
                <w:rFonts w:ascii="Times New Roman" w:hAnsi="Times New Roman"/>
                <w:color w:val="000000"/>
              </w:rPr>
            </w:pPr>
            <w:r w:rsidRPr="002A154A">
              <w:rPr>
                <w:rFonts w:ascii="Times New Roman" w:hAnsi="Times New Roman"/>
                <w:color w:val="000000"/>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jc w:val="center"/>
              <w:rPr>
                <w:rFonts w:ascii="Times New Roman" w:hAnsi="Times New Roman"/>
                <w:color w:val="000000"/>
              </w:rPr>
            </w:pPr>
            <w:r w:rsidRPr="002A154A">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rPr>
                <w:rFonts w:ascii="Times New Roman" w:hAnsi="Times New Roman"/>
                <w:color w:val="000000"/>
              </w:rPr>
            </w:pPr>
            <w:r w:rsidRPr="002A154A">
              <w:rPr>
                <w:rFonts w:ascii="Times New Roman" w:hAnsi="Times New Roman"/>
                <w:color w:val="000000"/>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rPr>
                <w:rFonts w:ascii="Times New Roman" w:hAnsi="Times New Roman"/>
                <w:color w:val="000000"/>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rPr>
                <w:rFonts w:ascii="Times New Roman" w:hAnsi="Times New Roman"/>
                <w:color w:val="000000"/>
              </w:rPr>
            </w:pPr>
            <w:r w:rsidRPr="002A154A">
              <w:rPr>
                <w:rFonts w:ascii="Times New Roman" w:hAnsi="Times New Roman"/>
                <w:color w:val="000000"/>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rPr>
                <w:rFonts w:ascii="Times New Roman" w:hAnsi="Times New Roman"/>
                <w:color w:val="000000"/>
              </w:rPr>
            </w:pPr>
            <w:r w:rsidRPr="002A154A">
              <w:rPr>
                <w:rFonts w:ascii="Times New Roman" w:hAnsi="Times New Roman"/>
                <w:color w:val="000000"/>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rPr>
                <w:rFonts w:ascii="Times New Roman" w:hAnsi="Times New Roman"/>
                <w:color w:val="000000"/>
              </w:rPr>
            </w:pPr>
            <w:r w:rsidRPr="002A154A">
              <w:rPr>
                <w:rFonts w:ascii="Times New Roman" w:hAnsi="Times New Roman"/>
                <w:color w:val="000000"/>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jc w:val="center"/>
              <w:rPr>
                <w:rFonts w:ascii="Times New Roman" w:hAnsi="Times New Roman"/>
                <w:color w:val="000000"/>
              </w:rPr>
            </w:pPr>
            <w:r w:rsidRPr="002A154A">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jc w:val="center"/>
              <w:rPr>
                <w:rFonts w:ascii="Times New Roman" w:hAnsi="Times New Roman"/>
                <w:color w:val="000000"/>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rPr>
                <w:rFonts w:ascii="Times New Roman" w:hAnsi="Times New Roman"/>
                <w:color w:val="000000"/>
              </w:rPr>
            </w:pPr>
            <w:r w:rsidRPr="002A154A">
              <w:rPr>
                <w:rFonts w:ascii="Times New Roman" w:hAnsi="Times New Roman"/>
                <w:color w:val="000000"/>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jc w:val="center"/>
              <w:rPr>
                <w:rFonts w:ascii="Times New Roman" w:hAnsi="Times New Roman"/>
                <w:color w:val="000000"/>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jc w:val="center"/>
              <w:rPr>
                <w:rFonts w:ascii="Times New Roman" w:hAnsi="Times New Roman"/>
                <w:color w:val="000000"/>
              </w:rPr>
            </w:pPr>
            <w:r w:rsidRPr="002A154A">
              <w:rPr>
                <w:rFonts w:ascii="Times New Roman" w:hAnsi="Times New Roman"/>
                <w:color w:val="000000"/>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2A154A" w:rsidRPr="002A154A" w:rsidP="00532D68">
            <w:pPr>
              <w:widowControl/>
              <w:bidi w:val="0"/>
              <w:jc w:val="center"/>
              <w:rPr>
                <w:rFonts w:ascii="Times New Roman" w:hAnsi="Times New Roman"/>
                <w:color w:val="000000"/>
              </w:rPr>
            </w:pPr>
          </w:p>
        </w:tc>
      </w:tr>
    </w:tbl>
    <w:p w:rsidR="002A154A" w:rsidRPr="002A154A" w:rsidP="002A154A">
      <w:pPr>
        <w:widowControl/>
        <w:bidi w:val="0"/>
        <w:rPr>
          <w:rFonts w:ascii="Times New Roman" w:hAnsi="Times New Roman"/>
          <w:color w:val="000000"/>
        </w:rPr>
      </w:pPr>
      <w:r w:rsidRPr="002A154A">
        <w:rPr>
          <w:rFonts w:ascii="Times New Roman" w:hAnsi="Times New Roman"/>
          <w:color w:val="000000"/>
        </w:rPr>
        <w:t> </w:t>
      </w:r>
    </w:p>
    <w:p w:rsidR="002A154A" w:rsidRPr="002A154A" w:rsidP="002A154A">
      <w:pPr>
        <w:bidi w:val="0"/>
        <w:jc w:val="both"/>
        <w:rPr>
          <w:rFonts w:ascii="Times New Roman" w:hAnsi="Times New Roman"/>
          <w:b/>
          <w:bCs/>
          <w:color w:val="000000"/>
        </w:rPr>
      </w:pPr>
    </w:p>
    <w:p w:rsidR="002A154A" w:rsidRPr="002A154A" w:rsidP="002A154A">
      <w:pPr>
        <w:bidi w:val="0"/>
        <w:jc w:val="both"/>
        <w:rPr>
          <w:rFonts w:ascii="Times New Roman" w:hAnsi="Times New Roman"/>
          <w:b/>
          <w:bCs/>
          <w:color w:val="000000"/>
        </w:rPr>
      </w:pPr>
      <w:r w:rsidRPr="002A154A">
        <w:rPr>
          <w:rFonts w:ascii="Times New Roman" w:hAnsi="Times New Roman"/>
          <w:b/>
          <w:bCs/>
          <w:color w:val="000000"/>
        </w:rPr>
        <w:t>A.3. Poznámky</w:t>
      </w:r>
    </w:p>
    <w:p w:rsidR="002A154A" w:rsidRPr="002A154A" w:rsidP="002A154A">
      <w:pPr>
        <w:bidi w:val="0"/>
        <w:jc w:val="both"/>
        <w:rPr>
          <w:rFonts w:ascii="Times New Roman" w:hAnsi="Times New Roman"/>
          <w:color w:val="000000"/>
        </w:rPr>
      </w:pPr>
      <w:r w:rsidRPr="002A154A">
        <w:rPr>
          <w:rFonts w:ascii="Times New Roman" w:hAnsi="Times New Roman"/>
          <w:color w:val="000000"/>
        </w:rPr>
        <w:t> </w:t>
      </w:r>
    </w:p>
    <w:p w:rsidR="002A154A" w:rsidRPr="002A154A" w:rsidP="002A154A">
      <w:pPr>
        <w:bidi w:val="0"/>
        <w:jc w:val="both"/>
        <w:rPr>
          <w:rFonts w:ascii="Times New Roman" w:hAnsi="Times New Roman"/>
          <w:i/>
          <w:iCs/>
          <w:color w:val="000000"/>
        </w:rPr>
      </w:pPr>
      <w:r w:rsidRPr="002A154A">
        <w:rPr>
          <w:rFonts w:ascii="Times New Roman" w:hAnsi="Times New Roman"/>
          <w:i/>
          <w:iCs/>
          <w:color w:val="000000"/>
        </w:rPr>
        <w:t xml:space="preserve">      </w:t>
      </w:r>
    </w:p>
    <w:p w:rsidR="002A154A" w:rsidRPr="002A154A" w:rsidP="002A154A">
      <w:pPr>
        <w:bidi w:val="0"/>
        <w:jc w:val="both"/>
        <w:rPr>
          <w:rFonts w:ascii="Times New Roman" w:hAnsi="Times New Roman"/>
          <w:b/>
          <w:bCs/>
          <w:color w:val="000000"/>
        </w:rPr>
      </w:pPr>
      <w:r w:rsidRPr="002A154A">
        <w:rPr>
          <w:rFonts w:ascii="Times New Roman" w:hAnsi="Times New Roman"/>
          <w:b/>
          <w:bCs/>
          <w:color w:val="000000"/>
        </w:rPr>
        <w:t>A.4. Alternatívne riešenia</w:t>
      </w:r>
    </w:p>
    <w:p w:rsidR="002A154A" w:rsidRPr="002A154A" w:rsidP="002A154A">
      <w:pPr>
        <w:bidi w:val="0"/>
        <w:jc w:val="both"/>
        <w:rPr>
          <w:rFonts w:ascii="Times New Roman" w:hAnsi="Times New Roman"/>
          <w:b/>
          <w:bCs/>
          <w:color w:val="000000"/>
        </w:rPr>
      </w:pPr>
      <w:r w:rsidRPr="002A154A">
        <w:rPr>
          <w:rFonts w:ascii="Times New Roman" w:hAnsi="Times New Roman"/>
          <w:color w:val="000000"/>
        </w:rPr>
        <w:t>bezpredmetné </w:t>
      </w:r>
    </w:p>
    <w:p w:rsidR="002A154A" w:rsidRPr="002A154A" w:rsidP="002A154A">
      <w:pPr>
        <w:bidi w:val="0"/>
        <w:jc w:val="both"/>
        <w:rPr>
          <w:rFonts w:ascii="Times New Roman" w:hAnsi="Times New Roman"/>
          <w:b/>
          <w:bCs/>
          <w:color w:val="000000"/>
        </w:rPr>
      </w:pPr>
    </w:p>
    <w:p w:rsidR="002A154A" w:rsidRPr="002A154A" w:rsidP="002A154A">
      <w:pPr>
        <w:bidi w:val="0"/>
        <w:jc w:val="both"/>
        <w:rPr>
          <w:rFonts w:ascii="Times New Roman" w:hAnsi="Times New Roman"/>
          <w:b/>
          <w:bCs/>
          <w:color w:val="000000"/>
        </w:rPr>
      </w:pPr>
      <w:r w:rsidRPr="002A154A">
        <w:rPr>
          <w:rFonts w:ascii="Times New Roman" w:hAnsi="Times New Roman"/>
          <w:b/>
          <w:bCs/>
          <w:color w:val="000000"/>
        </w:rPr>
        <w:t>A.5. Stanovisko gestorov</w:t>
      </w:r>
    </w:p>
    <w:p w:rsidR="002A154A" w:rsidRPr="002A154A" w:rsidP="002A154A">
      <w:pPr>
        <w:bidi w:val="0"/>
        <w:jc w:val="both"/>
        <w:rPr>
          <w:rFonts w:ascii="Times New Roman" w:hAnsi="Times New Roman"/>
          <w:b/>
          <w:bCs/>
          <w:color w:val="000000"/>
        </w:rPr>
      </w:pPr>
      <w:r w:rsidRPr="002A154A">
        <w:rPr>
          <w:rFonts w:ascii="Times New Roman" w:hAnsi="Times New Roman"/>
          <w:color w:val="000000"/>
        </w:rPr>
        <w:t> </w:t>
      </w:r>
    </w:p>
    <w:p w:rsidR="00C0489E"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E43484" w:rsidRPr="00812B3F" w:rsidP="00E43484">
      <w:pPr>
        <w:bidi w:val="0"/>
        <w:jc w:val="center"/>
        <w:rPr>
          <w:rFonts w:ascii="Times New Roman" w:hAnsi="Times New Roman"/>
          <w:b/>
          <w:bCs/>
        </w:rPr>
      </w:pPr>
      <w:r w:rsidRPr="00812B3F">
        <w:rPr>
          <w:rFonts w:ascii="Times New Roman" w:hAnsi="Times New Roman"/>
          <w:b/>
          <w:bCs/>
        </w:rPr>
        <w:t>Vplyvy na podnikateľské prostredie</w:t>
      </w:r>
    </w:p>
    <w:p w:rsidR="00E43484" w:rsidRPr="003D411B" w:rsidP="00E43484">
      <w:pPr>
        <w:bidi w:val="0"/>
        <w:rPr>
          <w:rFonts w:ascii="Arial Narrow" w:hAnsi="Arial Narrow"/>
          <w:b/>
          <w:bCs/>
          <w:sz w:val="22"/>
          <w:szCs w:val="22"/>
        </w:rPr>
      </w:pPr>
    </w:p>
    <w:p w:rsidR="00E43484" w:rsidRPr="003D411B" w:rsidP="00E43484">
      <w:pPr>
        <w:bidi w:val="0"/>
        <w:rPr>
          <w:rFonts w:ascii="Arial Narrow" w:hAnsi="Arial Narrow"/>
          <w:b/>
          <w:bCs/>
          <w:sz w:val="22"/>
          <w:szCs w:val="22"/>
        </w:rPr>
      </w:pP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E43484" w:rsidRPr="00812B3F" w:rsidP="00B17E28">
            <w:pPr>
              <w:bidi w:val="0"/>
              <w:jc w:val="center"/>
              <w:rPr>
                <w:rFonts w:ascii="Times New Roman" w:hAnsi="Times New Roman"/>
                <w:b/>
                <w:bCs/>
                <w:color w:val="FFFFFF"/>
              </w:rPr>
            </w:pPr>
            <w:r w:rsidRPr="00812B3F">
              <w:rPr>
                <w:rFonts w:ascii="Times New Roman" w:hAnsi="Times New Roman"/>
                <w:b/>
                <w:bCs/>
                <w:color w:val="FFFFFF"/>
              </w:rPr>
              <w:t>Vplyvy na podnikateľské prostredie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E43484" w:rsidRPr="00812B3F" w:rsidP="00B17E28">
            <w:pPr>
              <w:bidi w:val="0"/>
              <w:jc w:val="both"/>
              <w:rPr>
                <w:rFonts w:ascii="Times New Roman" w:hAnsi="Times New Roman"/>
              </w:rPr>
            </w:pPr>
          </w:p>
          <w:p w:rsidR="00E43484" w:rsidRPr="00812B3F" w:rsidP="00B17E28">
            <w:pPr>
              <w:bidi w:val="0"/>
              <w:jc w:val="both"/>
              <w:rPr>
                <w:rFonts w:ascii="Times New Roman" w:hAnsi="Times New Roman"/>
              </w:rPr>
            </w:pPr>
            <w:r w:rsidRPr="00812B3F">
              <w:rPr>
                <w:rFonts w:ascii="Times New Roman" w:hAnsi="Times New Roman"/>
                <w:b/>
              </w:rPr>
              <w:t>3.1</w:t>
            </w:r>
            <w:r w:rsidRPr="00812B3F">
              <w:rPr>
                <w:rFonts w:ascii="Times New Roman" w:hAnsi="Times New Roman"/>
              </w:rPr>
              <w:t xml:space="preserve">. Ktoré podnikateľské subjekty budú predkladaným návrhom ovplyvnené a aký je ich počet? </w:t>
            </w:r>
          </w:p>
        </w:tc>
        <w:tc>
          <w:tcPr>
            <w:tcW w:w="5040" w:type="dxa"/>
            <w:tcBorders>
              <w:top w:val="nil"/>
              <w:left w:val="nil"/>
              <w:bottom w:val="single" w:sz="4" w:space="0" w:color="auto"/>
              <w:right w:val="single" w:sz="8" w:space="0" w:color="auto"/>
            </w:tcBorders>
            <w:noWrap/>
            <w:textDirection w:val="lrTb"/>
            <w:vAlign w:val="center"/>
          </w:tcPr>
          <w:p w:rsidR="00E43484" w:rsidRPr="00812B3F" w:rsidP="00B17E28">
            <w:pPr>
              <w:autoSpaceDE w:val="0"/>
              <w:autoSpaceDN w:val="0"/>
              <w:bidi w:val="0"/>
              <w:jc w:val="both"/>
              <w:rPr>
                <w:rFonts w:ascii="Times New Roman" w:hAnsi="Times New Roman"/>
              </w:rPr>
            </w:pPr>
            <w:r w:rsidRPr="00812B3F">
              <w:rPr>
                <w:rFonts w:ascii="Times New Roman" w:hAnsi="Times New Roman"/>
              </w:rPr>
              <w:t>Všeobecne sa predpokladá, že navrhované znenie zákona ovplyvní tie podnikateľské subjekty, ktoré neboli povinnými osobami podľa teraz platného znenia § 25b zákona o spotrebnej dani z minerálneho oleja, a ktorým podľa navrhovaného znenia § 25b zákona o spotrebnej dani z minerálneho oleja vznikne povinnosť požiadať colný úrad o vydanie povolenia na distribúciu pohonných látok alebo povolenia na predaj pohonných látok, alebo povinnosť požiadať colný úrad o zaradenie do evidencie spotrebiteľov pohonných látok. Počet dotknutých subjektov nie je možné určiť.</w:t>
            </w:r>
          </w:p>
          <w:p w:rsidR="00E43484" w:rsidRPr="00812B3F" w:rsidP="00B17E28">
            <w:pPr>
              <w:autoSpaceDE w:val="0"/>
              <w:autoSpaceDN w:val="0"/>
              <w:bidi w:val="0"/>
              <w:jc w:val="both"/>
              <w:rPr>
                <w:rFonts w:ascii="Times New Roman" w:hAnsi="Times New Roman"/>
              </w:rPr>
            </w:pP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E43484" w:rsidRPr="00812B3F" w:rsidP="00B17E28">
            <w:pPr>
              <w:bidi w:val="0"/>
              <w:jc w:val="both"/>
              <w:rPr>
                <w:rFonts w:ascii="Times New Roman" w:hAnsi="Times New Roman"/>
              </w:rPr>
            </w:pPr>
            <w:r w:rsidRPr="00812B3F">
              <w:rPr>
                <w:rFonts w:ascii="Times New Roman" w:hAnsi="Times New Roman"/>
                <w:b/>
              </w:rPr>
              <w:t>3.2</w:t>
            </w:r>
            <w:r w:rsidRPr="00812B3F">
              <w:rPr>
                <w:rFonts w:ascii="Times New Roman" w:hAnsi="Times New Roman"/>
              </w:rPr>
              <w:t>. Aký je predpokladaný charakter a rozsah nákladov a prínosov?</w:t>
            </w:r>
          </w:p>
        </w:tc>
        <w:tc>
          <w:tcPr>
            <w:tcW w:w="5040" w:type="dxa"/>
            <w:tcBorders>
              <w:top w:val="nil"/>
              <w:left w:val="nil"/>
              <w:bottom w:val="single" w:sz="4" w:space="0" w:color="auto"/>
              <w:right w:val="single" w:sz="8" w:space="0" w:color="auto"/>
            </w:tcBorders>
            <w:noWrap/>
            <w:textDirection w:val="lrTb"/>
            <w:vAlign w:val="center"/>
          </w:tcPr>
          <w:p w:rsidR="00E43484" w:rsidRPr="00812B3F" w:rsidP="00B17E28">
            <w:pPr>
              <w:bidi w:val="0"/>
              <w:jc w:val="both"/>
              <w:rPr>
                <w:rFonts w:ascii="Times New Roman" w:hAnsi="Times New Roman"/>
              </w:rPr>
            </w:pPr>
            <w:r w:rsidRPr="00812B3F">
              <w:rPr>
                <w:rFonts w:ascii="Times New Roman" w:hAnsi="Times New Roman"/>
                <w:lang w:val="pt-BR"/>
              </w:rPr>
              <w:t xml:space="preserve">Predpokladajú sa jednorazové náklady v súvislosti s plnením niektorých podmienok podnikateľských subjektov, ktoré požiadajú </w:t>
            </w:r>
            <w:r w:rsidRPr="00812B3F">
              <w:rPr>
                <w:rFonts w:ascii="Times New Roman" w:hAnsi="Times New Roman"/>
              </w:rPr>
              <w:t>o vydanie povolenia na distribúciu pohonných látok alebo povolenia na predaj pohonných látok, alebo o zaradenie do evidencie spotrebiteľov pohonných látok v súlade so zákonom o spotrebnej dani z minerálneho oleja.</w:t>
            </w:r>
          </w:p>
          <w:p w:rsidR="00E43484" w:rsidRPr="00812B3F" w:rsidP="00B17E28">
            <w:pPr>
              <w:bidi w:val="0"/>
              <w:jc w:val="both"/>
              <w:rPr>
                <w:rFonts w:ascii="Times New Roman" w:hAnsi="Times New Roman"/>
                <w:lang w:val="pt-BR"/>
              </w:rPr>
            </w:pP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E43484" w:rsidRPr="00812B3F" w:rsidP="00B17E28">
            <w:pPr>
              <w:bidi w:val="0"/>
              <w:jc w:val="both"/>
              <w:rPr>
                <w:rFonts w:ascii="Times New Roman" w:hAnsi="Times New Roman"/>
                <w:b/>
              </w:rPr>
            </w:pPr>
          </w:p>
          <w:p w:rsidR="00E43484" w:rsidRPr="00812B3F" w:rsidP="00B17E28">
            <w:pPr>
              <w:bidi w:val="0"/>
              <w:jc w:val="both"/>
              <w:rPr>
                <w:rFonts w:ascii="Times New Roman" w:hAnsi="Times New Roman"/>
              </w:rPr>
            </w:pPr>
            <w:r w:rsidRPr="00812B3F">
              <w:rPr>
                <w:rFonts w:ascii="Times New Roman" w:hAnsi="Times New Roman"/>
                <w:b/>
              </w:rPr>
              <w:t>3.3</w:t>
            </w:r>
            <w:r w:rsidRPr="00812B3F">
              <w:rPr>
                <w:rFonts w:ascii="Times New Roman" w:hAnsi="Times New Roman"/>
              </w:rPr>
              <w:t>. Aká je predpokladaná výška administratívnych nákladov, ktoré podniky vynaložia v súvislosti s implementáciou návrhu?</w:t>
            </w:r>
          </w:p>
          <w:p w:rsidR="00E43484" w:rsidRPr="00812B3F" w:rsidP="00B17E28">
            <w:pPr>
              <w:bidi w:val="0"/>
              <w:ind w:left="360" w:hanging="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E43484" w:rsidRPr="00812B3F" w:rsidP="00B17E28">
            <w:pPr>
              <w:bidi w:val="0"/>
              <w:jc w:val="both"/>
              <w:rPr>
                <w:rFonts w:ascii="Times New Roman" w:hAnsi="Times New Roman"/>
              </w:rPr>
            </w:pPr>
            <w:r w:rsidRPr="00812B3F">
              <w:rPr>
                <w:rFonts w:ascii="Times New Roman" w:hAnsi="Times New Roman"/>
              </w:rPr>
              <w:t>Predpokladá sa mierne zvýšenie administratívnych nákladov daňovým subjektom podľa bodu 3.1. v súvislosti s podaním žiadosti o vydanie príslušného povolenia alebo žiadosti o zaradenie do evidencie spotrebiteľov pohonných látok v súlade so zákonom o spotrebnej dani z minerálneho oleja.</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E43484" w:rsidRPr="00812B3F" w:rsidP="00B17E28">
            <w:pPr>
              <w:bidi w:val="0"/>
              <w:jc w:val="both"/>
              <w:rPr>
                <w:rFonts w:ascii="Times New Roman" w:hAnsi="Times New Roman"/>
              </w:rPr>
            </w:pPr>
          </w:p>
          <w:p w:rsidR="00E43484" w:rsidRPr="00812B3F" w:rsidP="00B17E28">
            <w:pPr>
              <w:bidi w:val="0"/>
              <w:jc w:val="both"/>
              <w:rPr>
                <w:rFonts w:ascii="Times New Roman" w:hAnsi="Times New Roman"/>
              </w:rPr>
            </w:pPr>
            <w:r w:rsidRPr="00812B3F">
              <w:rPr>
                <w:rFonts w:ascii="Times New Roman" w:hAnsi="Times New Roman"/>
                <w:b/>
              </w:rPr>
              <w:t>3.4</w:t>
            </w:r>
            <w:r w:rsidRPr="00812B3F">
              <w:rPr>
                <w:rFonts w:ascii="Times New Roman" w:hAnsi="Times New Roman"/>
              </w:rPr>
              <w:t>. Aké sú dôsledky pripravovaného návrhu pre fungovanie podnikateľských subjektov na slovenskom trhu (ako sa zmenia operácie na trhu ?)</w:t>
            </w:r>
          </w:p>
          <w:p w:rsidR="00E43484" w:rsidRPr="00812B3F" w:rsidP="00B17E28">
            <w:pPr>
              <w:bidi w:val="0"/>
              <w:ind w:left="36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E43484" w:rsidRPr="00812B3F" w:rsidP="00B17E28">
            <w:pPr>
              <w:bidi w:val="0"/>
              <w:jc w:val="both"/>
              <w:rPr>
                <w:rFonts w:ascii="Times New Roman" w:hAnsi="Times New Roman"/>
                <w:bCs/>
              </w:rPr>
            </w:pPr>
            <w:r w:rsidRPr="00812B3F">
              <w:rPr>
                <w:rFonts w:ascii="Times New Roman" w:hAnsi="Times New Roman"/>
              </w:rPr>
              <w:t>Nepredpokladajú sa žiadne dôsledky pre fungovanie podnikateľských subjektov na slovenskom trhu.</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E43484" w:rsidRPr="00812B3F" w:rsidP="00B17E28">
            <w:pPr>
              <w:bidi w:val="0"/>
              <w:jc w:val="both"/>
              <w:rPr>
                <w:rFonts w:ascii="Times New Roman" w:hAnsi="Times New Roman"/>
              </w:rPr>
            </w:pPr>
          </w:p>
          <w:p w:rsidR="00E43484" w:rsidRPr="00812B3F" w:rsidP="00B17E28">
            <w:pPr>
              <w:bidi w:val="0"/>
              <w:jc w:val="both"/>
              <w:rPr>
                <w:rFonts w:ascii="Times New Roman" w:hAnsi="Times New Roman"/>
              </w:rPr>
            </w:pPr>
            <w:r w:rsidRPr="00812B3F">
              <w:rPr>
                <w:rFonts w:ascii="Times New Roman" w:hAnsi="Times New Roman"/>
                <w:b/>
              </w:rPr>
              <w:t>3.5</w:t>
            </w:r>
            <w:r w:rsidRPr="00812B3F">
              <w:rPr>
                <w:rFonts w:ascii="Times New Roman" w:hAnsi="Times New Roman"/>
              </w:rPr>
              <w:t>. Aké sú predpokladané spoločensko-ekonomické dôsledky pripravovaných regulácií?</w:t>
            </w:r>
          </w:p>
          <w:p w:rsidR="00E43484" w:rsidRPr="00812B3F" w:rsidP="00B17E28">
            <w:pPr>
              <w:bidi w:val="0"/>
              <w:jc w:val="both"/>
              <w:rPr>
                <w:rFonts w:ascii="Times New Roman" w:hAnsi="Times New Roman"/>
              </w:rPr>
            </w:pPr>
          </w:p>
        </w:tc>
        <w:tc>
          <w:tcPr>
            <w:tcW w:w="5040" w:type="dxa"/>
            <w:tcBorders>
              <w:top w:val="nil"/>
              <w:left w:val="nil"/>
              <w:bottom w:val="single" w:sz="4" w:space="0" w:color="auto"/>
              <w:right w:val="single" w:sz="8" w:space="0" w:color="auto"/>
            </w:tcBorders>
            <w:noWrap/>
            <w:textDirection w:val="lrTb"/>
            <w:vAlign w:val="center"/>
          </w:tcPr>
          <w:p w:rsidR="00E43484" w:rsidRPr="00812B3F" w:rsidP="00B17E28">
            <w:pPr>
              <w:bidi w:val="0"/>
              <w:jc w:val="both"/>
              <w:rPr>
                <w:rFonts w:ascii="Times New Roman" w:hAnsi="Times New Roman"/>
              </w:rPr>
            </w:pPr>
            <w:r w:rsidRPr="00812B3F">
              <w:rPr>
                <w:rFonts w:ascii="Times New Roman" w:hAnsi="Times New Roman"/>
              </w:rPr>
              <w:t>Nepredpokladajú sa žiadne spoločensko-ekonomické dôsledky pripravovaných regulácií.</w:t>
            </w:r>
          </w:p>
        </w:tc>
      </w:tr>
    </w:tbl>
    <w:p w:rsidR="00E43484" w:rsidP="002A154A">
      <w:pPr>
        <w:pStyle w:val="Title"/>
        <w:bidi w:val="0"/>
        <w:rPr>
          <w:rFonts w:ascii="Times New Roman" w:hAnsi="Times New Roman"/>
        </w:rPr>
      </w:pPr>
    </w:p>
    <w:p w:rsidR="002A154A" w:rsidRPr="002A154A" w:rsidP="002A154A">
      <w:pPr>
        <w:pStyle w:val="Title"/>
        <w:bidi w:val="0"/>
        <w:rPr>
          <w:rFonts w:ascii="Times New Roman" w:hAnsi="Times New Roman"/>
        </w:rPr>
      </w:pPr>
      <w:r w:rsidRPr="002A154A">
        <w:rPr>
          <w:rFonts w:ascii="Times New Roman" w:hAnsi="Times New Roman"/>
        </w:rPr>
        <w:t>DOLOŽKA ZLUČITEĽNOSTI</w:t>
      </w:r>
    </w:p>
    <w:p w:rsidR="002A154A" w:rsidRPr="002A154A" w:rsidP="002A154A">
      <w:pPr>
        <w:pStyle w:val="Zkladntext"/>
        <w:pBdr>
          <w:bottom w:val="single" w:sz="12" w:space="1" w:color="auto"/>
        </w:pBdr>
        <w:bidi w:val="0"/>
        <w:jc w:val="center"/>
        <w:rPr>
          <w:rFonts w:ascii="Times New Roman" w:hAnsi="Times New Roman"/>
          <w:b/>
          <w:bCs/>
          <w:szCs w:val="24"/>
        </w:rPr>
      </w:pPr>
      <w:r w:rsidRPr="002A154A">
        <w:rPr>
          <w:rFonts w:ascii="Times New Roman" w:hAnsi="Times New Roman"/>
          <w:b/>
          <w:bCs/>
          <w:szCs w:val="24"/>
        </w:rPr>
        <w:t>návrhu zákona, ktorým sa mení a dopĺňa zákon č. 98/2004 Z. z. o spotrebnej dani z minerálneho oleja v znení neskorších predpisov a ktorým sa menia a dopĺňajú niektoré zákony s právom Európskej únie</w:t>
      </w:r>
    </w:p>
    <w:p w:rsidR="002A154A" w:rsidRPr="002A154A" w:rsidP="002A154A">
      <w:pPr>
        <w:bidi w:val="0"/>
        <w:rPr>
          <w:rFonts w:ascii="Times New Roman" w:hAnsi="Times New Roman"/>
          <w:b/>
          <w:bCs/>
        </w:rPr>
      </w:pPr>
    </w:p>
    <w:p w:rsidR="002A154A" w:rsidRPr="002A154A" w:rsidP="002A154A">
      <w:pPr>
        <w:widowControl/>
        <w:numPr>
          <w:numId w:val="1"/>
        </w:numPr>
        <w:bidi w:val="0"/>
        <w:adjustRightInd/>
        <w:spacing w:after="120"/>
        <w:jc w:val="both"/>
        <w:rPr>
          <w:rFonts w:ascii="Times New Roman" w:hAnsi="Times New Roman"/>
        </w:rPr>
      </w:pPr>
      <w:r w:rsidRPr="002A154A">
        <w:rPr>
          <w:rFonts w:ascii="Times New Roman" w:hAnsi="Times New Roman"/>
          <w:b/>
          <w:bCs/>
        </w:rPr>
        <w:t>Predkladateľ zákona:</w:t>
      </w:r>
    </w:p>
    <w:p w:rsidR="002A154A" w:rsidRPr="002A154A" w:rsidP="002A154A">
      <w:pPr>
        <w:bidi w:val="0"/>
        <w:ind w:firstLine="425"/>
        <w:jc w:val="both"/>
        <w:rPr>
          <w:rFonts w:ascii="Times New Roman" w:hAnsi="Times New Roman"/>
        </w:rPr>
      </w:pPr>
      <w:r w:rsidRPr="002A154A">
        <w:rPr>
          <w:rFonts w:ascii="Times New Roman" w:hAnsi="Times New Roman"/>
        </w:rPr>
        <w:t xml:space="preserve">Vláda Slovenskej republiky. </w:t>
      </w:r>
    </w:p>
    <w:p w:rsidR="002A154A" w:rsidRPr="002A154A" w:rsidP="002A154A">
      <w:pPr>
        <w:bidi w:val="0"/>
        <w:jc w:val="both"/>
        <w:rPr>
          <w:rFonts w:ascii="Times New Roman" w:hAnsi="Times New Roman"/>
          <w:bCs/>
        </w:rPr>
      </w:pPr>
    </w:p>
    <w:p w:rsidR="002A154A" w:rsidRPr="002A154A" w:rsidP="002A154A">
      <w:pPr>
        <w:widowControl/>
        <w:numPr>
          <w:numId w:val="1"/>
        </w:numPr>
        <w:bidi w:val="0"/>
        <w:adjustRightInd/>
        <w:spacing w:after="120"/>
        <w:jc w:val="both"/>
        <w:rPr>
          <w:rFonts w:ascii="Times New Roman" w:hAnsi="Times New Roman"/>
          <w:b/>
          <w:bCs/>
        </w:rPr>
      </w:pPr>
      <w:r w:rsidRPr="002A154A">
        <w:rPr>
          <w:rFonts w:ascii="Times New Roman" w:hAnsi="Times New Roman"/>
          <w:b/>
          <w:bCs/>
        </w:rPr>
        <w:t>Názov návrhu zákona:</w:t>
      </w:r>
    </w:p>
    <w:p w:rsidR="002A154A" w:rsidRPr="002A154A" w:rsidP="002A154A">
      <w:pPr>
        <w:pStyle w:val="Zkladntext"/>
        <w:bidi w:val="0"/>
        <w:ind w:left="426"/>
        <w:jc w:val="both"/>
        <w:rPr>
          <w:rFonts w:ascii="Times New Roman" w:hAnsi="Times New Roman"/>
          <w:szCs w:val="24"/>
        </w:rPr>
      </w:pPr>
      <w:r w:rsidRPr="002A154A">
        <w:rPr>
          <w:rFonts w:ascii="Times New Roman" w:hAnsi="Times New Roman"/>
          <w:szCs w:val="24"/>
        </w:rPr>
        <w:t xml:space="preserve">Návrh zákona, </w:t>
      </w:r>
      <w:r w:rsidRPr="002A154A">
        <w:rPr>
          <w:rFonts w:ascii="Times New Roman" w:hAnsi="Times New Roman"/>
          <w:bCs/>
          <w:szCs w:val="24"/>
        </w:rPr>
        <w:t>ktorým sa mení a dopĺňa zákon č. 98/2004 Z. z. o spotrebnej dani z minerálneho oleja v znení neskorších predpisov a ktorým sa menia a dopĺňajú niektoré zákony.</w:t>
      </w:r>
    </w:p>
    <w:p w:rsidR="002A154A" w:rsidRPr="002A154A" w:rsidP="002A154A">
      <w:pPr>
        <w:bidi w:val="0"/>
        <w:spacing w:after="120"/>
        <w:jc w:val="both"/>
        <w:rPr>
          <w:rFonts w:ascii="Times New Roman" w:hAnsi="Times New Roman"/>
          <w:bCs/>
        </w:rPr>
      </w:pPr>
    </w:p>
    <w:p w:rsidR="002A154A" w:rsidRPr="002A154A" w:rsidP="002A154A">
      <w:pPr>
        <w:widowControl/>
        <w:numPr>
          <w:numId w:val="1"/>
        </w:numPr>
        <w:bidi w:val="0"/>
        <w:adjustRightInd/>
        <w:spacing w:after="120"/>
        <w:jc w:val="both"/>
        <w:rPr>
          <w:rFonts w:ascii="Times New Roman" w:hAnsi="Times New Roman"/>
          <w:b/>
          <w:bCs/>
        </w:rPr>
      </w:pPr>
      <w:r w:rsidRPr="002A154A">
        <w:rPr>
          <w:rFonts w:ascii="Times New Roman" w:hAnsi="Times New Roman"/>
          <w:b/>
          <w:bCs/>
        </w:rPr>
        <w:t xml:space="preserve">Problematika návrhu zákona: </w:t>
      </w:r>
    </w:p>
    <w:p w:rsidR="002A154A" w:rsidRPr="002A154A" w:rsidP="002A154A">
      <w:pPr>
        <w:pStyle w:val="BodyText"/>
        <w:numPr>
          <w:ilvl w:val="1"/>
          <w:numId w:val="1"/>
        </w:numPr>
        <w:bidi w:val="0"/>
        <w:rPr>
          <w:rFonts w:ascii="Times New Roman" w:hAnsi="Times New Roman"/>
        </w:rPr>
      </w:pPr>
      <w:r w:rsidRPr="002A154A">
        <w:rPr>
          <w:rFonts w:ascii="Times New Roman" w:hAnsi="Times New Roman"/>
        </w:rPr>
        <w:t>je upravená v práve Európskej únie:</w:t>
      </w:r>
    </w:p>
    <w:p w:rsidR="002A154A" w:rsidRPr="002A154A" w:rsidP="002A154A">
      <w:pPr>
        <w:pStyle w:val="BodyText"/>
        <w:bidi w:val="0"/>
        <w:ind w:left="426"/>
        <w:rPr>
          <w:rFonts w:ascii="Times New Roman" w:hAnsi="Times New Roman"/>
          <w:b/>
          <w:bCs/>
          <w:iCs/>
        </w:rPr>
      </w:pPr>
      <w:r w:rsidRPr="002A154A">
        <w:rPr>
          <w:rFonts w:ascii="Times New Roman" w:hAnsi="Times New Roman"/>
          <w:b/>
          <w:bCs/>
          <w:iCs/>
        </w:rPr>
        <w:t xml:space="preserve">Primárne právo: </w:t>
      </w:r>
    </w:p>
    <w:p w:rsidR="002A154A" w:rsidRPr="002A154A" w:rsidP="002A154A">
      <w:pPr>
        <w:pStyle w:val="BodyText"/>
        <w:numPr>
          <w:numId w:val="3"/>
        </w:numPr>
        <w:tabs>
          <w:tab w:val="num" w:pos="851"/>
          <w:tab w:val="clear" w:pos="900"/>
        </w:tabs>
        <w:bidi w:val="0"/>
        <w:ind w:left="896" w:hanging="329"/>
        <w:rPr>
          <w:rFonts w:ascii="Times New Roman" w:hAnsi="Times New Roman"/>
        </w:rPr>
      </w:pPr>
      <w:r w:rsidRPr="002A154A">
        <w:rPr>
          <w:rFonts w:ascii="Times New Roman" w:hAnsi="Times New Roman"/>
        </w:rPr>
        <w:t xml:space="preserve">čl. 110 až 113, čl. 349 a 355 Zmluvy o fungovaní Európskej únie, </w:t>
      </w:r>
    </w:p>
    <w:p w:rsidR="002A154A" w:rsidRPr="002A154A" w:rsidP="002A154A">
      <w:pPr>
        <w:pStyle w:val="Zkladntext0"/>
        <w:numPr>
          <w:numId w:val="3"/>
        </w:numPr>
        <w:tabs>
          <w:tab w:val="num" w:pos="851"/>
          <w:tab w:val="clear" w:pos="900"/>
        </w:tabs>
        <w:bidi w:val="0"/>
        <w:spacing w:after="120"/>
        <w:ind w:hanging="333"/>
        <w:rPr>
          <w:rFonts w:ascii="Times New Roman" w:hAnsi="Times New Roman"/>
          <w:sz w:val="24"/>
          <w:szCs w:val="24"/>
        </w:rPr>
      </w:pPr>
      <w:r w:rsidRPr="002A154A">
        <w:rPr>
          <w:rFonts w:ascii="Times New Roman" w:hAnsi="Times New Roman"/>
          <w:sz w:val="24"/>
          <w:szCs w:val="24"/>
        </w:rPr>
        <w:t>čl.  52 Zmluvy o Európskej únii.</w:t>
      </w:r>
    </w:p>
    <w:p w:rsidR="002A154A" w:rsidRPr="002A154A" w:rsidP="002A154A">
      <w:pPr>
        <w:pStyle w:val="BodyTextIndent"/>
        <w:bidi w:val="0"/>
        <w:spacing w:after="240"/>
        <w:ind w:left="426" w:firstLine="0"/>
        <w:rPr>
          <w:rFonts w:ascii="Times New Roman" w:hAnsi="Times New Roman"/>
        </w:rPr>
      </w:pPr>
      <w:r w:rsidRPr="002A154A">
        <w:rPr>
          <w:rFonts w:ascii="Times New Roman" w:hAnsi="Times New Roman"/>
          <w:b/>
          <w:bCs/>
          <w:iCs/>
        </w:rPr>
        <w:t>Sekundárne právo</w:t>
      </w:r>
      <w:r w:rsidRPr="002A154A">
        <w:rPr>
          <w:rFonts w:ascii="Times New Roman" w:hAnsi="Times New Roman"/>
          <w:b/>
          <w:bCs/>
          <w:i/>
          <w:iCs/>
        </w:rPr>
        <w:t xml:space="preserve"> </w:t>
      </w:r>
      <w:r w:rsidRPr="002A154A">
        <w:rPr>
          <w:rFonts w:ascii="Times New Roman" w:hAnsi="Times New Roman"/>
        </w:rPr>
        <w:t>(prijaté po nadobudnutí platnosti Lisabonskej zmluvy, ktorou sa mení a dopĺňa Zmluva o Európskej únii a Zmluva o Európskom spoločenstve - po 30. novembri 2009):</w:t>
      </w:r>
    </w:p>
    <w:p w:rsidR="002A154A" w:rsidRPr="002A154A" w:rsidP="002A154A">
      <w:pPr>
        <w:widowControl/>
        <w:numPr>
          <w:numId w:val="7"/>
        </w:numPr>
        <w:tabs>
          <w:tab w:val="left" w:pos="851"/>
        </w:tabs>
        <w:autoSpaceDE w:val="0"/>
        <w:autoSpaceDN w:val="0"/>
        <w:bidi w:val="0"/>
        <w:spacing w:before="120"/>
        <w:ind w:hanging="153"/>
        <w:jc w:val="both"/>
        <w:rPr>
          <w:rFonts w:ascii="Times New Roman" w:hAnsi="Times New Roman"/>
          <w:bCs/>
          <w:iCs/>
          <w:u w:val="single"/>
        </w:rPr>
      </w:pPr>
      <w:r w:rsidRPr="002A154A">
        <w:rPr>
          <w:rFonts w:ascii="Times New Roman" w:hAnsi="Times New Roman"/>
          <w:bCs/>
          <w:iCs/>
          <w:u w:val="single"/>
        </w:rPr>
        <w:t>legislatívne akty:</w:t>
      </w:r>
    </w:p>
    <w:p w:rsidR="002A154A" w:rsidRPr="002A154A" w:rsidP="002A154A">
      <w:pPr>
        <w:tabs>
          <w:tab w:val="left" w:pos="851"/>
        </w:tabs>
        <w:autoSpaceDE w:val="0"/>
        <w:autoSpaceDN w:val="0"/>
        <w:bidi w:val="0"/>
        <w:spacing w:after="120"/>
        <w:ind w:left="851" w:hanging="284"/>
        <w:jc w:val="both"/>
        <w:rPr>
          <w:rFonts w:ascii="Times New Roman" w:hAnsi="Times New Roman"/>
          <w:iCs/>
        </w:rPr>
      </w:pPr>
      <w:r w:rsidRPr="002A154A">
        <w:rPr>
          <w:rFonts w:ascii="Times New Roman" w:hAnsi="Times New Roman"/>
          <w:bCs/>
          <w:iCs/>
        </w:rPr>
        <w:t xml:space="preserve">- </w:t>
        <w:tab/>
        <w:t xml:space="preserve">smernica Rady </w:t>
      </w:r>
      <w:r w:rsidRPr="002A154A">
        <w:rPr>
          <w:rFonts w:ascii="Times New Roman" w:hAnsi="Times New Roman"/>
          <w:bCs/>
          <w:iCs/>
          <w:u w:val="single"/>
        </w:rPr>
        <w:t>2013/61/EÚ</w:t>
      </w:r>
      <w:r w:rsidRPr="002A154A">
        <w:rPr>
          <w:rFonts w:ascii="Times New Roman" w:hAnsi="Times New Roman"/>
          <w:bCs/>
          <w:iCs/>
        </w:rPr>
        <w:t xml:space="preserve"> zo 17. decembra 2013, ktorou sa menia smernice 2006/112/ES a 2008/118/ES, pokiaľ ide o najvzdialenejšie francúzske regióny, a najmä Mayotte</w:t>
      </w:r>
      <w:r w:rsidRPr="002A154A">
        <w:rPr>
          <w:rFonts w:ascii="Times New Roman" w:hAnsi="Times New Roman"/>
          <w:b/>
          <w:bCs/>
          <w:iCs/>
        </w:rPr>
        <w:t xml:space="preserve"> </w:t>
      </w:r>
      <w:r w:rsidRPr="002A154A">
        <w:rPr>
          <w:rFonts w:ascii="Times New Roman" w:hAnsi="Times New Roman"/>
        </w:rPr>
        <w:t>(</w:t>
      </w:r>
      <w:r w:rsidRPr="002A154A">
        <w:rPr>
          <w:rFonts w:ascii="Times New Roman" w:hAnsi="Times New Roman"/>
          <w:iCs/>
        </w:rPr>
        <w:t>Ú. v. EÚ L 353, 28.12.2013),</w:t>
      </w:r>
    </w:p>
    <w:p w:rsidR="002A154A" w:rsidRPr="002A154A" w:rsidP="002A154A">
      <w:pPr>
        <w:widowControl/>
        <w:numPr>
          <w:numId w:val="8"/>
        </w:numPr>
        <w:tabs>
          <w:tab w:val="clear" w:pos="660"/>
          <w:tab w:val="num" w:pos="851"/>
        </w:tabs>
        <w:bidi w:val="0"/>
        <w:adjustRightInd/>
        <w:spacing w:after="120"/>
        <w:ind w:left="851" w:hanging="284"/>
        <w:jc w:val="both"/>
        <w:rPr>
          <w:rStyle w:val="Emphasis"/>
          <w:rFonts w:ascii="Times New Roman" w:hAnsi="Times New Roman"/>
          <w:i w:val="0"/>
          <w:iCs/>
        </w:rPr>
      </w:pPr>
      <w:r w:rsidRPr="002A154A">
        <w:rPr>
          <w:rFonts w:ascii="Times New Roman" w:hAnsi="Times New Roman"/>
        </w:rPr>
        <w:t xml:space="preserve">nariadenie </w:t>
      </w:r>
      <w:r w:rsidRPr="002A154A">
        <w:rPr>
          <w:rFonts w:ascii="Times New Roman" w:hAnsi="Times New Roman"/>
          <w:bCs/>
        </w:rPr>
        <w:t xml:space="preserve">Rady (EÚ) č. </w:t>
      </w:r>
      <w:r w:rsidRPr="002A154A">
        <w:rPr>
          <w:rFonts w:ascii="Times New Roman" w:hAnsi="Times New Roman"/>
          <w:bCs/>
          <w:u w:val="single"/>
        </w:rPr>
        <w:t>389/2012</w:t>
      </w:r>
      <w:r w:rsidRPr="002A154A">
        <w:rPr>
          <w:rFonts w:ascii="Times New Roman" w:hAnsi="Times New Roman"/>
          <w:bCs/>
        </w:rPr>
        <w:t xml:space="preserve"> z 2. mája 2012 o administratívnej spolupráci v oblasti spotrebných daní a zrušení nariadenia (ES) č. 2073/2004</w:t>
      </w:r>
      <w:r w:rsidRPr="002A154A">
        <w:rPr>
          <w:rFonts w:ascii="Times New Roman" w:hAnsi="Times New Roman"/>
        </w:rPr>
        <w:t xml:space="preserve"> (</w:t>
      </w:r>
      <w:r w:rsidRPr="002A154A">
        <w:rPr>
          <w:rStyle w:val="Emphasis"/>
          <w:rFonts w:ascii="Times New Roman" w:hAnsi="Times New Roman"/>
          <w:i w:val="0"/>
        </w:rPr>
        <w:t>Ú. v. EÚ</w:t>
      </w:r>
      <w:r w:rsidRPr="002A154A">
        <w:rPr>
          <w:rFonts w:ascii="Times New Roman" w:hAnsi="Times New Roman"/>
        </w:rPr>
        <w:t xml:space="preserve"> </w:t>
      </w:r>
      <w:r w:rsidRPr="002A154A">
        <w:rPr>
          <w:rStyle w:val="Emphasis"/>
          <w:rFonts w:ascii="Times New Roman" w:hAnsi="Times New Roman"/>
          <w:i w:val="0"/>
        </w:rPr>
        <w:t>L 121, 8.5.2012) v platnom znení.</w:t>
      </w:r>
    </w:p>
    <w:p w:rsidR="002A154A" w:rsidRPr="002A154A" w:rsidP="002A154A">
      <w:pPr>
        <w:widowControl/>
        <w:numPr>
          <w:numId w:val="5"/>
        </w:numPr>
        <w:autoSpaceDE w:val="0"/>
        <w:autoSpaceDN w:val="0"/>
        <w:bidi w:val="0"/>
        <w:spacing w:before="150"/>
        <w:ind w:right="26" w:hanging="153"/>
        <w:jc w:val="both"/>
        <w:rPr>
          <w:rFonts w:ascii="Times New Roman" w:hAnsi="Times New Roman"/>
        </w:rPr>
      </w:pPr>
      <w:r w:rsidRPr="002A154A">
        <w:rPr>
          <w:rFonts w:ascii="Times New Roman" w:hAnsi="Times New Roman"/>
          <w:bCs/>
          <w:iCs/>
          <w:u w:val="single"/>
        </w:rPr>
        <w:t>nelegislatívne akty:</w:t>
      </w:r>
    </w:p>
    <w:p w:rsidR="002A154A" w:rsidRPr="002A154A" w:rsidP="002A154A">
      <w:pPr>
        <w:widowControl/>
        <w:numPr>
          <w:numId w:val="2"/>
        </w:numPr>
        <w:bidi w:val="0"/>
        <w:adjustRightInd/>
        <w:jc w:val="both"/>
        <w:rPr>
          <w:rFonts w:ascii="Times New Roman" w:hAnsi="Times New Roman"/>
          <w:iCs/>
        </w:rPr>
      </w:pPr>
      <w:r w:rsidRPr="002A154A">
        <w:rPr>
          <w:rFonts w:ascii="Times New Roman" w:hAnsi="Times New Roman"/>
          <w:bCs/>
          <w:iCs/>
        </w:rPr>
        <w:t xml:space="preserve">vykonávacie rozhodnutie Komisie č. </w:t>
      </w:r>
      <w:r w:rsidRPr="002A154A">
        <w:rPr>
          <w:rFonts w:ascii="Times New Roman" w:hAnsi="Times New Roman"/>
          <w:bCs/>
          <w:iCs/>
          <w:u w:val="single"/>
        </w:rPr>
        <w:t>2011/544/EÚ</w:t>
      </w:r>
      <w:r w:rsidRPr="002A154A">
        <w:rPr>
          <w:rFonts w:ascii="Times New Roman" w:hAnsi="Times New Roman"/>
          <w:bCs/>
          <w:iCs/>
        </w:rPr>
        <w:t xml:space="preserve"> zo 16. septembra 2011 o ustanovení spoločnej značkovacej látky na daňové účely pre plynové oleje a kerozín ( Ú. v. EÚ L 241, 17.9. 2011),</w:t>
      </w:r>
    </w:p>
    <w:p w:rsidR="002A154A" w:rsidRPr="002A154A" w:rsidP="002A154A">
      <w:pPr>
        <w:widowControl/>
        <w:numPr>
          <w:numId w:val="2"/>
        </w:numPr>
        <w:bidi w:val="0"/>
        <w:adjustRightInd/>
        <w:spacing w:after="240"/>
        <w:jc w:val="both"/>
        <w:rPr>
          <w:rStyle w:val="Emphasis"/>
          <w:rFonts w:ascii="Times New Roman" w:hAnsi="Times New Roman"/>
          <w:i w:val="0"/>
        </w:rPr>
      </w:pPr>
      <w:r w:rsidRPr="002A154A">
        <w:rPr>
          <w:rFonts w:ascii="Times New Roman" w:hAnsi="Times New Roman"/>
        </w:rPr>
        <w:t xml:space="preserve">vykonávacie rozhodnutie Komisie č. </w:t>
      </w:r>
      <w:r w:rsidRPr="002A154A">
        <w:rPr>
          <w:rFonts w:ascii="Times New Roman" w:hAnsi="Times New Roman"/>
          <w:u w:val="single"/>
        </w:rPr>
        <w:t>2012/209/EÚ</w:t>
      </w:r>
      <w:r w:rsidRPr="002A154A">
        <w:rPr>
          <w:rFonts w:ascii="Times New Roman" w:hAnsi="Times New Roman"/>
        </w:rPr>
        <w:t xml:space="preserve"> z 20. apríla 2012 o uplatňovaní ustanovení smernice Rady 2008/118/ES o kontrole a preprave na určité prídavné látky v súlade s článkom 20 ods. 2 Smernice Rady 2003/96/ES (Ú. v. EÚ L 110, 24.4. 2012).</w:t>
      </w:r>
    </w:p>
    <w:p w:rsidR="002A154A" w:rsidRPr="002A154A" w:rsidP="002A154A">
      <w:pPr>
        <w:pStyle w:val="BodyTextIndent"/>
        <w:bidi w:val="0"/>
        <w:spacing w:after="120"/>
        <w:ind w:left="426" w:firstLine="0"/>
        <w:rPr>
          <w:rFonts w:ascii="Times New Roman" w:hAnsi="Times New Roman"/>
          <w:b/>
          <w:bCs/>
          <w:i/>
          <w:iCs/>
        </w:rPr>
      </w:pPr>
      <w:r w:rsidRPr="002A154A">
        <w:rPr>
          <w:rFonts w:ascii="Times New Roman" w:hAnsi="Times New Roman"/>
          <w:b/>
          <w:bCs/>
          <w:iCs/>
        </w:rPr>
        <w:t>Sekundárne právo</w:t>
      </w:r>
      <w:r w:rsidRPr="002A154A">
        <w:rPr>
          <w:rFonts w:ascii="Times New Roman" w:hAnsi="Times New Roman"/>
          <w:b/>
          <w:bCs/>
          <w:i/>
          <w:iCs/>
        </w:rPr>
        <w:t xml:space="preserve"> </w:t>
      </w:r>
      <w:r w:rsidRPr="002A154A">
        <w:rPr>
          <w:rFonts w:ascii="Times New Roman" w:hAnsi="Times New Roman"/>
        </w:rPr>
        <w:t>(prijaté pred nadobudnutím platnosti Lisabonskej zmluvy, ktorou sa mení a dopĺňa Zmluva o Európskej únii a Zmluva o Európskom spoločenstve - do 30. novembra 2009)</w:t>
      </w:r>
      <w:r w:rsidRPr="002A154A">
        <w:rPr>
          <w:rFonts w:ascii="Times New Roman" w:hAnsi="Times New Roman"/>
          <w:bCs/>
          <w:iCs/>
        </w:rPr>
        <w:t>:</w:t>
      </w:r>
      <w:r w:rsidRPr="002A154A">
        <w:rPr>
          <w:rFonts w:ascii="Times New Roman" w:hAnsi="Times New Roman"/>
          <w:b/>
          <w:bCs/>
          <w:i/>
          <w:iCs/>
        </w:rPr>
        <w:t xml:space="preserve"> </w:t>
      </w:r>
    </w:p>
    <w:p w:rsidR="002A154A" w:rsidRPr="002A154A" w:rsidP="002A154A">
      <w:pPr>
        <w:widowControl/>
        <w:numPr>
          <w:numId w:val="2"/>
        </w:numPr>
        <w:bidi w:val="0"/>
        <w:adjustRightInd/>
        <w:spacing w:after="120"/>
        <w:jc w:val="both"/>
        <w:rPr>
          <w:rFonts w:ascii="Times New Roman" w:hAnsi="Times New Roman"/>
        </w:rPr>
      </w:pPr>
      <w:r w:rsidRPr="002A154A">
        <w:rPr>
          <w:rFonts w:ascii="Times New Roman" w:hAnsi="Times New Roman"/>
        </w:rPr>
        <w:t xml:space="preserve">smernica Rady </w:t>
      </w:r>
      <w:r w:rsidRPr="002A154A">
        <w:rPr>
          <w:rFonts w:ascii="Times New Roman" w:hAnsi="Times New Roman"/>
          <w:u w:val="single"/>
        </w:rPr>
        <w:t>95/60/ES</w:t>
      </w:r>
      <w:r w:rsidRPr="002A154A">
        <w:rPr>
          <w:rFonts w:ascii="Times New Roman" w:hAnsi="Times New Roman"/>
        </w:rPr>
        <w:t xml:space="preserve"> z 27. novembra 1995 o daňovom označovaní plynových olejov a petroleja (Mimoriadne vydanie Ú. v. EÚ kap. 9/zv. 1),</w:t>
      </w:r>
    </w:p>
    <w:p w:rsidR="002A154A" w:rsidRPr="002A154A" w:rsidP="002A154A">
      <w:pPr>
        <w:widowControl/>
        <w:numPr>
          <w:numId w:val="2"/>
        </w:numPr>
        <w:bidi w:val="0"/>
        <w:adjustRightInd/>
        <w:spacing w:after="120"/>
        <w:jc w:val="both"/>
        <w:rPr>
          <w:rFonts w:ascii="Times New Roman" w:hAnsi="Times New Roman"/>
        </w:rPr>
      </w:pPr>
      <w:r w:rsidRPr="002A154A">
        <w:rPr>
          <w:rFonts w:ascii="Times New Roman" w:hAnsi="Times New Roman"/>
        </w:rPr>
        <w:t xml:space="preserve">smernica Rady </w:t>
      </w:r>
      <w:r w:rsidRPr="002A154A">
        <w:rPr>
          <w:rFonts w:ascii="Times New Roman" w:hAnsi="Times New Roman"/>
          <w:u w:val="single"/>
        </w:rPr>
        <w:t>2003/96/ES</w:t>
      </w:r>
      <w:r w:rsidRPr="002A154A">
        <w:rPr>
          <w:rFonts w:ascii="Times New Roman" w:hAnsi="Times New Roman"/>
        </w:rPr>
        <w:t xml:space="preserve"> z  27. októbra 2003 o reštrukturalizácii právneho rámca spoločenstva pre zdaňovanie energetických výrobkov a elektriny (Mimoriadne vydanie Ú. v. EÚ kap. 9/zv. 1) v platnom znení,</w:t>
      </w:r>
    </w:p>
    <w:p w:rsidR="002A154A" w:rsidRPr="002A154A" w:rsidP="002A154A">
      <w:pPr>
        <w:widowControl/>
        <w:numPr>
          <w:numId w:val="2"/>
        </w:numPr>
        <w:bidi w:val="0"/>
        <w:adjustRightInd/>
        <w:spacing w:after="120"/>
        <w:jc w:val="both"/>
        <w:rPr>
          <w:rFonts w:ascii="Times New Roman" w:hAnsi="Times New Roman"/>
        </w:rPr>
      </w:pPr>
      <w:r w:rsidRPr="002A154A">
        <w:rPr>
          <w:rFonts w:ascii="Times New Roman" w:hAnsi="Times New Roman"/>
        </w:rPr>
        <w:t xml:space="preserve">smernica Rady </w:t>
      </w:r>
      <w:r w:rsidRPr="002A154A">
        <w:rPr>
          <w:rFonts w:ascii="Times New Roman" w:hAnsi="Times New Roman"/>
          <w:u w:val="single"/>
        </w:rPr>
        <w:t>2007/74/ES</w:t>
      </w:r>
      <w:r w:rsidRPr="002A154A">
        <w:rPr>
          <w:rFonts w:ascii="Times New Roman" w:hAnsi="Times New Roman"/>
        </w:rPr>
        <w:t xml:space="preserve"> z 20. decembra 2007 o oslobodení tovaru, ktorý dovážajú osoby cestujúce z tretích krajín, od dane z pridanej hodnoty a spotrebnej dane (Ú. v. EÚ L 346, 29.12.2007),</w:t>
      </w:r>
    </w:p>
    <w:p w:rsidR="002A154A" w:rsidRPr="002A154A" w:rsidP="002A154A">
      <w:pPr>
        <w:widowControl/>
        <w:numPr>
          <w:numId w:val="2"/>
        </w:numPr>
        <w:bidi w:val="0"/>
        <w:adjustRightInd/>
        <w:spacing w:after="120"/>
        <w:jc w:val="both"/>
        <w:rPr>
          <w:rFonts w:ascii="Times New Roman" w:hAnsi="Times New Roman"/>
        </w:rPr>
      </w:pPr>
      <w:r w:rsidRPr="002A154A">
        <w:rPr>
          <w:rFonts w:ascii="Times New Roman" w:hAnsi="Times New Roman"/>
        </w:rPr>
        <w:t xml:space="preserve">smernica Rady </w:t>
      </w:r>
      <w:r w:rsidRPr="002A154A">
        <w:rPr>
          <w:rFonts w:ascii="Times New Roman" w:hAnsi="Times New Roman"/>
          <w:u w:val="single"/>
        </w:rPr>
        <w:t>2008/118/ES</w:t>
      </w:r>
      <w:r w:rsidRPr="002A154A">
        <w:rPr>
          <w:rFonts w:ascii="Times New Roman" w:hAnsi="Times New Roman"/>
        </w:rPr>
        <w:t xml:space="preserve"> zo 16.decembra 2008 o všeobecnom systéme spotrebných daní a o zrušení smernice 92/12/EHS (Ú. v. EÚ L 9, 14.1.2009) v platnom znení,</w:t>
      </w:r>
    </w:p>
    <w:p w:rsidR="002A154A" w:rsidRPr="002A154A" w:rsidP="002A154A">
      <w:pPr>
        <w:widowControl/>
        <w:numPr>
          <w:numId w:val="2"/>
        </w:numPr>
        <w:bidi w:val="0"/>
        <w:adjustRightInd/>
        <w:spacing w:after="120"/>
        <w:jc w:val="both"/>
        <w:rPr>
          <w:rFonts w:ascii="Times New Roman" w:hAnsi="Times New Roman"/>
        </w:rPr>
      </w:pPr>
      <w:r w:rsidRPr="002A154A">
        <w:rPr>
          <w:rFonts w:ascii="Times New Roman" w:hAnsi="Times New Roman"/>
          <w:bCs/>
        </w:rPr>
        <w:t xml:space="preserve">smernica Európskeho parlamentu a Rady </w:t>
      </w:r>
      <w:r w:rsidRPr="002A154A">
        <w:rPr>
          <w:rFonts w:ascii="Times New Roman" w:hAnsi="Times New Roman"/>
          <w:bCs/>
          <w:u w:val="single"/>
        </w:rPr>
        <w:t>2009/28/ES</w:t>
      </w:r>
      <w:r w:rsidRPr="002A154A">
        <w:rPr>
          <w:rFonts w:ascii="Times New Roman" w:hAnsi="Times New Roman"/>
          <w:bCs/>
        </w:rPr>
        <w:t xml:space="preserve"> z 23. apríla 2009 o podpore využívania energie z obnoviteľných zdrojov energie a o zmene a doplnení a následnom zrušení smerníc 2001/77/ES a 2003/30/ES </w:t>
      </w:r>
      <w:r w:rsidRPr="002A154A">
        <w:rPr>
          <w:rFonts w:ascii="Times New Roman" w:hAnsi="Times New Roman"/>
        </w:rPr>
        <w:t>(Ú. v. EÚ L 140, 5.6.2009) v platnom znení,</w:t>
      </w:r>
    </w:p>
    <w:p w:rsidR="002A154A" w:rsidRPr="002A154A" w:rsidP="002A154A">
      <w:pPr>
        <w:widowControl/>
        <w:numPr>
          <w:numId w:val="2"/>
        </w:numPr>
        <w:bidi w:val="0"/>
        <w:adjustRightInd/>
        <w:spacing w:after="120"/>
        <w:jc w:val="both"/>
        <w:rPr>
          <w:rStyle w:val="Emphasis"/>
          <w:rFonts w:ascii="Times New Roman" w:hAnsi="Times New Roman"/>
          <w:i w:val="0"/>
          <w:iCs/>
        </w:rPr>
      </w:pPr>
      <w:r w:rsidRPr="002A154A">
        <w:rPr>
          <w:rStyle w:val="Emphasis"/>
          <w:rFonts w:ascii="Times New Roman" w:hAnsi="Times New Roman"/>
          <w:i w:val="0"/>
        </w:rPr>
        <w:t>n</w:t>
      </w:r>
      <w:r w:rsidRPr="002A154A">
        <w:rPr>
          <w:rFonts w:ascii="Times New Roman" w:hAnsi="Times New Roman"/>
          <w:bCs/>
        </w:rPr>
        <w:t>ariadenie Rady (EHS) č. </w:t>
      </w:r>
      <w:r w:rsidRPr="002A154A">
        <w:rPr>
          <w:rFonts w:ascii="Times New Roman" w:hAnsi="Times New Roman"/>
          <w:bCs/>
          <w:u w:val="single"/>
        </w:rPr>
        <w:t>2913/92</w:t>
      </w:r>
      <w:r w:rsidRPr="002A154A">
        <w:rPr>
          <w:rFonts w:ascii="Times New Roman" w:hAnsi="Times New Roman"/>
          <w:bCs/>
        </w:rPr>
        <w:t xml:space="preserve"> z 12. októbra 1992, ktorým sa ustanovuje Colný kódex spoločenstva (</w:t>
      </w:r>
      <w:r w:rsidRPr="002A154A">
        <w:rPr>
          <w:rStyle w:val="Emphasis"/>
          <w:rFonts w:ascii="Times New Roman" w:hAnsi="Times New Roman"/>
          <w:i w:val="0"/>
        </w:rPr>
        <w:t xml:space="preserve">Mimoriadne vydanie Ú. v. EÚ kap. 2/zv. 4) </w:t>
      </w:r>
      <w:r w:rsidRPr="002A154A">
        <w:rPr>
          <w:rFonts w:ascii="Times New Roman" w:hAnsi="Times New Roman"/>
          <w:bCs/>
        </w:rPr>
        <w:t>v platnom znení</w:t>
      </w:r>
      <w:r w:rsidRPr="002A154A">
        <w:rPr>
          <w:rStyle w:val="Emphasis"/>
          <w:rFonts w:ascii="Times New Roman" w:hAnsi="Times New Roman"/>
          <w:i w:val="0"/>
        </w:rPr>
        <w:t>,</w:t>
      </w:r>
    </w:p>
    <w:p w:rsidR="002A154A" w:rsidRPr="002A154A" w:rsidP="002A154A">
      <w:pPr>
        <w:widowControl/>
        <w:numPr>
          <w:numId w:val="2"/>
        </w:numPr>
        <w:bidi w:val="0"/>
        <w:adjustRightInd/>
        <w:spacing w:after="120"/>
        <w:jc w:val="both"/>
        <w:rPr>
          <w:rFonts w:ascii="Times New Roman" w:hAnsi="Times New Roman"/>
        </w:rPr>
      </w:pPr>
      <w:r w:rsidRPr="002A154A">
        <w:rPr>
          <w:rFonts w:ascii="Times New Roman" w:hAnsi="Times New Roman"/>
        </w:rPr>
        <w:t xml:space="preserve">nariadenie Komisie (ES) č. </w:t>
      </w:r>
      <w:r w:rsidRPr="002A154A">
        <w:rPr>
          <w:rFonts w:ascii="Times New Roman" w:hAnsi="Times New Roman"/>
          <w:u w:val="single"/>
        </w:rPr>
        <w:t>684/2009</w:t>
      </w:r>
      <w:r w:rsidRPr="002A154A">
        <w:rPr>
          <w:rFonts w:ascii="Times New Roman" w:hAnsi="Times New Roman"/>
        </w:rPr>
        <w:t xml:space="preserve"> z 24. júla 2009, ktorým sa implementuje smernica Rady 2008/118/ES, pokiaľ ide o elektronické postupy pri preprave tovaru podliehajúceho spotrebnej dani v režime pozastavenia dane (Ú. v. EÚ L 197, 29.7.2009)</w:t>
      </w:r>
      <w:r w:rsidRPr="002A154A">
        <w:rPr>
          <w:rFonts w:ascii="Times New Roman" w:hAnsi="Times New Roman"/>
          <w:bCs/>
        </w:rPr>
        <w:t xml:space="preserve"> v platnom znení</w:t>
      </w:r>
      <w:r w:rsidRPr="002A154A">
        <w:rPr>
          <w:rFonts w:ascii="Times New Roman" w:hAnsi="Times New Roman"/>
        </w:rPr>
        <w:t>,</w:t>
      </w:r>
    </w:p>
    <w:p w:rsidR="002A154A" w:rsidRPr="002A154A" w:rsidP="002A154A">
      <w:pPr>
        <w:widowControl/>
        <w:numPr>
          <w:numId w:val="2"/>
        </w:numPr>
        <w:bidi w:val="0"/>
        <w:adjustRightInd/>
        <w:spacing w:after="240"/>
        <w:jc w:val="both"/>
        <w:rPr>
          <w:rFonts w:ascii="Times New Roman" w:hAnsi="Times New Roman"/>
          <w:i/>
          <w:iCs/>
        </w:rPr>
      </w:pPr>
      <w:r w:rsidRPr="002A154A">
        <w:rPr>
          <w:rStyle w:val="Emphasis"/>
          <w:rFonts w:ascii="Times New Roman" w:hAnsi="Times New Roman"/>
          <w:i w:val="0"/>
        </w:rPr>
        <w:t xml:space="preserve">rozhodnutie </w:t>
      </w:r>
      <w:r w:rsidRPr="002A154A">
        <w:rPr>
          <w:rFonts w:ascii="Times New Roman" w:hAnsi="Times New Roman"/>
          <w:bCs/>
        </w:rPr>
        <w:t>Európskeho parlamentu a Rady</w:t>
      </w:r>
      <w:r w:rsidRPr="002A154A">
        <w:rPr>
          <w:rStyle w:val="Emphasis"/>
          <w:rFonts w:ascii="Times New Roman" w:hAnsi="Times New Roman"/>
          <w:i w:val="0"/>
        </w:rPr>
        <w:t xml:space="preserve"> </w:t>
      </w:r>
      <w:r w:rsidRPr="002A154A">
        <w:rPr>
          <w:rFonts w:ascii="Times New Roman" w:hAnsi="Times New Roman"/>
          <w:bCs/>
        </w:rPr>
        <w:t>č. </w:t>
      </w:r>
      <w:r w:rsidRPr="002A154A">
        <w:rPr>
          <w:rFonts w:ascii="Times New Roman" w:hAnsi="Times New Roman"/>
          <w:bCs/>
          <w:u w:val="single"/>
        </w:rPr>
        <w:t>1152/2003/ES</w:t>
      </w:r>
      <w:r w:rsidRPr="002A154A">
        <w:rPr>
          <w:rFonts w:ascii="Times New Roman" w:hAnsi="Times New Roman"/>
          <w:bCs/>
        </w:rPr>
        <w:t xml:space="preserve"> zo 16. júna 2003 o informatizácii prepravy a kontroly výrobkov podliehajúcich spotrebnej dani </w:t>
      </w:r>
      <w:r w:rsidRPr="002A154A">
        <w:rPr>
          <w:rFonts w:ascii="Times New Roman" w:hAnsi="Times New Roman"/>
        </w:rPr>
        <w:t>(Mimoriadne vydanie Ú.v. EÚ kap. 9/zv. 1)</w:t>
      </w:r>
      <w:r w:rsidRPr="002A154A">
        <w:rPr>
          <w:rStyle w:val="Emphasis"/>
          <w:rFonts w:ascii="Times New Roman" w:hAnsi="Times New Roman"/>
          <w:i w:val="0"/>
        </w:rPr>
        <w:t>.</w:t>
      </w:r>
    </w:p>
    <w:p w:rsidR="002A154A" w:rsidRPr="002A154A" w:rsidP="002A154A">
      <w:pPr>
        <w:pStyle w:val="BodyText"/>
        <w:numPr>
          <w:ilvl w:val="1"/>
          <w:numId w:val="1"/>
        </w:numPr>
        <w:bidi w:val="0"/>
        <w:jc w:val="both"/>
        <w:rPr>
          <w:rFonts w:ascii="Times New Roman" w:hAnsi="Times New Roman"/>
        </w:rPr>
      </w:pPr>
      <w:r w:rsidRPr="002A154A">
        <w:rPr>
          <w:rFonts w:ascii="Times New Roman" w:hAnsi="Times New Roman"/>
        </w:rPr>
        <w:t>je obsiahnutá v judikatúre Súdneho dvora Európskej únie:</w:t>
      </w:r>
    </w:p>
    <w:p w:rsidR="002A154A" w:rsidRPr="002A154A" w:rsidP="002A154A">
      <w:pPr>
        <w:widowControl/>
        <w:numPr>
          <w:numId w:val="6"/>
        </w:numPr>
        <w:tabs>
          <w:tab w:val="left" w:pos="851"/>
        </w:tabs>
        <w:bidi w:val="0"/>
        <w:adjustRightInd/>
        <w:spacing w:after="120" w:line="252" w:lineRule="auto"/>
        <w:ind w:hanging="284"/>
        <w:jc w:val="both"/>
        <w:rPr>
          <w:rFonts w:ascii="Times New Roman" w:hAnsi="Times New Roman"/>
        </w:rPr>
      </w:pPr>
      <w:r w:rsidRPr="002A154A">
        <w:rPr>
          <w:rFonts w:ascii="Times New Roman" w:hAnsi="Times New Roman"/>
        </w:rPr>
        <w:t>rozhodnutie Súdneho dvora vo veci C- 292/02, Meiland Azewijn BV proti  Hauptzollampt Duisburg, [2004],</w:t>
      </w:r>
    </w:p>
    <w:p w:rsidR="002A154A" w:rsidRPr="002A154A" w:rsidP="002A154A">
      <w:pPr>
        <w:pStyle w:val="BodyText"/>
        <w:numPr>
          <w:numId w:val="6"/>
        </w:numPr>
        <w:tabs>
          <w:tab w:val="left" w:pos="851"/>
        </w:tabs>
        <w:autoSpaceDE w:val="0"/>
        <w:autoSpaceDN w:val="0"/>
        <w:bidi w:val="0"/>
        <w:ind w:hanging="284"/>
        <w:jc w:val="both"/>
        <w:rPr>
          <w:rFonts w:ascii="Times New Roman" w:hAnsi="Times New Roman"/>
        </w:rPr>
      </w:pPr>
      <w:r w:rsidRPr="002A154A">
        <w:rPr>
          <w:rFonts w:ascii="Times New Roman" w:hAnsi="Times New Roman"/>
        </w:rPr>
        <w:t xml:space="preserve">rozhodnutie Súdneho dvora vo veci C -389/02, </w:t>
      </w:r>
      <w:r w:rsidRPr="002A154A">
        <w:rPr>
          <w:rFonts w:ascii="Times New Roman" w:hAnsi="Times New Roman"/>
          <w:bCs/>
        </w:rPr>
        <w:t>Deutsche See-Bestattungs-Genossenschaft eG proti Hauptzollamt Kiel,</w:t>
      </w:r>
      <w:r w:rsidRPr="002A154A">
        <w:rPr>
          <w:rFonts w:ascii="Times New Roman" w:hAnsi="Times New Roman"/>
        </w:rPr>
        <w:t xml:space="preserve"> [2004],</w:t>
      </w:r>
    </w:p>
    <w:p w:rsidR="002A154A" w:rsidRPr="002A154A" w:rsidP="002A154A">
      <w:pPr>
        <w:pStyle w:val="BodyText"/>
        <w:numPr>
          <w:numId w:val="6"/>
        </w:numPr>
        <w:tabs>
          <w:tab w:val="left" w:pos="851"/>
        </w:tabs>
        <w:autoSpaceDE w:val="0"/>
        <w:autoSpaceDN w:val="0"/>
        <w:bidi w:val="0"/>
        <w:ind w:hanging="284"/>
        <w:jc w:val="both"/>
        <w:rPr>
          <w:rFonts w:ascii="Times New Roman" w:hAnsi="Times New Roman"/>
        </w:rPr>
      </w:pPr>
      <w:r w:rsidRPr="002A154A">
        <w:rPr>
          <w:rFonts w:ascii="Times New Roman" w:hAnsi="Times New Roman"/>
        </w:rPr>
        <w:t>rozhodnutie Súdneho dvora vo veci C- 185/00, EK proti Fínskej republike, [2003],</w:t>
      </w:r>
    </w:p>
    <w:p w:rsidR="002A154A" w:rsidRPr="002A154A" w:rsidP="002A154A">
      <w:pPr>
        <w:pStyle w:val="BodyText"/>
        <w:numPr>
          <w:numId w:val="6"/>
        </w:numPr>
        <w:tabs>
          <w:tab w:val="left" w:pos="851"/>
        </w:tabs>
        <w:autoSpaceDE w:val="0"/>
        <w:autoSpaceDN w:val="0"/>
        <w:bidi w:val="0"/>
        <w:ind w:hanging="284"/>
        <w:jc w:val="both"/>
        <w:rPr>
          <w:rFonts w:ascii="Times New Roman" w:hAnsi="Times New Roman"/>
        </w:rPr>
      </w:pPr>
      <w:r w:rsidRPr="002A154A">
        <w:rPr>
          <w:rFonts w:ascii="Times New Roman" w:hAnsi="Times New Roman"/>
        </w:rPr>
        <w:t xml:space="preserve">rozhodnutie Súdneho dvora vo veci C- 82/12, </w:t>
      </w:r>
      <w:r w:rsidRPr="002A154A">
        <w:rPr>
          <w:rFonts w:ascii="Times New Roman" w:hAnsi="Times New Roman"/>
          <w:bCs/>
        </w:rPr>
        <w:t>Transportes Jordi Besora SL</w:t>
      </w:r>
      <w:r w:rsidRPr="002A154A">
        <w:rPr>
          <w:rFonts w:ascii="Times New Roman" w:hAnsi="Times New Roman"/>
        </w:rPr>
        <w:t xml:space="preserve"> proti </w:t>
      </w:r>
      <w:r w:rsidRPr="002A154A">
        <w:rPr>
          <w:rFonts w:ascii="Times New Roman" w:hAnsi="Times New Roman"/>
          <w:bCs/>
        </w:rPr>
        <w:t>Generalitat de Catalunya</w:t>
      </w:r>
      <w:r w:rsidRPr="002A154A">
        <w:rPr>
          <w:rFonts w:ascii="Times New Roman" w:hAnsi="Times New Roman"/>
        </w:rPr>
        <w:t>,  [</w:t>
      </w:r>
      <w:r w:rsidRPr="002A154A">
        <w:rPr>
          <w:rFonts w:ascii="Times New Roman" w:hAnsi="Times New Roman"/>
          <w:bCs/>
        </w:rPr>
        <w:t>nepublikované</w:t>
      </w:r>
      <w:r w:rsidRPr="002A154A">
        <w:rPr>
          <w:rFonts w:ascii="Times New Roman" w:hAnsi="Times New Roman"/>
        </w:rPr>
        <w:t>].</w:t>
      </w:r>
    </w:p>
    <w:p w:rsidR="002A154A" w:rsidRPr="002A154A" w:rsidP="002A154A">
      <w:pPr>
        <w:pStyle w:val="BodyText"/>
        <w:bidi w:val="0"/>
        <w:ind w:left="425"/>
        <w:jc w:val="both"/>
        <w:rPr>
          <w:rFonts w:ascii="Times New Roman" w:hAnsi="Times New Roman"/>
        </w:rPr>
      </w:pPr>
    </w:p>
    <w:p w:rsidR="002A154A" w:rsidRPr="002A154A" w:rsidP="002A154A">
      <w:pPr>
        <w:widowControl/>
        <w:numPr>
          <w:numId w:val="1"/>
        </w:numPr>
        <w:tabs>
          <w:tab w:val="left" w:pos="360"/>
        </w:tabs>
        <w:bidi w:val="0"/>
        <w:adjustRightInd/>
        <w:spacing w:after="120"/>
        <w:jc w:val="both"/>
        <w:rPr>
          <w:rFonts w:ascii="Times New Roman" w:hAnsi="Times New Roman"/>
          <w:b/>
          <w:bCs/>
        </w:rPr>
      </w:pPr>
      <w:r w:rsidRPr="002A154A">
        <w:rPr>
          <w:rFonts w:ascii="Times New Roman" w:hAnsi="Times New Roman"/>
          <w:b/>
          <w:bCs/>
        </w:rPr>
        <w:t>Záväzky Slovenskej republiky vo vzťahu k Európskej únii:</w:t>
      </w:r>
    </w:p>
    <w:p w:rsidR="002A154A" w:rsidRPr="002A154A" w:rsidP="002A154A">
      <w:pPr>
        <w:pStyle w:val="BodyText"/>
        <w:numPr>
          <w:numId w:val="4"/>
        </w:numPr>
        <w:tabs>
          <w:tab w:val="left" w:pos="360"/>
          <w:tab w:val="left" w:pos="540"/>
        </w:tabs>
        <w:bidi w:val="0"/>
        <w:jc w:val="both"/>
        <w:rPr>
          <w:rFonts w:ascii="Times New Roman" w:hAnsi="Times New Roman"/>
        </w:rPr>
      </w:pPr>
      <w:r w:rsidRPr="002A154A">
        <w:rPr>
          <w:rFonts w:ascii="Times New Roman" w:hAnsi="Times New Roman"/>
        </w:rPr>
        <w:t>Lehota na prebratie smernice 2013/61/EÚ bola stanovená do 1.1. 2014.</w:t>
      </w:r>
    </w:p>
    <w:p w:rsidR="002A154A" w:rsidRPr="002A154A" w:rsidP="002A154A">
      <w:pPr>
        <w:pStyle w:val="BodyText"/>
        <w:numPr>
          <w:numId w:val="4"/>
        </w:numPr>
        <w:tabs>
          <w:tab w:val="left" w:pos="360"/>
          <w:tab w:val="left" w:pos="540"/>
        </w:tabs>
        <w:bidi w:val="0"/>
        <w:jc w:val="both"/>
        <w:rPr>
          <w:rFonts w:ascii="Times New Roman" w:hAnsi="Times New Roman"/>
        </w:rPr>
      </w:pPr>
      <w:r w:rsidRPr="002A154A">
        <w:rPr>
          <w:rFonts w:ascii="Times New Roman" w:hAnsi="Times New Roman"/>
        </w:rPr>
        <w:t>Lehota na predloženie návrhu právneho prepisu na rokovanie vlády podľa určenia gestorských ústredných orgánov štátnej správy zodpovedných za prebratie smerníc a vypracovanie tabuliek zhody k návrhom všeobecne záväzných právnych predpisov, ktorým sa zabezpečí prebratie smernice 2013/61/ES bola stanovená bezodkladne.</w:t>
      </w:r>
    </w:p>
    <w:p w:rsidR="002A154A" w:rsidRPr="002A154A" w:rsidP="002A154A">
      <w:pPr>
        <w:pStyle w:val="BodyText"/>
        <w:numPr>
          <w:numId w:val="4"/>
        </w:numPr>
        <w:tabs>
          <w:tab w:val="left" w:pos="360"/>
        </w:tabs>
        <w:bidi w:val="0"/>
        <w:jc w:val="both"/>
        <w:rPr>
          <w:rFonts w:ascii="Times New Roman" w:hAnsi="Times New Roman"/>
        </w:rPr>
      </w:pPr>
      <w:r w:rsidRPr="002A154A">
        <w:rPr>
          <w:rFonts w:ascii="Times New Roman" w:hAnsi="Times New Roman"/>
        </w:rPr>
        <w:t>Proti Slovenskej republike nebolo začaté konanie podľa čl. 258 až 260 Zmluvy o fungovaní Európskej únie.</w:t>
      </w:r>
    </w:p>
    <w:p w:rsidR="002A154A" w:rsidRPr="002A154A" w:rsidP="002A154A">
      <w:pPr>
        <w:pStyle w:val="BodyText"/>
        <w:numPr>
          <w:numId w:val="4"/>
        </w:numPr>
        <w:tabs>
          <w:tab w:val="left" w:pos="360"/>
        </w:tabs>
        <w:bidi w:val="0"/>
        <w:jc w:val="both"/>
        <w:rPr>
          <w:rFonts w:ascii="Times New Roman" w:hAnsi="Times New Roman"/>
        </w:rPr>
      </w:pPr>
      <w:r w:rsidRPr="002A154A">
        <w:rPr>
          <w:rFonts w:ascii="Times New Roman" w:hAnsi="Times New Roman"/>
        </w:rPr>
        <w:t>Smernica 2013/61/EÚ bola prebratá do návrhu zákona, ktorým sa mení a dopĺňa zákon             č. 222/2004 Z. z. o dani z pridanej hodnoty v znení neskorších predpisov a ktorým sa menia a dopĺňajú niektoré zákony ( do čl. II a čl. V ).</w:t>
      </w:r>
    </w:p>
    <w:p w:rsidR="002A154A" w:rsidRPr="002A154A" w:rsidP="002A154A">
      <w:pPr>
        <w:pStyle w:val="BodyText"/>
        <w:tabs>
          <w:tab w:val="left" w:pos="360"/>
        </w:tabs>
        <w:bidi w:val="0"/>
        <w:jc w:val="both"/>
        <w:rPr>
          <w:rFonts w:ascii="Times New Roman" w:hAnsi="Times New Roman"/>
        </w:rPr>
      </w:pPr>
    </w:p>
    <w:p w:rsidR="002A154A" w:rsidRPr="002A154A" w:rsidP="002A154A">
      <w:pPr>
        <w:tabs>
          <w:tab w:val="left" w:pos="360"/>
        </w:tabs>
        <w:bidi w:val="0"/>
        <w:spacing w:after="120"/>
        <w:jc w:val="both"/>
        <w:rPr>
          <w:rFonts w:ascii="Times New Roman" w:hAnsi="Times New Roman"/>
          <w:b/>
          <w:bCs/>
        </w:rPr>
      </w:pPr>
      <w:r w:rsidRPr="002A154A">
        <w:rPr>
          <w:rFonts w:ascii="Times New Roman" w:hAnsi="Times New Roman"/>
          <w:b/>
          <w:bCs/>
        </w:rPr>
        <w:t>5.</w:t>
        <w:tab/>
        <w:t>Stupeň zlučiteľnosti návrhu zákona s právom Európskej únie:</w:t>
      </w:r>
    </w:p>
    <w:p w:rsidR="002A154A" w:rsidP="002A154A">
      <w:pPr>
        <w:bidi w:val="0"/>
        <w:spacing w:after="120"/>
        <w:ind w:left="360"/>
        <w:jc w:val="both"/>
        <w:rPr>
          <w:rFonts w:ascii="Times New Roman" w:hAnsi="Times New Roman"/>
        </w:rPr>
      </w:pPr>
      <w:r w:rsidRPr="002A154A">
        <w:rPr>
          <w:rFonts w:ascii="Times New Roman" w:hAnsi="Times New Roman"/>
        </w:rPr>
        <w:t>Úplný.</w:t>
      </w:r>
    </w:p>
    <w:p w:rsidR="00E43484" w:rsidRPr="002A154A" w:rsidP="002A154A">
      <w:pPr>
        <w:bidi w:val="0"/>
        <w:spacing w:after="120"/>
        <w:ind w:left="360"/>
        <w:jc w:val="both"/>
        <w:rPr>
          <w:rFonts w:ascii="Times New Roman" w:hAnsi="Times New Roman"/>
        </w:rPr>
      </w:pPr>
    </w:p>
    <w:p w:rsidR="002A154A" w:rsidRPr="002A154A" w:rsidP="002A154A">
      <w:pPr>
        <w:tabs>
          <w:tab w:val="left" w:pos="360"/>
        </w:tabs>
        <w:bidi w:val="0"/>
        <w:spacing w:after="120"/>
        <w:jc w:val="both"/>
        <w:rPr>
          <w:rFonts w:ascii="Times New Roman" w:hAnsi="Times New Roman"/>
          <w:b/>
          <w:bCs/>
        </w:rPr>
      </w:pPr>
      <w:r w:rsidRPr="002A154A">
        <w:rPr>
          <w:rFonts w:ascii="Times New Roman" w:hAnsi="Times New Roman"/>
          <w:b/>
          <w:bCs/>
        </w:rPr>
        <w:t>6.</w:t>
        <w:tab/>
        <w:t>Gestor a spolupracujúce rezorty:</w:t>
      </w:r>
    </w:p>
    <w:p w:rsidR="002A154A" w:rsidRPr="002A154A" w:rsidP="002A154A">
      <w:pPr>
        <w:bidi w:val="0"/>
        <w:spacing w:after="120"/>
        <w:ind w:left="360"/>
        <w:jc w:val="both"/>
        <w:rPr>
          <w:rFonts w:ascii="Times New Roman" w:hAnsi="Times New Roman"/>
          <w:b/>
          <w:bCs/>
        </w:rPr>
      </w:pPr>
      <w:r w:rsidRPr="002A154A">
        <w:rPr>
          <w:rFonts w:ascii="Times New Roman" w:hAnsi="Times New Roman"/>
        </w:rPr>
        <w:t>Ministerstvo financií Slovenskej republiky.</w:t>
      </w: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2A154A" w:rsidRPr="002A154A" w:rsidP="001E2D93">
      <w:pPr>
        <w:widowControl/>
        <w:bidi w:val="0"/>
        <w:spacing w:after="100" w:afterAutospacing="1"/>
        <w:rPr>
          <w:rStyle w:val="PlaceholderText"/>
          <w:color w:val="000000"/>
        </w:rPr>
      </w:pPr>
    </w:p>
    <w:p w:rsidR="002A154A" w:rsidRPr="002A154A" w:rsidP="002A154A">
      <w:pPr>
        <w:widowControl/>
        <w:bidi w:val="0"/>
        <w:jc w:val="both"/>
        <w:rPr>
          <w:rFonts w:ascii="Times New Roman" w:hAnsi="Times New Roman"/>
          <w:b/>
          <w:color w:val="000000"/>
        </w:rPr>
      </w:pPr>
      <w:r w:rsidRPr="002A154A">
        <w:rPr>
          <w:rFonts w:ascii="Times New Roman" w:hAnsi="Times New Roman"/>
          <w:b/>
          <w:color w:val="000000"/>
        </w:rPr>
        <w:t>B. Osobitná časť</w:t>
      </w:r>
    </w:p>
    <w:p w:rsidR="002A154A" w:rsidRPr="002A154A" w:rsidP="002A154A">
      <w:pPr>
        <w:widowControl/>
        <w:bidi w:val="0"/>
        <w:jc w:val="both"/>
        <w:rPr>
          <w:rFonts w:ascii="Times New Roman" w:hAnsi="Times New Roman"/>
          <w:color w:val="000000"/>
        </w:rPr>
      </w:pPr>
    </w:p>
    <w:p w:rsidR="002A154A" w:rsidRPr="002A154A" w:rsidP="002A154A">
      <w:pPr>
        <w:widowControl/>
        <w:bidi w:val="0"/>
        <w:jc w:val="both"/>
        <w:rPr>
          <w:rFonts w:ascii="Times New Roman" w:hAnsi="Times New Roman"/>
          <w:color w:val="000000"/>
        </w:rPr>
      </w:pPr>
    </w:p>
    <w:p w:rsidR="002A154A" w:rsidRPr="002A154A" w:rsidP="002A154A">
      <w:pPr>
        <w:widowControl/>
        <w:bidi w:val="0"/>
        <w:jc w:val="both"/>
        <w:rPr>
          <w:rFonts w:ascii="Times New Roman" w:hAnsi="Times New Roman"/>
          <w:color w:val="000000"/>
        </w:rPr>
      </w:pPr>
      <w:r w:rsidRPr="002A154A">
        <w:rPr>
          <w:rStyle w:val="PlaceholderText"/>
          <w:b/>
          <w:color w:val="000000"/>
        </w:rPr>
        <w:t>K článku I</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jc w:val="both"/>
        <w:rPr>
          <w:rStyle w:val="PlaceholderText"/>
          <w:color w:val="000000"/>
        </w:rPr>
      </w:pPr>
      <w:r w:rsidRPr="002A154A">
        <w:rPr>
          <w:rStyle w:val="PlaceholderText"/>
          <w:b/>
          <w:color w:val="000000"/>
        </w:rPr>
        <w:t>K bodom 1 a 15</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ind w:firstLine="567"/>
        <w:jc w:val="both"/>
        <w:rPr>
          <w:rStyle w:val="PlaceholderText"/>
          <w:color w:val="000000"/>
        </w:rPr>
      </w:pPr>
      <w:r w:rsidRPr="002A154A">
        <w:rPr>
          <w:rStyle w:val="PlaceholderText"/>
          <w:color w:val="000000"/>
        </w:rPr>
        <w:t>V nadväznosti na nadobudnutie účinnosti smernice Rady 2013/61/EÚ, ktorou sa mení územná pôsobnosť smernice Rady 2008/118/ES sa znenie ustanovenia upravuje tak, že sa daňové právne predpisy Európskej únie neuplatňujú aj na  územie Mayotte.</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jc w:val="both"/>
        <w:rPr>
          <w:rStyle w:val="PlaceholderText"/>
          <w:color w:val="000000"/>
        </w:rPr>
      </w:pPr>
      <w:r w:rsidRPr="002A154A">
        <w:rPr>
          <w:rStyle w:val="PlaceholderText"/>
          <w:b/>
          <w:color w:val="000000"/>
        </w:rPr>
        <w:t>K bodu 2</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ind w:firstLine="567"/>
        <w:jc w:val="both"/>
        <w:rPr>
          <w:rStyle w:val="PlaceholderText"/>
          <w:color w:val="000000"/>
        </w:rPr>
      </w:pPr>
      <w:r w:rsidRPr="002A154A">
        <w:rPr>
          <w:rStyle w:val="PlaceholderText"/>
          <w:color w:val="000000"/>
        </w:rPr>
        <w:t xml:space="preserve">Navrhovaná úprava umožní užívateľskému podniku, ktorý zabezpečuje úlohy v oblasti jadrovej bezpečnosti jadrových zariadení, aby mohol v prípade, že nepoužil daňovo zvýhodnený minerálny olej určený na použitie v generátoroch záložného zariadenia, tento minerálny olej so súhlasom colného úradu pri jeho obmene zaslať inému užívateľskému podniku alebo daňovému skladu na prepracovanie. </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jc w:val="both"/>
        <w:rPr>
          <w:rStyle w:val="PlaceholderText"/>
          <w:color w:val="000000"/>
        </w:rPr>
      </w:pPr>
      <w:r w:rsidRPr="002A154A">
        <w:rPr>
          <w:rStyle w:val="PlaceholderText"/>
          <w:b/>
          <w:color w:val="000000"/>
        </w:rPr>
        <w:t>K bodom 3, 4, 6 a 7</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ind w:firstLine="567"/>
        <w:jc w:val="both"/>
        <w:rPr>
          <w:rStyle w:val="PlaceholderText"/>
          <w:color w:val="000000"/>
        </w:rPr>
      </w:pPr>
      <w:r w:rsidRPr="002A154A">
        <w:rPr>
          <w:rStyle w:val="PlaceholderText"/>
          <w:color w:val="000000"/>
        </w:rPr>
        <w:t>Navrhovanou úpravou sa jednoznačne stanovuje, že prevádzkovateľ daňového skladu alebo oprávnený príjemca, alebo registrovaný odosielateľ, bude môcť v rámci svojich oprávnení, vyrábať, spracúvať, skladovať, prijímať alebo odosielať v pozastavení dane iba tie minerálne oleje, ktoré bude mať uvedené v povolení na prevádzkovanie daňového skladu alebo v povolení na prijímanie minerálneho oleja z iného členského štátu v pozastavení dane, alebo v povolení na odosielanie minerálneho oleja v pozastavení dane po jeho prepustení do colného režimu voľný obeh. Zároveň sa navrhuje, aby tieto registrované osoby boli povinné každú zmenu súvisiacu s druhom minerálneho oleja, ktorý v rámci svojich oprávnení budú vyrábať, spracúvať, skladovať, prijímať, odosielať, v pozastavení dane, oznámiť colnému úradu 5 pracovných dní vopred.</w:t>
      </w:r>
    </w:p>
    <w:p w:rsidR="002A154A" w:rsidRPr="002A154A" w:rsidP="002A154A">
      <w:pPr>
        <w:widowControl/>
        <w:bidi w:val="0"/>
        <w:ind w:firstLine="567"/>
        <w:jc w:val="both"/>
        <w:rPr>
          <w:rStyle w:val="PlaceholderText"/>
          <w:color w:val="000000"/>
        </w:rPr>
      </w:pPr>
      <w:r w:rsidRPr="002A154A">
        <w:rPr>
          <w:rStyle w:val="PlaceholderText"/>
          <w:color w:val="000000"/>
        </w:rPr>
        <w:t>Znamená to, že registrovaná osoba, ktorej colný úrad vydá, napr. povolenie na prevádzkovanie daňového skladu, bude môcť v pozastavení dane vyrábať, spracúvať, skladovať, prijímať alebo odosielať v pozastavení dane iba tie minerálne oleje, o ktorých výrobu, spracúvanie, skladovanie, prijímanie alebo odosielanie v pozastavení dane požiadal, a ktorých kódy kombinovanej nomenklatúry mu na základe tejto žiadosti colný úrad uviedol v povolení na prevádzkovanie daňového skladu. Akúkoľvek zmenu, t. j. rozšírenie alebo zúženie sortimentu minerálnych olejov, budú tieto registrované osoby povinné oznamovať colnému úradu najneskôr 5 pracovných dní pred dňom, od ktorého by chceli požadovanú zmenu realizovať. Zároveň sa ustanovuje, že pri zmene kódu kombinovanej nomenklatúry zostane pôvodné povolenie v platnosti.</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jc w:val="both"/>
        <w:rPr>
          <w:rStyle w:val="PlaceholderText"/>
          <w:color w:val="000000"/>
        </w:rPr>
      </w:pPr>
      <w:r w:rsidRPr="002A154A">
        <w:rPr>
          <w:rStyle w:val="PlaceholderText"/>
          <w:b/>
          <w:color w:val="000000"/>
        </w:rPr>
        <w:t>K bodu 5</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ind w:firstLine="567"/>
        <w:jc w:val="both"/>
        <w:rPr>
          <w:rStyle w:val="PlaceholderText"/>
          <w:color w:val="000000"/>
        </w:rPr>
      </w:pPr>
      <w:r w:rsidRPr="002A154A">
        <w:rPr>
          <w:rStyle w:val="PlaceholderText"/>
          <w:color w:val="000000"/>
        </w:rPr>
        <w:t>V súvislosti s bojom proti daňovým únikom sa navrhuje, aby správca dane mal možnosť dočasne pozastaviť prístup do elektronického systému prepráv minerálneho oleja daňovému subjektu, ktorým je užívateľský podnik, prevádzkovateľ daňového skladu, oprávnený príjemca alebo registrovaný odosielateľ, ak má správca dane odôvodnenú obavu, že nesplatná daň alebo nevyrubená daň bude v rozsahu presahujúcom zloženú zábezpeku na daň, v čase jej splatnosti a vymáhateľnosti nevymožiteľná alebo že v tomto čase bude vymáhanie dane spojené so značnými ťažkosťami. Zároveň sa stanovuje povinnosť colnému úradu bezodkladne umožniť daňovému subjektu prístup do elektronického systému,</w:t>
      </w:r>
      <w:r w:rsidRPr="002A154A">
        <w:rPr>
          <w:rStyle w:val="PlaceholderText"/>
          <w:color w:val="000000"/>
          <w:vertAlign w:val="superscript"/>
        </w:rPr>
        <w:t xml:space="preserve"> </w:t>
      </w:r>
      <w:r w:rsidRPr="002A154A">
        <w:rPr>
          <w:rStyle w:val="PlaceholderText"/>
          <w:color w:val="000000"/>
        </w:rPr>
        <w:t>ak pominuli dôvody na základe ktorých mu bol pozastavený prístup do elektronického systému prepráv minerálneho oleja.</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jc w:val="both"/>
        <w:rPr>
          <w:rStyle w:val="PlaceholderText"/>
          <w:color w:val="000000"/>
        </w:rPr>
      </w:pPr>
      <w:r w:rsidRPr="002A154A">
        <w:rPr>
          <w:rStyle w:val="PlaceholderText"/>
          <w:b/>
          <w:color w:val="000000"/>
        </w:rPr>
        <w:t>K bodu 8</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ind w:firstLine="567"/>
        <w:jc w:val="both"/>
        <w:rPr>
          <w:rStyle w:val="PlaceholderText"/>
          <w:color w:val="000000"/>
        </w:rPr>
      </w:pPr>
      <w:r w:rsidRPr="002A154A">
        <w:rPr>
          <w:rStyle w:val="PlaceholderText"/>
          <w:color w:val="000000"/>
        </w:rPr>
        <w:t>Na základe doterajších zistení a poznatkov z aplikačnej praxe sa navrhuje spresniť a doplniť ustanovenia upravujúce obchodovanie s minerálnym olejom, ktorým sú motorový benzín, motorová nafta a LPG (ďalej len „pohonné látky“) v daňovom voľnom obehu. Touto úpravou sa predovšetkým navrhuje:</w:t>
      </w:r>
    </w:p>
    <w:p w:rsidR="002A154A" w:rsidRPr="002A154A" w:rsidP="002A154A">
      <w:pPr>
        <w:widowControl/>
        <w:bidi w:val="0"/>
        <w:ind w:firstLine="567"/>
        <w:jc w:val="both"/>
        <w:rPr>
          <w:rStyle w:val="PlaceholderText"/>
          <w:color w:val="000000"/>
        </w:rPr>
      </w:pPr>
      <w:r w:rsidRPr="002A154A">
        <w:rPr>
          <w:rStyle w:val="PlaceholderText"/>
          <w:color w:val="000000"/>
        </w:rPr>
        <w:t xml:space="preserve">- spresniť definíciu distribútora pohonných látok tak, aby bolo zrejmé, že distribútorom pohonných látok je osoba, ktorá vykonáva obe činnosti uvedené v § 25b ods. 2 písm. a) a b), </w:t>
      </w:r>
    </w:p>
    <w:p w:rsidR="002A154A" w:rsidRPr="002A154A" w:rsidP="002A154A">
      <w:pPr>
        <w:widowControl/>
        <w:bidi w:val="0"/>
        <w:ind w:firstLine="567"/>
        <w:jc w:val="both"/>
        <w:rPr>
          <w:rStyle w:val="PlaceholderText"/>
          <w:color w:val="000000"/>
        </w:rPr>
      </w:pPr>
      <w:r w:rsidRPr="002A154A">
        <w:rPr>
          <w:rStyle w:val="PlaceholderText"/>
          <w:color w:val="000000"/>
        </w:rPr>
        <w:t>- upraviť a doplniť podmienky, ktoré musí splniť každá osoba, ktorá chce na daňovom území obchodovať s pohonnými látkami v daňovom voľnom obehu a zároveň sa navrhuje doplniť a spresniť povinnosti držiteľa povolenia na distribúciu alebo držiteľa povolenia na predaj,</w:t>
      </w:r>
    </w:p>
    <w:p w:rsidR="002A154A" w:rsidRPr="002A154A" w:rsidP="002A154A">
      <w:pPr>
        <w:widowControl/>
        <w:bidi w:val="0"/>
        <w:ind w:firstLine="567"/>
        <w:jc w:val="both"/>
        <w:rPr>
          <w:rStyle w:val="PlaceholderText"/>
          <w:color w:val="000000"/>
        </w:rPr>
      </w:pPr>
      <w:r w:rsidRPr="002A154A">
        <w:rPr>
          <w:rStyle w:val="PlaceholderText"/>
          <w:color w:val="000000"/>
        </w:rPr>
        <w:t>- doplniť postup distribútora pohonných látok, predajcu pohonných a spotrebiteľa pohonných látok keď ukončia svoju podnikateľskú činnosť,</w:t>
      </w:r>
    </w:p>
    <w:p w:rsidR="002A154A" w:rsidRPr="002A154A" w:rsidP="002A154A">
      <w:pPr>
        <w:widowControl/>
        <w:bidi w:val="0"/>
        <w:ind w:firstLine="567"/>
        <w:jc w:val="both"/>
        <w:rPr>
          <w:rStyle w:val="PlaceholderText"/>
          <w:color w:val="000000"/>
        </w:rPr>
      </w:pPr>
      <w:r w:rsidRPr="002A154A">
        <w:rPr>
          <w:rStyle w:val="PlaceholderText"/>
          <w:color w:val="000000"/>
        </w:rPr>
        <w:t>- jednoznačne stanoviť, že predajca pohonných látok musí predávať pohonné látky na konečnú spotrebu len prostredníctvom výdajných stojanov, ktoré sú vybavené overeným meracím zariadením,</w:t>
      </w:r>
    </w:p>
    <w:p w:rsidR="002A154A" w:rsidRPr="002A154A" w:rsidP="002A154A">
      <w:pPr>
        <w:widowControl/>
        <w:bidi w:val="0"/>
        <w:ind w:firstLine="567"/>
        <w:jc w:val="both"/>
        <w:rPr>
          <w:rStyle w:val="PlaceholderText"/>
          <w:color w:val="000000"/>
        </w:rPr>
      </w:pPr>
      <w:r w:rsidRPr="002A154A">
        <w:rPr>
          <w:rStyle w:val="PlaceholderText"/>
          <w:color w:val="000000"/>
        </w:rPr>
        <w:t>- rozšíriť okruh osôb, ktoré môžu byť konečným spotrebiteľom, pričom by sa im umožnilo nakupovať pohonné látky aj od distribútora pohonných látok alebo od registrovanej osoby a nie len od predajcu pohonných látok,</w:t>
      </w:r>
    </w:p>
    <w:p w:rsidR="002A154A" w:rsidRPr="002A154A" w:rsidP="002A154A">
      <w:pPr>
        <w:widowControl/>
        <w:bidi w:val="0"/>
        <w:ind w:firstLine="567"/>
        <w:jc w:val="both"/>
        <w:rPr>
          <w:rStyle w:val="PlaceholderText"/>
          <w:color w:val="000000"/>
        </w:rPr>
      </w:pPr>
      <w:r w:rsidRPr="002A154A">
        <w:rPr>
          <w:rStyle w:val="PlaceholderText"/>
          <w:color w:val="000000"/>
        </w:rPr>
        <w:t>- stanoviť výnimku pre osoby, ktoré v daňovom voľnom obehu distribuujú, predávajú na konečnú spotrebu alebo nakupujú na vlastnú spotrebu LPG uvedené do daňového voľného obehu ako palivo na výrobu tepla alebo LPG prepravované v prenosných oceľových fľašiach, a to bez ohľadu na účel jeho použitia.</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jc w:val="both"/>
        <w:rPr>
          <w:rStyle w:val="PlaceholderText"/>
          <w:color w:val="000000"/>
        </w:rPr>
      </w:pPr>
      <w:r w:rsidRPr="002A154A">
        <w:rPr>
          <w:rStyle w:val="PlaceholderText"/>
          <w:b/>
          <w:color w:val="000000"/>
        </w:rPr>
        <w:t>K bodu 9</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ind w:firstLine="567"/>
        <w:jc w:val="both"/>
        <w:rPr>
          <w:rStyle w:val="PlaceholderText"/>
          <w:color w:val="000000"/>
        </w:rPr>
      </w:pPr>
      <w:r w:rsidRPr="002A154A">
        <w:rPr>
          <w:rStyle w:val="PlaceholderText"/>
          <w:color w:val="000000"/>
        </w:rPr>
        <w:t>Navrhovaná úprava jednoznačne stanovuje, že ak prevádzkovateľ daňového skladu alebo oprávnený príjemca prijme na daňovom území minerálny olej mimo pozastavenia dane na podnikateľské účely, podá na rozdiel od iných platiteľov dane, ktorí musia podať daňové priznanie bezodkladne, na tento minerálny olej daňové priznanie v  lehote do 25. dňa kalendárneho mesiaca nasledujúceho po mesiaci, v ktorom im vznikla daňová povinnosť, teda v rovnakej lehote ako podáva daňové priznanie z minerálneho oleja uvedeného do daňového voľného obehu ako prevádzkovateľ daňového skladu. Touto úpravou však nie je dotknutá povinnosť pre prevádzkovateľa daňového skladu a oprávneného príjemcu podávať daňové priznanie podľa § 14 ods. 2 zákona na minerálny olej uvedený do daňového voľného obehu.</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jc w:val="both"/>
        <w:rPr>
          <w:rStyle w:val="PlaceholderText"/>
          <w:color w:val="000000"/>
        </w:rPr>
      </w:pPr>
      <w:r w:rsidRPr="002A154A">
        <w:rPr>
          <w:rStyle w:val="PlaceholderText"/>
          <w:b/>
          <w:color w:val="000000"/>
        </w:rPr>
        <w:t>K bodu 10</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ind w:firstLine="567"/>
        <w:jc w:val="both"/>
        <w:rPr>
          <w:rStyle w:val="PlaceholderText"/>
          <w:color w:val="000000"/>
        </w:rPr>
      </w:pPr>
      <w:r w:rsidRPr="002A154A">
        <w:rPr>
          <w:rStyle w:val="PlaceholderText"/>
          <w:color w:val="000000"/>
        </w:rPr>
        <w:t>Legislatívno-technická úprava umožňujúca Finančnému riaditeľstvu SR zverejňovať na svojom webovom sídle zoznam subjektov, ktorým colný úrad vydal povolenie na distribúciu pohonných látok a povolenie na predaj pohonných látok.</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jc w:val="both"/>
        <w:rPr>
          <w:rStyle w:val="PlaceholderText"/>
          <w:color w:val="000000"/>
        </w:rPr>
      </w:pPr>
      <w:r w:rsidRPr="002A154A">
        <w:rPr>
          <w:rStyle w:val="PlaceholderText"/>
          <w:b/>
          <w:color w:val="000000"/>
        </w:rPr>
        <w:t>K bodom 11, 12 a 13</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ind w:firstLine="567"/>
        <w:jc w:val="both"/>
        <w:rPr>
          <w:rStyle w:val="PlaceholderText"/>
          <w:color w:val="000000"/>
        </w:rPr>
      </w:pPr>
      <w:r w:rsidRPr="002A154A">
        <w:rPr>
          <w:rStyle w:val="PlaceholderText"/>
          <w:color w:val="000000"/>
        </w:rPr>
        <w:t>V nadväznosti na vykonané úpravy, je potrebné legislatívno-technicky upraviť súvisiace ustanovenia.</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jc w:val="both"/>
        <w:rPr>
          <w:rStyle w:val="PlaceholderText"/>
          <w:color w:val="000000"/>
        </w:rPr>
      </w:pPr>
      <w:r w:rsidRPr="002A154A">
        <w:rPr>
          <w:rStyle w:val="PlaceholderText"/>
          <w:b/>
          <w:color w:val="000000"/>
        </w:rPr>
        <w:t>K bodu 14</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ind w:firstLine="567"/>
        <w:jc w:val="both"/>
        <w:rPr>
          <w:rStyle w:val="PlaceholderText"/>
          <w:color w:val="000000"/>
        </w:rPr>
      </w:pPr>
      <w:r w:rsidRPr="002A154A">
        <w:rPr>
          <w:rStyle w:val="PlaceholderText"/>
          <w:color w:val="000000"/>
        </w:rPr>
        <w:t>V súvislosti s navrhovanými zmenami, je potrebné upraviť prechodné ustanovenia.</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jc w:val="both"/>
        <w:rPr>
          <w:rStyle w:val="PlaceholderText"/>
          <w:color w:val="000000"/>
        </w:rPr>
      </w:pPr>
      <w:r w:rsidRPr="002A154A">
        <w:rPr>
          <w:rStyle w:val="PlaceholderText"/>
          <w:b/>
          <w:color w:val="000000"/>
        </w:rPr>
        <w:t>K článku II</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jc w:val="both"/>
        <w:rPr>
          <w:rStyle w:val="PlaceholderText"/>
          <w:color w:val="000000"/>
        </w:rPr>
      </w:pPr>
      <w:r w:rsidRPr="002A154A">
        <w:rPr>
          <w:rStyle w:val="PlaceholderText"/>
          <w:b/>
          <w:color w:val="000000"/>
        </w:rPr>
        <w:t>K bodom 1 a 4</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ind w:firstLine="567"/>
        <w:jc w:val="both"/>
        <w:rPr>
          <w:rStyle w:val="PlaceholderText"/>
          <w:color w:val="000000"/>
        </w:rPr>
      </w:pPr>
      <w:r w:rsidRPr="002A154A">
        <w:rPr>
          <w:rStyle w:val="PlaceholderText"/>
          <w:color w:val="000000"/>
        </w:rPr>
        <w:t>V nadväznosti na nadobudnutie účinnosti smernice Rady 2013/61/EÚ, ktorou sa mení územná pôsobnosť smernice Rady 2008/118/ES sa znenie ustanovenia upravuje tak, že sa daňové právne predpisy Európskej únie neuplatňujú aj na  územie Mayotte.</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jc w:val="both"/>
        <w:rPr>
          <w:rStyle w:val="PlaceholderText"/>
          <w:color w:val="000000"/>
        </w:rPr>
      </w:pPr>
      <w:r w:rsidRPr="002A154A">
        <w:rPr>
          <w:rStyle w:val="PlaceholderText"/>
          <w:b/>
          <w:color w:val="000000"/>
        </w:rPr>
        <w:t>K bodu 2</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ind w:left="567"/>
        <w:rPr>
          <w:rStyle w:val="PlaceholderText"/>
          <w:color w:val="000000"/>
        </w:rPr>
      </w:pPr>
      <w:r w:rsidRPr="002A154A">
        <w:rPr>
          <w:rStyle w:val="PlaceholderText"/>
          <w:color w:val="000000"/>
        </w:rPr>
        <w:t xml:space="preserve">Legislatívno-technická úprava. </w:t>
      </w:r>
    </w:p>
    <w:p w:rsidR="002A154A" w:rsidRPr="002A154A" w:rsidP="002A154A">
      <w:pPr>
        <w:widowControl/>
        <w:bidi w:val="0"/>
        <w:rPr>
          <w:rStyle w:val="PlaceholderText"/>
          <w:color w:val="000000"/>
        </w:rPr>
      </w:pPr>
      <w:r w:rsidRPr="002A154A">
        <w:rPr>
          <w:rStyle w:val="PlaceholderText"/>
          <w:color w:val="000000"/>
        </w:rPr>
        <w:t> </w:t>
      </w:r>
    </w:p>
    <w:p w:rsidR="002A154A" w:rsidRPr="002A154A" w:rsidP="002A154A">
      <w:pPr>
        <w:widowControl/>
        <w:bidi w:val="0"/>
        <w:jc w:val="both"/>
        <w:rPr>
          <w:rStyle w:val="PlaceholderText"/>
          <w:color w:val="000000"/>
        </w:rPr>
      </w:pPr>
      <w:r w:rsidRPr="002A154A">
        <w:rPr>
          <w:rStyle w:val="PlaceholderText"/>
          <w:b/>
          <w:color w:val="000000"/>
        </w:rPr>
        <w:t>K bodu 3</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ind w:firstLine="567"/>
        <w:jc w:val="both"/>
        <w:rPr>
          <w:rStyle w:val="PlaceholderText"/>
          <w:color w:val="000000"/>
        </w:rPr>
      </w:pPr>
      <w:r w:rsidRPr="002A154A">
        <w:rPr>
          <w:rStyle w:val="PlaceholderText"/>
          <w:color w:val="000000"/>
        </w:rPr>
        <w:t xml:space="preserve">Legislatívno-technická úprava s cieľom zabezpečiť jednotný výklad ustáleného vetného spojenia „identifikačné údaje“ v aplikačnej praxi, a bližšie definovať, o ktoré identifikačné údaje koncového odberateľa uhlia v domácnosti ide. </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jc w:val="both"/>
        <w:rPr>
          <w:rStyle w:val="PlaceholderText"/>
          <w:color w:val="000000"/>
        </w:rPr>
      </w:pPr>
      <w:r w:rsidRPr="002A154A">
        <w:rPr>
          <w:rStyle w:val="PlaceholderText"/>
          <w:b/>
          <w:color w:val="000000"/>
        </w:rPr>
        <w:t>K článku III</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ind w:firstLine="567"/>
        <w:jc w:val="both"/>
        <w:rPr>
          <w:rStyle w:val="PlaceholderText"/>
          <w:color w:val="000000"/>
        </w:rPr>
      </w:pPr>
      <w:r w:rsidRPr="002A154A">
        <w:rPr>
          <w:rStyle w:val="PlaceholderText"/>
          <w:color w:val="000000"/>
        </w:rPr>
        <w:t>V súvislosti s bojom proti daňovým únikom sa navrhuje, aby správca dane mal možnosť dočasne pozastaviť prístup do elektronického systému prepráv alkoholických nápojov daňovému subjektu, ktorým je užívateľský podnik, prevádzkovateľ daňového skladu, oprávnený príjemca alebo registrovaný odosielateľ, ak má správca dane odôvodnenú obavu, že nesplatná daň alebo nevyrubená daň bude v rozsahu presahujúcom zloženú zábezpeku na daň, v čase jej splatnosti a vymáhateľnosti nevymožiteľná alebo že v tomto čase bude vymáhanie dane spojené so značnými ťažkosťami. Zároveň sa stanovuje povinnosť colnému úradu bezodkladne umožniť daňovému subjektu prístup do elektronického systému,</w:t>
      </w:r>
      <w:r w:rsidRPr="002A154A">
        <w:rPr>
          <w:rStyle w:val="PlaceholderText"/>
          <w:color w:val="000000"/>
          <w:vertAlign w:val="superscript"/>
        </w:rPr>
        <w:t xml:space="preserve"> </w:t>
      </w:r>
      <w:r w:rsidRPr="002A154A">
        <w:rPr>
          <w:rStyle w:val="PlaceholderText"/>
          <w:color w:val="000000"/>
        </w:rPr>
        <w:t>ak pominuli dôvody na základe ktorých mu bol pozastavený prístup do elektronického systému prepráv alkoholických nápojov.</w:t>
      </w:r>
    </w:p>
    <w:p w:rsidR="002A154A" w:rsidRPr="002A154A" w:rsidP="002A154A">
      <w:pPr>
        <w:widowControl/>
        <w:bidi w:val="0"/>
        <w:ind w:firstLine="567"/>
        <w:jc w:val="both"/>
        <w:rPr>
          <w:rStyle w:val="PlaceholderText"/>
          <w:color w:val="000000"/>
        </w:rPr>
      </w:pPr>
      <w:r w:rsidRPr="002A154A">
        <w:rPr>
          <w:rStyle w:val="PlaceholderText"/>
          <w:color w:val="000000"/>
        </w:rPr>
        <w:t> </w:t>
      </w:r>
    </w:p>
    <w:p w:rsidR="002A154A" w:rsidRPr="002A154A" w:rsidP="002A154A">
      <w:pPr>
        <w:widowControl/>
        <w:bidi w:val="0"/>
        <w:jc w:val="both"/>
        <w:rPr>
          <w:rStyle w:val="PlaceholderText"/>
          <w:color w:val="000000"/>
        </w:rPr>
      </w:pPr>
      <w:r w:rsidRPr="002A154A">
        <w:rPr>
          <w:rStyle w:val="PlaceholderText"/>
          <w:b/>
          <w:color w:val="000000"/>
        </w:rPr>
        <w:t>K článku IV</w:t>
      </w:r>
    </w:p>
    <w:p w:rsidR="002A154A" w:rsidRPr="002A154A" w:rsidP="002A154A">
      <w:pPr>
        <w:widowControl/>
        <w:bidi w:val="0"/>
        <w:jc w:val="both"/>
        <w:rPr>
          <w:rStyle w:val="PlaceholderText"/>
          <w:color w:val="000000"/>
        </w:rPr>
      </w:pPr>
      <w:r w:rsidRPr="002A154A">
        <w:rPr>
          <w:rStyle w:val="PlaceholderText"/>
          <w:color w:val="000000"/>
        </w:rPr>
        <w:t> </w:t>
      </w:r>
    </w:p>
    <w:p w:rsidR="002A154A" w:rsidRPr="002A154A" w:rsidP="002A154A">
      <w:pPr>
        <w:widowControl/>
        <w:bidi w:val="0"/>
        <w:ind w:firstLine="567"/>
        <w:jc w:val="both"/>
        <w:rPr>
          <w:rStyle w:val="PlaceholderText"/>
          <w:color w:val="000000"/>
        </w:rPr>
      </w:pPr>
      <w:r w:rsidRPr="002A154A">
        <w:rPr>
          <w:rStyle w:val="PlaceholderText"/>
          <w:color w:val="000000"/>
        </w:rPr>
        <w:t>Tento zákon nadobúda účinnosť 1. decembra 2014 okrem čl. I bodov 3, 4, 5, 6 a 7 a čl. III, ktoré nadobúdajú účinnosť 1. januára 2015 a čl. I bodov 8, 11 a 13, ktoré nadobúdajú účinnosť  1. februára 2015.</w:t>
      </w:r>
    </w:p>
    <w:p w:rsidR="002A154A" w:rsidRPr="002A154A" w:rsidP="002A154A">
      <w:pPr>
        <w:widowControl/>
        <w:bidi w:val="0"/>
        <w:rPr>
          <w:rStyle w:val="PlaceholderText"/>
          <w:color w:val="000000"/>
        </w:rPr>
      </w:pPr>
      <w:r w:rsidRPr="002A154A">
        <w:rPr>
          <w:rStyle w:val="PlaceholderText"/>
          <w:color w:val="000000"/>
        </w:rPr>
        <w:t> </w:t>
      </w:r>
    </w:p>
    <w:p w:rsidR="002A154A" w:rsidRPr="002A154A" w:rsidP="002A154A">
      <w:pPr>
        <w:widowControl/>
        <w:bidi w:val="0"/>
        <w:rPr>
          <w:rStyle w:val="PlaceholderText"/>
          <w:color w:val="000000"/>
        </w:rPr>
      </w:pPr>
      <w:r w:rsidRPr="002A154A">
        <w:rPr>
          <w:rStyle w:val="PlaceholderText"/>
          <w:color w:val="000000"/>
        </w:rPr>
        <w:t> </w:t>
      </w:r>
    </w:p>
    <w:p w:rsidR="002A154A" w:rsidRPr="00A477AD" w:rsidP="002A154A">
      <w:pPr>
        <w:autoSpaceDE w:val="0"/>
        <w:autoSpaceDN w:val="0"/>
        <w:bidi w:val="0"/>
        <w:spacing w:after="120" w:line="240" w:lineRule="atLeast"/>
        <w:ind w:firstLine="567"/>
        <w:jc w:val="both"/>
        <w:rPr>
          <w:rFonts w:ascii="Times New Roman" w:hAnsi="Times New Roman"/>
          <w:color w:val="000000"/>
        </w:rPr>
      </w:pPr>
      <w:r w:rsidRPr="00A477AD">
        <w:rPr>
          <w:rStyle w:val="PlaceholderText"/>
          <w:color w:val="000000"/>
        </w:rPr>
        <w:t> </w:t>
      </w:r>
      <w:r w:rsidRPr="00A477AD">
        <w:rPr>
          <w:rFonts w:ascii="Times New Roman" w:hAnsi="Times New Roman"/>
          <w:color w:val="000000"/>
        </w:rPr>
        <w:t xml:space="preserve">Schválené uznesením </w:t>
      </w:r>
      <w:r>
        <w:rPr>
          <w:rFonts w:ascii="Times New Roman" w:hAnsi="Times New Roman"/>
          <w:color w:val="000000"/>
        </w:rPr>
        <w:t>vlády Slovenskej republiky dňa 20. augusta 2014</w:t>
      </w:r>
      <w:r w:rsidRPr="00A477AD">
        <w:rPr>
          <w:rFonts w:ascii="Times New Roman" w:hAnsi="Times New Roman"/>
          <w:color w:val="000000"/>
        </w:rPr>
        <w:t>.</w:t>
      </w:r>
    </w:p>
    <w:p w:rsidR="002A154A" w:rsidRPr="00A477AD" w:rsidP="002A154A">
      <w:pPr>
        <w:autoSpaceDE w:val="0"/>
        <w:autoSpaceDN w:val="0"/>
        <w:bidi w:val="0"/>
        <w:spacing w:line="240" w:lineRule="atLeast"/>
        <w:rPr>
          <w:rFonts w:ascii="Times New Roman" w:hAnsi="Times New Roman"/>
          <w:color w:val="000000"/>
        </w:rPr>
      </w:pPr>
    </w:p>
    <w:p w:rsidR="002A154A" w:rsidRPr="00A477AD" w:rsidP="002A154A">
      <w:pPr>
        <w:autoSpaceDE w:val="0"/>
        <w:autoSpaceDN w:val="0"/>
        <w:bidi w:val="0"/>
        <w:spacing w:line="240" w:lineRule="atLeast"/>
        <w:rPr>
          <w:rFonts w:ascii="Times New Roman" w:hAnsi="Times New Roman"/>
          <w:color w:val="000000"/>
        </w:rPr>
      </w:pPr>
    </w:p>
    <w:p w:rsidR="002A154A" w:rsidRPr="00A477AD" w:rsidP="002A154A">
      <w:pPr>
        <w:autoSpaceDE w:val="0"/>
        <w:autoSpaceDN w:val="0"/>
        <w:bidi w:val="0"/>
        <w:spacing w:line="240" w:lineRule="atLeast"/>
        <w:rPr>
          <w:rFonts w:ascii="Times New Roman" w:hAnsi="Times New Roman"/>
          <w:color w:val="000000"/>
        </w:rPr>
      </w:pPr>
    </w:p>
    <w:p w:rsidR="002A154A" w:rsidRPr="00A477AD" w:rsidP="002A154A">
      <w:pPr>
        <w:autoSpaceDE w:val="0"/>
        <w:autoSpaceDN w:val="0"/>
        <w:bidi w:val="0"/>
        <w:spacing w:line="240" w:lineRule="atLeast"/>
        <w:jc w:val="center"/>
        <w:rPr>
          <w:rFonts w:ascii="Times New Roman" w:hAnsi="Times New Roman"/>
          <w:bCs/>
          <w:color w:val="000000"/>
        </w:rPr>
      </w:pPr>
      <w:r w:rsidRPr="00A477AD">
        <w:rPr>
          <w:rFonts w:ascii="Times New Roman" w:hAnsi="Times New Roman"/>
          <w:bCs/>
          <w:color w:val="000000"/>
        </w:rPr>
        <w:t>Robert Fico</w:t>
      </w:r>
      <w:r>
        <w:rPr>
          <w:rFonts w:ascii="Times New Roman" w:hAnsi="Times New Roman"/>
          <w:bCs/>
          <w:color w:val="000000"/>
        </w:rPr>
        <w:t>, v. r.</w:t>
      </w:r>
    </w:p>
    <w:p w:rsidR="002A154A" w:rsidRPr="00A477AD" w:rsidP="002A154A">
      <w:pPr>
        <w:autoSpaceDE w:val="0"/>
        <w:autoSpaceDN w:val="0"/>
        <w:bidi w:val="0"/>
        <w:spacing w:line="240" w:lineRule="atLeast"/>
        <w:jc w:val="center"/>
        <w:rPr>
          <w:rFonts w:ascii="Times New Roman" w:hAnsi="Times New Roman"/>
          <w:color w:val="000000"/>
        </w:rPr>
      </w:pPr>
      <w:r w:rsidRPr="00A477AD">
        <w:rPr>
          <w:rFonts w:ascii="Times New Roman" w:hAnsi="Times New Roman"/>
          <w:color w:val="000000"/>
        </w:rPr>
        <w:t>predseda vlády Slovenskej republiky</w:t>
      </w:r>
    </w:p>
    <w:p w:rsidR="002A154A" w:rsidRPr="00A477AD" w:rsidP="002A154A">
      <w:pPr>
        <w:autoSpaceDE w:val="0"/>
        <w:autoSpaceDN w:val="0"/>
        <w:bidi w:val="0"/>
        <w:spacing w:line="240" w:lineRule="atLeast"/>
        <w:jc w:val="both"/>
        <w:rPr>
          <w:rFonts w:ascii="Times New Roman" w:hAnsi="Times New Roman"/>
          <w:color w:val="000000"/>
        </w:rPr>
      </w:pPr>
    </w:p>
    <w:p w:rsidR="002A154A" w:rsidRPr="00A477AD" w:rsidP="002A154A">
      <w:pPr>
        <w:autoSpaceDE w:val="0"/>
        <w:autoSpaceDN w:val="0"/>
        <w:bidi w:val="0"/>
        <w:spacing w:line="240" w:lineRule="atLeast"/>
        <w:jc w:val="both"/>
        <w:rPr>
          <w:rFonts w:ascii="Times New Roman" w:hAnsi="Times New Roman"/>
          <w:color w:val="000000"/>
        </w:rPr>
      </w:pPr>
    </w:p>
    <w:p w:rsidR="002A154A" w:rsidRPr="00A477AD" w:rsidP="002A154A">
      <w:pPr>
        <w:autoSpaceDE w:val="0"/>
        <w:autoSpaceDN w:val="0"/>
        <w:bidi w:val="0"/>
        <w:spacing w:line="240" w:lineRule="atLeast"/>
        <w:jc w:val="both"/>
        <w:rPr>
          <w:rFonts w:ascii="Times New Roman" w:hAnsi="Times New Roman"/>
          <w:color w:val="000000"/>
        </w:rPr>
      </w:pPr>
    </w:p>
    <w:p w:rsidR="002A154A" w:rsidRPr="00A477AD" w:rsidP="002A154A">
      <w:pPr>
        <w:autoSpaceDE w:val="0"/>
        <w:autoSpaceDN w:val="0"/>
        <w:bidi w:val="0"/>
        <w:spacing w:line="240" w:lineRule="atLeast"/>
        <w:jc w:val="center"/>
        <w:rPr>
          <w:rFonts w:ascii="Times New Roman" w:hAnsi="Times New Roman"/>
          <w:bCs/>
          <w:color w:val="000000"/>
        </w:rPr>
      </w:pPr>
      <w:r w:rsidRPr="00A477AD">
        <w:rPr>
          <w:rFonts w:ascii="Times New Roman" w:hAnsi="Times New Roman"/>
          <w:bCs/>
          <w:color w:val="000000"/>
        </w:rPr>
        <w:t>Peter Kažimír, v. r.</w:t>
      </w:r>
    </w:p>
    <w:p w:rsidR="002A154A" w:rsidRPr="00BA6433" w:rsidP="002A154A">
      <w:pPr>
        <w:autoSpaceDE w:val="0"/>
        <w:autoSpaceDN w:val="0"/>
        <w:bidi w:val="0"/>
        <w:spacing w:line="240" w:lineRule="atLeast"/>
        <w:jc w:val="center"/>
        <w:rPr>
          <w:rStyle w:val="PlaceholderText"/>
          <w:color w:val="000000"/>
        </w:rPr>
      </w:pPr>
      <w:r w:rsidRPr="00BA6433">
        <w:rPr>
          <w:rFonts w:ascii="Times New Roman" w:hAnsi="Times New Roman"/>
          <w:color w:val="000000"/>
        </w:rPr>
        <w:t xml:space="preserve">podpredseda vlády a minister financií </w:t>
      </w:r>
      <w:r w:rsidRPr="00BA6433">
        <w:rPr>
          <w:rFonts w:ascii="Times New Roman" w:hAnsi="Times New Roman"/>
        </w:rPr>
        <w:t>Slovenskej republiky</w:t>
      </w:r>
    </w:p>
    <w:p w:rsidR="002A154A" w:rsidRPr="002A154A" w:rsidP="002A154A">
      <w:pPr>
        <w:widowControl/>
        <w:bidi w:val="0"/>
        <w:jc w:val="both"/>
        <w:rPr>
          <w:rStyle w:val="PlaceholderText"/>
          <w:color w:val="000000"/>
        </w:rPr>
      </w:pPr>
    </w:p>
    <w:p w:rsidR="002A154A" w:rsidRPr="002A154A" w:rsidP="002A154A">
      <w:pPr>
        <w:widowControl/>
        <w:bidi w:val="0"/>
        <w:spacing w:after="280" w:afterAutospacing="1"/>
        <w:rPr>
          <w:rStyle w:val="PlaceholderText"/>
          <w:color w:val="000000"/>
        </w:rPr>
      </w:pPr>
      <w:r w:rsidRPr="002A154A">
        <w:rPr>
          <w:rStyle w:val="PlaceholderText"/>
          <w:color w:val="000000"/>
        </w:rPr>
        <w:t> </w:t>
      </w: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p w:rsidR="002A154A" w:rsidRPr="002A154A">
      <w:pPr>
        <w:widowControl/>
        <w:bidi w:val="0"/>
        <w:spacing w:after="280" w:afterAutospacing="1"/>
        <w:rPr>
          <w:rStyle w:val="PlaceholderText"/>
          <w:color w:val="000000"/>
        </w:rPr>
      </w:pPr>
    </w:p>
    <w:sectPr>
      <w:footerReference w:type="default" r:id="rId4"/>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0000000000000000000"/>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484">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4E1AEF">
      <w:rPr>
        <w:rFonts w:ascii="Times New Roman" w:hAnsi="Times New Roman"/>
        <w:noProof/>
      </w:rPr>
      <w:t>10</w:t>
    </w:r>
    <w:r>
      <w:rPr>
        <w:rFonts w:ascii="Times New Roman" w:hAnsi="Times New Roman"/>
      </w:rPr>
      <w:fldChar w:fldCharType="end"/>
    </w:r>
  </w:p>
  <w:p w:rsidR="00E43484">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46C"/>
    <w:multiLevelType w:val="hybridMultilevel"/>
    <w:tmpl w:val="44528930"/>
    <w:lvl w:ilvl="0">
      <w:start w:val="1"/>
      <w:numFmt w:val="lowerLetter"/>
      <w:lvlText w:val="%1)"/>
      <w:lvlJc w:val="left"/>
      <w:pPr>
        <w:tabs>
          <w:tab w:val="num" w:pos="785"/>
        </w:tabs>
        <w:ind w:left="785" w:hanging="360"/>
      </w:pPr>
      <w:rPr>
        <w:rFonts w:cs="Times New Roman" w:hint="default"/>
        <w:rtl w:val="0"/>
        <w:cs w:val="0"/>
      </w:rPr>
    </w:lvl>
    <w:lvl w:ilvl="1">
      <w:start w:val="1"/>
      <w:numFmt w:val="lowerLetter"/>
      <w:lvlText w:val="%2."/>
      <w:lvlJc w:val="left"/>
      <w:pPr>
        <w:tabs>
          <w:tab w:val="num" w:pos="1505"/>
        </w:tabs>
        <w:ind w:left="1505" w:hanging="360"/>
      </w:pPr>
      <w:rPr>
        <w:rFonts w:cs="Times New Roman"/>
        <w:rtl w:val="0"/>
        <w:cs w:val="0"/>
      </w:rPr>
    </w:lvl>
    <w:lvl w:ilvl="2">
      <w:start w:val="1"/>
      <w:numFmt w:val="lowerRoman"/>
      <w:lvlText w:val="%3."/>
      <w:lvlJc w:val="right"/>
      <w:pPr>
        <w:tabs>
          <w:tab w:val="num" w:pos="2225"/>
        </w:tabs>
        <w:ind w:left="2225" w:hanging="180"/>
      </w:pPr>
      <w:rPr>
        <w:rFonts w:cs="Times New Roman"/>
        <w:rtl w:val="0"/>
        <w:cs w:val="0"/>
      </w:rPr>
    </w:lvl>
    <w:lvl w:ilvl="3">
      <w:start w:val="1"/>
      <w:numFmt w:val="decimal"/>
      <w:lvlText w:val="%4."/>
      <w:lvlJc w:val="left"/>
      <w:pPr>
        <w:tabs>
          <w:tab w:val="num" w:pos="2945"/>
        </w:tabs>
        <w:ind w:left="2945" w:hanging="360"/>
      </w:pPr>
      <w:rPr>
        <w:rFonts w:cs="Times New Roman"/>
        <w:rtl w:val="0"/>
        <w:cs w:val="0"/>
      </w:rPr>
    </w:lvl>
    <w:lvl w:ilvl="4">
      <w:start w:val="1"/>
      <w:numFmt w:val="lowerLetter"/>
      <w:lvlText w:val="%5."/>
      <w:lvlJc w:val="left"/>
      <w:pPr>
        <w:tabs>
          <w:tab w:val="num" w:pos="3665"/>
        </w:tabs>
        <w:ind w:left="3665" w:hanging="360"/>
      </w:pPr>
      <w:rPr>
        <w:rFonts w:cs="Times New Roman"/>
        <w:rtl w:val="0"/>
        <w:cs w:val="0"/>
      </w:rPr>
    </w:lvl>
    <w:lvl w:ilvl="5">
      <w:start w:val="1"/>
      <w:numFmt w:val="lowerRoman"/>
      <w:lvlText w:val="%6."/>
      <w:lvlJc w:val="right"/>
      <w:pPr>
        <w:tabs>
          <w:tab w:val="num" w:pos="4385"/>
        </w:tabs>
        <w:ind w:left="4385" w:hanging="180"/>
      </w:pPr>
      <w:rPr>
        <w:rFonts w:cs="Times New Roman"/>
        <w:rtl w:val="0"/>
        <w:cs w:val="0"/>
      </w:rPr>
    </w:lvl>
    <w:lvl w:ilvl="6">
      <w:start w:val="1"/>
      <w:numFmt w:val="decimal"/>
      <w:lvlText w:val="%7."/>
      <w:lvlJc w:val="left"/>
      <w:pPr>
        <w:tabs>
          <w:tab w:val="num" w:pos="5105"/>
        </w:tabs>
        <w:ind w:left="5105" w:hanging="360"/>
      </w:pPr>
      <w:rPr>
        <w:rFonts w:cs="Times New Roman"/>
        <w:rtl w:val="0"/>
        <w:cs w:val="0"/>
      </w:rPr>
    </w:lvl>
    <w:lvl w:ilvl="7">
      <w:start w:val="1"/>
      <w:numFmt w:val="lowerLetter"/>
      <w:lvlText w:val="%8."/>
      <w:lvlJc w:val="left"/>
      <w:pPr>
        <w:tabs>
          <w:tab w:val="num" w:pos="5825"/>
        </w:tabs>
        <w:ind w:left="5825" w:hanging="360"/>
      </w:pPr>
      <w:rPr>
        <w:rFonts w:cs="Times New Roman"/>
        <w:rtl w:val="0"/>
        <w:cs w:val="0"/>
      </w:rPr>
    </w:lvl>
    <w:lvl w:ilvl="8">
      <w:start w:val="1"/>
      <w:numFmt w:val="lowerRoman"/>
      <w:lvlText w:val="%9."/>
      <w:lvlJc w:val="right"/>
      <w:pPr>
        <w:tabs>
          <w:tab w:val="num" w:pos="6545"/>
        </w:tabs>
        <w:ind w:left="6545" w:hanging="180"/>
      </w:pPr>
      <w:rPr>
        <w:rFonts w:cs="Times New Roman"/>
        <w:rtl w:val="0"/>
        <w:cs w:val="0"/>
      </w:rPr>
    </w:lvl>
  </w:abstractNum>
  <w:abstractNum w:abstractNumId="1">
    <w:nsid w:val="0749197D"/>
    <w:multiLevelType w:val="multilevel"/>
    <w:tmpl w:val="10FA859E"/>
    <w:lvl w:ilvl="0">
      <w:start w:val="6"/>
      <w:numFmt w:val="bullet"/>
      <w:lvlText w:val="-"/>
      <w:lvlJc w:val="left"/>
      <w:pPr>
        <w:ind w:left="851" w:hanging="425"/>
      </w:pPr>
      <w:rPr>
        <w:rFonts w:ascii="Times New Roman" w:eastAsia="Times New Roman" w:hAnsi="Times New Roman" w:hint="default"/>
        <w:b/>
      </w:rPr>
    </w:lvl>
    <w:lvl w:ilvl="1">
      <w:start w:val="1"/>
      <w:numFmt w:val="lowerLetter"/>
      <w:lvlText w:val="%2)"/>
      <w:legacy w:legacy="1" w:legacySpace="0" w:legacyIndent="425"/>
      <w:lvlJc w:val="left"/>
      <w:pPr>
        <w:ind w:left="1276" w:hanging="425"/>
      </w:pPr>
      <w:rPr>
        <w:rFonts w:cs="Times New Roman"/>
        <w:rtl w:val="0"/>
        <w:cs w:val="0"/>
      </w:rPr>
    </w:lvl>
    <w:lvl w:ilvl="2">
      <w:start w:val="1"/>
      <w:numFmt w:val="decimal"/>
      <w:lvlText w:val="%3.)"/>
      <w:legacy w:legacy="1" w:legacySpace="0" w:legacyIndent="425"/>
      <w:lvlJc w:val="left"/>
      <w:pPr>
        <w:ind w:left="1701" w:hanging="425"/>
      </w:pPr>
      <w:rPr>
        <w:rFonts w:cs="Times New Roman"/>
        <w:rtl w:val="0"/>
        <w:cs w:val="0"/>
      </w:rPr>
    </w:lvl>
    <w:lvl w:ilvl="3">
      <w:start w:val="1"/>
      <w:numFmt w:val="lowerLetter"/>
      <w:lvlText w:val="%4)"/>
      <w:legacy w:legacy="1" w:legacySpace="0" w:legacyIndent="708"/>
      <w:lvlJc w:val="left"/>
      <w:pPr>
        <w:ind w:left="2409" w:hanging="708"/>
      </w:pPr>
      <w:rPr>
        <w:rFonts w:cs="Times New Roman"/>
        <w:rtl w:val="0"/>
        <w:cs w:val="0"/>
      </w:rPr>
    </w:lvl>
    <w:lvl w:ilvl="4">
      <w:start w:val="1"/>
      <w:numFmt w:val="decimal"/>
      <w:lvlText w:val="(%5)"/>
      <w:legacy w:legacy="1" w:legacySpace="0" w:legacyIndent="708"/>
      <w:lvlJc w:val="left"/>
      <w:pPr>
        <w:ind w:left="3117" w:hanging="708"/>
      </w:pPr>
      <w:rPr>
        <w:rFonts w:cs="Times New Roman"/>
        <w:rtl w:val="0"/>
        <w:cs w:val="0"/>
      </w:rPr>
    </w:lvl>
    <w:lvl w:ilvl="5">
      <w:start w:val="1"/>
      <w:numFmt w:val="lowerLetter"/>
      <w:lvlText w:val="(%6)"/>
      <w:legacy w:legacy="1" w:legacySpace="0" w:legacyIndent="708"/>
      <w:lvlJc w:val="left"/>
      <w:pPr>
        <w:ind w:left="3825" w:hanging="708"/>
      </w:pPr>
      <w:rPr>
        <w:rFonts w:cs="Times New Roman"/>
        <w:rtl w:val="0"/>
        <w:cs w:val="0"/>
      </w:rPr>
    </w:lvl>
    <w:lvl w:ilvl="6">
      <w:start w:val="1"/>
      <w:numFmt w:val="lowerRoman"/>
      <w:lvlText w:val="(%7)"/>
      <w:legacy w:legacy="1" w:legacySpace="0" w:legacyIndent="708"/>
      <w:lvlJc w:val="left"/>
      <w:pPr>
        <w:ind w:left="4533" w:hanging="708"/>
      </w:pPr>
      <w:rPr>
        <w:rFonts w:cs="Times New Roman"/>
        <w:rtl w:val="0"/>
        <w:cs w:val="0"/>
      </w:rPr>
    </w:lvl>
    <w:lvl w:ilvl="7">
      <w:start w:val="1"/>
      <w:numFmt w:val="lowerLetter"/>
      <w:lvlText w:val="(%8)"/>
      <w:legacy w:legacy="1" w:legacySpace="0" w:legacyIndent="708"/>
      <w:lvlJc w:val="left"/>
      <w:pPr>
        <w:ind w:left="5241" w:hanging="708"/>
      </w:pPr>
      <w:rPr>
        <w:rFonts w:cs="Times New Roman"/>
        <w:rtl w:val="0"/>
        <w:cs w:val="0"/>
      </w:rPr>
    </w:lvl>
    <w:lvl w:ilvl="8">
      <w:start w:val="1"/>
      <w:numFmt w:val="lowerRoman"/>
      <w:lvlText w:val="(%9)"/>
      <w:legacy w:legacy="1" w:legacySpace="0" w:legacyIndent="708"/>
      <w:lvlJc w:val="left"/>
      <w:pPr>
        <w:ind w:left="5949" w:hanging="708"/>
      </w:pPr>
      <w:rPr>
        <w:rFonts w:cs="Times New Roman"/>
        <w:rtl w:val="0"/>
        <w:cs w:val="0"/>
      </w:rPr>
    </w:lvl>
  </w:abstractNum>
  <w:abstractNum w:abstractNumId="2">
    <w:nsid w:val="191D2169"/>
    <w:multiLevelType w:val="hybridMultilevel"/>
    <w:tmpl w:val="435C7804"/>
    <w:lvl w:ilvl="0">
      <w:start w:val="2"/>
      <w:numFmt w:val="decimal"/>
      <w:lvlText w:val="%1."/>
      <w:lvlJc w:val="left"/>
      <w:pPr>
        <w:ind w:left="720" w:hanging="360"/>
      </w:pPr>
      <w:rPr>
        <w:rFonts w:cs="Arial Narrow" w:hint="default"/>
        <w:u w:val="none"/>
        <w:rtl w:val="0"/>
        <w:cs w:val="0"/>
      </w:rPr>
    </w:lvl>
    <w:lvl w:ilvl="1">
      <w:start w:val="2"/>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D3F2D1F"/>
    <w:multiLevelType w:val="hybridMultilevel"/>
    <w:tmpl w:val="2976140A"/>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0BB08A6"/>
    <w:multiLevelType w:val="hybridMultilevel"/>
    <w:tmpl w:val="1FB241BC"/>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5">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6">
    <w:nsid w:val="6AB62683"/>
    <w:multiLevelType w:val="singleLevel"/>
    <w:tmpl w:val="768E8086"/>
    <w:lvl w:ilvl="0">
      <w:start w:val="1"/>
      <w:numFmt w:val="bullet"/>
      <w:lvlText w:val="-"/>
      <w:lvlJc w:val="left"/>
      <w:pPr>
        <w:tabs>
          <w:tab w:val="num" w:pos="660"/>
        </w:tabs>
        <w:ind w:left="660" w:hanging="360"/>
      </w:pPr>
      <w:rPr>
        <w:rFonts w:hint="default"/>
      </w:rPr>
    </w:lvl>
  </w:abstractNum>
  <w:abstractNum w:abstractNumId="7">
    <w:nsid w:val="6BF03261"/>
    <w:multiLevelType w:val="hybridMultilevel"/>
    <w:tmpl w:val="69926042"/>
    <w:lvl w:ilvl="0">
      <w:start w:val="1"/>
      <w:numFmt w:val="decimal"/>
      <w:lvlText w:val="%1."/>
      <w:lvlJc w:val="left"/>
      <w:pPr>
        <w:ind w:left="720" w:hanging="360"/>
      </w:pPr>
      <w:rPr>
        <w:rFonts w:cs="Arial Narrow"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5"/>
  </w:num>
  <w:num w:numId="2">
    <w:abstractNumId w:val="4"/>
  </w:num>
  <w:num w:numId="3">
    <w:abstractNumId w:val="3"/>
  </w:num>
  <w:num w:numId="4">
    <w:abstractNumId w:val="0"/>
  </w:num>
  <w:num w:numId="5">
    <w:abstractNumId w:val="2"/>
  </w:num>
  <w:num w:numId="6">
    <w:abstractNumId w:val="1"/>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2A154A"/>
    <w:rsid w:val="001E2D93"/>
    <w:rsid w:val="002A154A"/>
    <w:rsid w:val="00352624"/>
    <w:rsid w:val="003D411B"/>
    <w:rsid w:val="004A08BB"/>
    <w:rsid w:val="004E1AEF"/>
    <w:rsid w:val="00532D68"/>
    <w:rsid w:val="00812B3F"/>
    <w:rsid w:val="008B25A6"/>
    <w:rsid w:val="00A477AD"/>
    <w:rsid w:val="00A64D2D"/>
    <w:rsid w:val="00B17E28"/>
    <w:rsid w:val="00BA6433"/>
    <w:rsid w:val="00C0489E"/>
    <w:rsid w:val="00E4348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 w:type="paragraph" w:styleId="BodyTextIndent">
    <w:name w:val="Body Text Indent"/>
    <w:basedOn w:val="Normal"/>
    <w:link w:val="ZarkazkladnhotextuChar"/>
    <w:uiPriority w:val="99"/>
    <w:rsid w:val="002A154A"/>
    <w:pPr>
      <w:widowControl/>
      <w:adjustRightInd/>
      <w:ind w:firstLine="709"/>
      <w:jc w:val="both"/>
    </w:pPr>
  </w:style>
  <w:style w:type="character" w:customStyle="1" w:styleId="ZarkazkladnhotextuChar">
    <w:name w:val="Zarážka základného textu Char"/>
    <w:basedOn w:val="DefaultParagraphFont"/>
    <w:link w:val="BodyTextIndent"/>
    <w:uiPriority w:val="99"/>
    <w:locked/>
    <w:rsid w:val="002A154A"/>
    <w:rPr>
      <w:rFonts w:ascii="Times New Roman" w:hAnsi="Times New Roman" w:cs="Times New Roman"/>
      <w:sz w:val="24"/>
      <w:szCs w:val="24"/>
      <w:rtl w:val="0"/>
      <w:cs w:val="0"/>
    </w:rPr>
  </w:style>
  <w:style w:type="paragraph" w:styleId="Title">
    <w:name w:val="Title"/>
    <w:basedOn w:val="Normal"/>
    <w:link w:val="NzovChar"/>
    <w:uiPriority w:val="10"/>
    <w:qFormat/>
    <w:locked/>
    <w:rsid w:val="002A154A"/>
    <w:pPr>
      <w:widowControl/>
      <w:adjustRightInd/>
      <w:jc w:val="center"/>
    </w:pPr>
    <w:rPr>
      <w:b/>
      <w:bCs/>
    </w:rPr>
  </w:style>
  <w:style w:type="character" w:customStyle="1" w:styleId="NzovChar">
    <w:name w:val="Názov Char"/>
    <w:basedOn w:val="DefaultParagraphFont"/>
    <w:link w:val="Title"/>
    <w:uiPriority w:val="10"/>
    <w:locked/>
    <w:rsid w:val="002A154A"/>
    <w:rPr>
      <w:rFonts w:ascii="Times New Roman" w:hAnsi="Times New Roman" w:cs="Times New Roman"/>
      <w:b/>
      <w:bCs/>
      <w:sz w:val="24"/>
      <w:szCs w:val="24"/>
      <w:rtl w:val="0"/>
      <w:cs w:val="0"/>
    </w:rPr>
  </w:style>
  <w:style w:type="paragraph" w:styleId="BodyText">
    <w:name w:val="Body Text"/>
    <w:basedOn w:val="Normal"/>
    <w:link w:val="ZkladntextChar"/>
    <w:uiPriority w:val="99"/>
    <w:rsid w:val="002A154A"/>
    <w:pPr>
      <w:widowControl/>
      <w:adjustRightInd/>
      <w:spacing w:after="120"/>
      <w:jc w:val="left"/>
    </w:pPr>
    <w:rPr>
      <w:lang w:eastAsia="cs-CZ"/>
    </w:rPr>
  </w:style>
  <w:style w:type="character" w:customStyle="1" w:styleId="ZkladntextChar">
    <w:name w:val="Základný text Char"/>
    <w:basedOn w:val="DefaultParagraphFont"/>
    <w:link w:val="BodyText"/>
    <w:uiPriority w:val="99"/>
    <w:locked/>
    <w:rsid w:val="002A154A"/>
    <w:rPr>
      <w:rFonts w:ascii="Times New Roman" w:hAnsi="Times New Roman" w:cs="Times New Roman"/>
      <w:sz w:val="24"/>
      <w:szCs w:val="24"/>
      <w:rtl w:val="0"/>
      <w:cs w:val="0"/>
      <w:lang w:val="x-none" w:eastAsia="cs-CZ"/>
    </w:rPr>
  </w:style>
  <w:style w:type="character" w:styleId="Emphasis">
    <w:name w:val="Emphasis"/>
    <w:basedOn w:val="DefaultParagraphFont"/>
    <w:uiPriority w:val="20"/>
    <w:qFormat/>
    <w:locked/>
    <w:rsid w:val="002A154A"/>
    <w:rPr>
      <w:rFonts w:cs="Times New Roman"/>
      <w:i/>
      <w:rtl w:val="0"/>
      <w:cs w:val="0"/>
    </w:rPr>
  </w:style>
  <w:style w:type="paragraph" w:customStyle="1" w:styleId="Zkladntext">
    <w:name w:val="Základní text"/>
    <w:aliases w:val="Základný text Char Char"/>
    <w:uiPriority w:val="99"/>
    <w:rsid w:val="002A154A"/>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 w:type="paragraph" w:customStyle="1" w:styleId="Zkladntext0">
    <w:name w:val="Zkladn text"/>
    <w:rsid w:val="002A154A"/>
    <w:pPr>
      <w:framePr w:wrap="auto"/>
      <w:widowControl w:val="0"/>
      <w:autoSpaceDE w:val="0"/>
      <w:autoSpaceDN w:val="0"/>
      <w:adjustRightInd/>
      <w:ind w:left="0" w:right="0"/>
      <w:jc w:val="left"/>
      <w:textAlignment w:val="auto"/>
    </w:pPr>
    <w:rPr>
      <w:rFonts w:cs="Times New Roman"/>
      <w:color w:val="000000"/>
      <w:sz w:val="20"/>
      <w:szCs w:val="20"/>
      <w:rtl w:val="0"/>
      <w:cs w:val="0"/>
      <w:lang w:val="sk-SK" w:eastAsia="sk-SK" w:bidi="ar-SA"/>
    </w:rPr>
  </w:style>
  <w:style w:type="paragraph" w:styleId="Header">
    <w:name w:val="header"/>
    <w:basedOn w:val="Normal"/>
    <w:link w:val="HlavikaChar"/>
    <w:uiPriority w:val="99"/>
    <w:semiHidden/>
    <w:unhideWhenUsed/>
    <w:rsid w:val="00E43484"/>
    <w:pPr>
      <w:tabs>
        <w:tab w:val="center" w:pos="4536"/>
        <w:tab w:val="right" w:pos="9072"/>
      </w:tabs>
      <w:jc w:val="left"/>
    </w:pPr>
  </w:style>
  <w:style w:type="character" w:customStyle="1" w:styleId="HlavikaChar">
    <w:name w:val="Hlavička Char"/>
    <w:basedOn w:val="DefaultParagraphFont"/>
    <w:link w:val="Header"/>
    <w:uiPriority w:val="99"/>
    <w:semiHidden/>
    <w:locked/>
    <w:rsid w:val="00E43484"/>
    <w:rPr>
      <w:rFonts w:ascii="Times New Roman" w:hAnsi="Times New Roman" w:cs="Times New Roman"/>
      <w:sz w:val="24"/>
      <w:szCs w:val="24"/>
      <w:rtl w:val="0"/>
      <w:cs w:val="0"/>
    </w:rPr>
  </w:style>
  <w:style w:type="paragraph" w:styleId="Footer">
    <w:name w:val="footer"/>
    <w:basedOn w:val="Normal"/>
    <w:link w:val="PtaChar"/>
    <w:uiPriority w:val="99"/>
    <w:unhideWhenUsed/>
    <w:rsid w:val="00E43484"/>
    <w:pPr>
      <w:tabs>
        <w:tab w:val="center" w:pos="4536"/>
        <w:tab w:val="right" w:pos="9072"/>
      </w:tabs>
      <w:jc w:val="left"/>
    </w:pPr>
  </w:style>
  <w:style w:type="character" w:customStyle="1" w:styleId="PtaChar">
    <w:name w:val="Päta Char"/>
    <w:basedOn w:val="DefaultParagraphFont"/>
    <w:link w:val="Footer"/>
    <w:uiPriority w:val="99"/>
    <w:locked/>
    <w:rsid w:val="00E43484"/>
    <w:rPr>
      <w:rFonts w:ascii="Times New Roman" w:hAnsi="Times New Roman"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58</TotalTime>
  <Pages>10</Pages>
  <Words>2597</Words>
  <Characters>15462</Characters>
  <Application>Microsoft Office Word</Application>
  <DocSecurity>0</DocSecurity>
  <Lines>0</Lines>
  <Paragraphs>0</Paragraphs>
  <ScaleCrop>false</ScaleCrop>
  <Company>Abyss</Company>
  <LinksUpToDate>false</LinksUpToDate>
  <CharactersWithSpaces>18023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mjuskova</cp:lastModifiedBy>
  <cp:revision>7</cp:revision>
  <cp:lastPrinted>2014-08-21T09:55:00Z</cp:lastPrinted>
  <dcterms:created xsi:type="dcterms:W3CDTF">2007-05-29T20:23:00Z</dcterms:created>
  <dcterms:modified xsi:type="dcterms:W3CDTF">2014-08-21T10:28:00Z</dcterms:modified>
</cp:coreProperties>
</file>