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0690" w:rsidRPr="0012245E" w:rsidP="006E0690">
      <w:pPr>
        <w:bidi w:val="0"/>
        <w:jc w:val="center"/>
        <w:rPr>
          <w:rFonts w:ascii="Times New Roman" w:hAnsi="Times New Roman"/>
          <w:b/>
        </w:rPr>
      </w:pPr>
      <w:r w:rsidRPr="0012245E">
        <w:rPr>
          <w:rFonts w:ascii="Times New Roman" w:hAnsi="Times New Roman"/>
          <w:b/>
        </w:rPr>
        <w:t>Dôvodová správa</w:t>
      </w:r>
    </w:p>
    <w:p w:rsidR="006E0690" w:rsidRPr="0012245E" w:rsidP="006E0690">
      <w:pPr>
        <w:bidi w:val="0"/>
        <w:outlineLvl w:val="0"/>
        <w:rPr>
          <w:rFonts w:ascii="Times New Roman" w:hAnsi="Times New Roman"/>
          <w:b/>
          <w:bCs/>
          <w:u w:val="single"/>
        </w:rPr>
      </w:pPr>
    </w:p>
    <w:p w:rsidR="006E0690" w:rsidRPr="0012245E" w:rsidP="006E0690">
      <w:pPr>
        <w:bidi w:val="0"/>
        <w:outlineLvl w:val="0"/>
        <w:rPr>
          <w:rFonts w:ascii="Times New Roman" w:hAnsi="Times New Roman"/>
          <w:b/>
          <w:bCs/>
          <w:u w:val="single"/>
        </w:rPr>
      </w:pPr>
      <w:r w:rsidRPr="0012245E">
        <w:rPr>
          <w:rFonts w:ascii="Times New Roman" w:hAnsi="Times New Roman"/>
          <w:b/>
          <w:bCs/>
          <w:u w:val="single"/>
        </w:rPr>
        <w:t xml:space="preserve">Všeobecná časť  </w:t>
      </w:r>
    </w:p>
    <w:p w:rsidR="00A8025E" w:rsidRPr="0012245E">
      <w:pPr>
        <w:bidi w:val="0"/>
        <w:rPr>
          <w:rFonts w:ascii="Times New Roman" w:hAnsi="Times New Roman"/>
        </w:rPr>
      </w:pPr>
    </w:p>
    <w:p w:rsidR="00660100" w:rsidP="00660100">
      <w:pPr>
        <w:bidi w:val="0"/>
        <w:jc w:val="both"/>
        <w:rPr>
          <w:rFonts w:ascii="Times New Roman" w:hAnsi="Times New Roman"/>
        </w:rPr>
      </w:pPr>
      <w:r w:rsidR="004F4B99">
        <w:rPr>
          <w:rFonts w:ascii="Times New Roman" w:hAnsi="Times New Roman"/>
        </w:rPr>
        <w:t xml:space="preserve">Vládny </w:t>
      </w:r>
      <w:r w:rsidRPr="00B84765">
        <w:rPr>
          <w:rFonts w:ascii="Times New Roman" w:hAnsi="Times New Roman"/>
        </w:rPr>
        <w:t>návrh zákona</w:t>
      </w:r>
      <w:r w:rsidR="004F4B99">
        <w:rPr>
          <w:rFonts w:ascii="Times New Roman" w:hAnsi="Times New Roman"/>
        </w:rPr>
        <w:t>, ktorým sa mení a dopĺňa zákon č. 595/2003 Z. z. o dani z príjmov v znení neskorších predpisov a ktorým sa menia a dopĺňajú niektoré zákony</w:t>
      </w:r>
      <w:r w:rsidRPr="00B84765">
        <w:rPr>
          <w:rFonts w:ascii="Times New Roman" w:hAnsi="Times New Roman"/>
        </w:rPr>
        <w:t xml:space="preserve"> je vypracovaný z vlastnej iniciatívy Ministerstva financií Slovenskej republiky a vychádza z programového vyhlásenia Slovenskej republiky. </w:t>
      </w:r>
    </w:p>
    <w:p w:rsidR="00660100" w:rsidP="00660100">
      <w:pPr>
        <w:bidi w:val="0"/>
        <w:jc w:val="both"/>
        <w:rPr>
          <w:rFonts w:ascii="Times New Roman" w:hAnsi="Times New Roman"/>
        </w:rPr>
      </w:pPr>
    </w:p>
    <w:p w:rsidR="00660100" w:rsidRPr="00B84765" w:rsidP="00660100">
      <w:pPr>
        <w:bidi w:val="0"/>
        <w:jc w:val="both"/>
        <w:rPr>
          <w:rStyle w:val="PlaceholderText"/>
          <w:color w:val="auto"/>
        </w:rPr>
      </w:pPr>
      <w:r>
        <w:rPr>
          <w:rFonts w:ascii="Times New Roman" w:hAnsi="Times New Roman"/>
        </w:rPr>
        <w:t xml:space="preserve">V čl. I sa mení a dopĺňa zákon č. 595/2003 Z. z. o dani z príjmov. </w:t>
      </w:r>
      <w:r w:rsidRPr="00B84765">
        <w:rPr>
          <w:rStyle w:val="PlaceholderText"/>
          <w:color w:val="auto"/>
        </w:rPr>
        <w:t>Zámerom tohto návrhu je pokračovať v</w:t>
      </w:r>
    </w:p>
    <w:p w:rsidR="00660100" w:rsidRPr="00B84765" w:rsidP="00660100">
      <w:pPr>
        <w:bidi w:val="0"/>
        <w:jc w:val="both"/>
        <w:rPr>
          <w:rStyle w:val="PlaceholderText"/>
          <w:color w:val="auto"/>
        </w:rPr>
      </w:pPr>
      <w:r w:rsidRPr="00B84765">
        <w:rPr>
          <w:rStyle w:val="PlaceholderText"/>
          <w:color w:val="auto"/>
        </w:rPr>
        <w:t xml:space="preserve">   -   konsolidácii a trvalej udržateľnosti verejných financií,  </w:t>
      </w:r>
    </w:p>
    <w:p w:rsidR="00660100" w:rsidRPr="00B84765" w:rsidP="00660100">
      <w:pPr>
        <w:bidi w:val="0"/>
        <w:jc w:val="both"/>
        <w:rPr>
          <w:rFonts w:ascii="Times New Roman" w:hAnsi="Times New Roman"/>
        </w:rPr>
      </w:pPr>
      <w:r w:rsidRPr="00B84765">
        <w:rPr>
          <w:rStyle w:val="PlaceholderText"/>
          <w:color w:val="auto"/>
        </w:rPr>
        <w:t xml:space="preserve">   -  koncepčnom a systematickom boji proti daňovým podvodom, a to hlavne </w:t>
      </w:r>
      <w:r w:rsidRPr="00B84765">
        <w:rPr>
          <w:rFonts w:ascii="Times New Roman" w:hAnsi="Times New Roman"/>
        </w:rPr>
        <w:t>definovaním okruhu daňových a nedaňových výdavkov, ktoré sú zdrojom nielen legálnej daňovej optimalizácie, ale aj priestorom na zneužívanie zahrnovania do základu dane osobnej spotreby daňovníka, resp. jej časti v neprimeranej výške.</w:t>
      </w:r>
    </w:p>
    <w:p w:rsidR="00660100" w:rsidRPr="00B84765" w:rsidP="00660100">
      <w:pPr>
        <w:bidi w:val="0"/>
        <w:jc w:val="both"/>
        <w:rPr>
          <w:rFonts w:ascii="Times New Roman" w:hAnsi="Times New Roman"/>
        </w:rPr>
      </w:pPr>
    </w:p>
    <w:p w:rsidR="00660100" w:rsidRPr="00B84765" w:rsidP="00660100">
      <w:pPr>
        <w:bidi w:val="0"/>
        <w:jc w:val="both"/>
        <w:rPr>
          <w:rFonts w:ascii="Times New Roman" w:hAnsi="Times New Roman"/>
        </w:rPr>
      </w:pPr>
      <w:r w:rsidRPr="00B84765">
        <w:rPr>
          <w:rFonts w:ascii="Times New Roman" w:hAnsi="Times New Roman"/>
        </w:rPr>
        <w:t>Navrhované úpravy sú zamerané na</w:t>
      </w:r>
    </w:p>
    <w:p w:rsidR="00660100" w:rsidRPr="00B84765" w:rsidP="00660100">
      <w:pPr>
        <w:numPr>
          <w:numId w:val="23"/>
        </w:numPr>
        <w:bidi w:val="0"/>
        <w:jc w:val="both"/>
        <w:rPr>
          <w:rFonts w:ascii="Times New Roman" w:hAnsi="Times New Roman"/>
          <w:b/>
        </w:rPr>
      </w:pPr>
      <w:r w:rsidRPr="00B84765">
        <w:rPr>
          <w:rFonts w:ascii="Times New Roman" w:hAnsi="Times New Roman"/>
          <w:b/>
        </w:rPr>
        <w:t>Konsolidáci</w:t>
      </w:r>
      <w:r>
        <w:rPr>
          <w:rFonts w:ascii="Times New Roman" w:hAnsi="Times New Roman"/>
          <w:b/>
        </w:rPr>
        <w:t>u</w:t>
      </w:r>
      <w:r w:rsidRPr="00B84765">
        <w:rPr>
          <w:rFonts w:ascii="Times New Roman" w:hAnsi="Times New Roman"/>
          <w:b/>
        </w:rPr>
        <w:t xml:space="preserve"> verejných financií</w:t>
      </w:r>
    </w:p>
    <w:p w:rsidR="00660100" w:rsidRPr="00B84765" w:rsidP="00660100">
      <w:pPr>
        <w:numPr>
          <w:numId w:val="25"/>
        </w:numPr>
        <w:bidi w:val="0"/>
        <w:jc w:val="both"/>
        <w:rPr>
          <w:rFonts w:ascii="Times New Roman" w:hAnsi="Times New Roman"/>
        </w:rPr>
      </w:pPr>
      <w:r w:rsidRPr="00B84765">
        <w:rPr>
          <w:rFonts w:ascii="Times New Roman" w:hAnsi="Times New Roman"/>
        </w:rPr>
        <w:t>zmeny v odpisovaní hmotného majetku, ktorými je:</w:t>
      </w:r>
    </w:p>
    <w:p w:rsidR="00660100" w:rsidRPr="00B84765" w:rsidP="00660100">
      <w:pPr>
        <w:bidi w:val="0"/>
        <w:ind w:left="851" w:hanging="131"/>
        <w:jc w:val="both"/>
        <w:rPr>
          <w:rFonts w:ascii="Times New Roman" w:hAnsi="Times New Roman"/>
        </w:rPr>
      </w:pPr>
      <w:r w:rsidRPr="00B84765">
        <w:rPr>
          <w:rFonts w:ascii="Times New Roman" w:hAnsi="Times New Roman"/>
        </w:rPr>
        <w:t>- rozšírenie počtu odpisových skupín zo 4 na 6;  zavádza sa nová odpisová skupina 3 a 6 s dobou odpisovania 8 a 40 rokov.  Do novej 3. odpisovej skupiny boli vyčlenené len výrobné technológie, ktoré sa do konca roka 2014 odpisovali 12 rokov a do novej 6. odpisovej skupiny sa vyčlenili nevýrobné budovy a stavby (administratívne budovy, hotely</w:t>
      </w:r>
      <w:r>
        <w:rPr>
          <w:rFonts w:ascii="Times New Roman" w:hAnsi="Times New Roman"/>
        </w:rPr>
        <w:t xml:space="preserve"> a pod</w:t>
      </w:r>
      <w:r w:rsidRPr="00B84765">
        <w:rPr>
          <w:rFonts w:ascii="Times New Roman" w:hAnsi="Times New Roman"/>
        </w:rPr>
        <w:t>.), ktoré sa do konca roku 2014 odpisovali 20 rokov</w:t>
      </w:r>
      <w:r>
        <w:rPr>
          <w:rFonts w:ascii="Times New Roman" w:hAnsi="Times New Roman"/>
        </w:rPr>
        <w:t>,</w:t>
      </w:r>
    </w:p>
    <w:p w:rsidR="00660100" w:rsidRPr="00B84765" w:rsidP="00660100">
      <w:pPr>
        <w:bidi w:val="0"/>
        <w:ind w:left="720"/>
        <w:jc w:val="both"/>
        <w:rPr>
          <w:rFonts w:ascii="Times New Roman" w:hAnsi="Times New Roman"/>
        </w:rPr>
      </w:pPr>
      <w:r w:rsidRPr="00B84765">
        <w:rPr>
          <w:rFonts w:ascii="Times New Roman" w:hAnsi="Times New Roman"/>
        </w:rPr>
        <w:t>- limitovanie vstupnej ceny osobných automobilov hranicou 48 000 EUR</w:t>
      </w:r>
      <w:r>
        <w:rPr>
          <w:rFonts w:ascii="Times New Roman" w:hAnsi="Times New Roman"/>
        </w:rPr>
        <w:t>,</w:t>
      </w:r>
      <w:r w:rsidRPr="00B84765">
        <w:rPr>
          <w:rFonts w:ascii="Times New Roman" w:hAnsi="Times New Roman"/>
        </w:rPr>
        <w:t xml:space="preserve"> </w:t>
      </w:r>
    </w:p>
    <w:p w:rsidR="00660100" w:rsidRPr="00B84765" w:rsidP="00660100">
      <w:pPr>
        <w:bidi w:val="0"/>
        <w:ind w:left="851" w:hanging="146"/>
        <w:jc w:val="both"/>
        <w:rPr>
          <w:rFonts w:ascii="Times New Roman" w:hAnsi="Times New Roman"/>
        </w:rPr>
      </w:pPr>
      <w:r w:rsidRPr="00B84765">
        <w:rPr>
          <w:rFonts w:ascii="Times New Roman" w:hAnsi="Times New Roman"/>
        </w:rPr>
        <w:t>- redukcia možnosti použitia zrýchlenej metódy odpisovania len pre 2. a 3. odpisovú skupinu, t.j.</w:t>
      </w:r>
      <w:r>
        <w:rPr>
          <w:rFonts w:ascii="Times New Roman" w:hAnsi="Times New Roman"/>
        </w:rPr>
        <w:t xml:space="preserve"> </w:t>
      </w:r>
      <w:r w:rsidRPr="00B84765">
        <w:rPr>
          <w:rFonts w:ascii="Times New Roman" w:hAnsi="Times New Roman"/>
        </w:rPr>
        <w:t>len na výrobné technológie,</w:t>
      </w:r>
    </w:p>
    <w:p w:rsidR="00660100" w:rsidRPr="00B84765" w:rsidP="00660100">
      <w:pPr>
        <w:bidi w:val="0"/>
        <w:ind w:left="851" w:hanging="142"/>
        <w:jc w:val="both"/>
        <w:rPr>
          <w:rFonts w:ascii="Times New Roman" w:hAnsi="Times New Roman"/>
        </w:rPr>
      </w:pPr>
      <w:r w:rsidRPr="00B84765">
        <w:rPr>
          <w:rFonts w:ascii="Times New Roman" w:hAnsi="Times New Roman"/>
        </w:rPr>
        <w:t>-</w:t>
      </w:r>
      <w:r>
        <w:rPr>
          <w:rFonts w:ascii="Times New Roman" w:hAnsi="Times New Roman"/>
        </w:rPr>
        <w:t xml:space="preserve"> </w:t>
      </w:r>
      <w:r w:rsidRPr="00B84765">
        <w:rPr>
          <w:rFonts w:ascii="Times New Roman" w:hAnsi="Times New Roman"/>
        </w:rPr>
        <w:t>zrušenie lízingového spôsobu odpisovania u hmotného majetku obstarávaného formou finančného prenájmu; aj tento majetok sa bude odpisovať rovnomerne (§ 27) alebo zrýchlene (§ 28),</w:t>
      </w:r>
    </w:p>
    <w:p w:rsidR="00660100" w:rsidRPr="00B84765" w:rsidP="00660100">
      <w:pPr>
        <w:numPr>
          <w:numId w:val="25"/>
        </w:numPr>
        <w:bidi w:val="0"/>
        <w:jc w:val="both"/>
        <w:rPr>
          <w:rFonts w:ascii="Times New Roman" w:hAnsi="Times New Roman"/>
        </w:rPr>
      </w:pPr>
      <w:r w:rsidRPr="00B84765">
        <w:rPr>
          <w:rFonts w:ascii="Times New Roman" w:hAnsi="Times New Roman"/>
        </w:rPr>
        <w:t xml:space="preserve">zavedenie pravidiel nízkej kapitalizácie na prepojené obchodné spoločnosti (tuzemské aj zahraničné), </w:t>
      </w:r>
    </w:p>
    <w:p w:rsidR="00660100" w:rsidRPr="00B84765" w:rsidP="00660100">
      <w:pPr>
        <w:numPr>
          <w:numId w:val="25"/>
        </w:numPr>
        <w:bidi w:val="0"/>
        <w:jc w:val="both"/>
        <w:rPr>
          <w:rFonts w:ascii="Times New Roman" w:hAnsi="Times New Roman"/>
        </w:rPr>
      </w:pPr>
      <w:r w:rsidRPr="00B84765">
        <w:rPr>
          <w:rFonts w:ascii="Times New Roman" w:hAnsi="Times New Roman"/>
        </w:rPr>
        <w:t>transferové oceňovanie – rozšírenie aj na tuzemské vzájomne prepojené osoby.</w:t>
      </w:r>
    </w:p>
    <w:p w:rsidR="00660100" w:rsidRPr="00B84765" w:rsidP="00660100">
      <w:pPr>
        <w:bidi w:val="0"/>
        <w:ind w:left="720"/>
        <w:jc w:val="both"/>
        <w:rPr>
          <w:rFonts w:ascii="Times New Roman" w:hAnsi="Times New Roman"/>
        </w:rPr>
      </w:pPr>
    </w:p>
    <w:p w:rsidR="00660100" w:rsidRPr="00B84765" w:rsidP="00660100">
      <w:pPr>
        <w:pStyle w:val="ListParagraph"/>
        <w:numPr>
          <w:numId w:val="23"/>
        </w:numPr>
        <w:bidi w:val="0"/>
        <w:spacing w:after="0"/>
        <w:ind w:hanging="357"/>
        <w:rPr>
          <w:rFonts w:ascii="Times New Roman" w:hAnsi="Times New Roman"/>
          <w:b/>
          <w:sz w:val="24"/>
          <w:szCs w:val="24"/>
        </w:rPr>
      </w:pPr>
      <w:r w:rsidRPr="00B84765">
        <w:rPr>
          <w:rFonts w:ascii="Times New Roman" w:hAnsi="Times New Roman"/>
          <w:b/>
          <w:sz w:val="24"/>
          <w:szCs w:val="24"/>
        </w:rPr>
        <w:t>Posilňovanie právnej istoty a daňovej spravodlivosti</w:t>
      </w:r>
    </w:p>
    <w:p w:rsidR="00660100" w:rsidRPr="00B84765" w:rsidP="00660100">
      <w:pPr>
        <w:numPr>
          <w:numId w:val="22"/>
        </w:numPr>
        <w:bidi w:val="0"/>
        <w:ind w:hanging="357"/>
        <w:jc w:val="both"/>
        <w:rPr>
          <w:rFonts w:ascii="Times New Roman" w:hAnsi="Times New Roman"/>
        </w:rPr>
      </w:pPr>
      <w:r w:rsidRPr="00B84765">
        <w:rPr>
          <w:rFonts w:ascii="Times New Roman" w:hAnsi="Times New Roman"/>
        </w:rPr>
        <w:t xml:space="preserve">spôsob zdanenia zamestnaneckých benefitov poskytovaných zamestnávateľom zamestnancovi vo forme nepeňažného plnenia; zamestnávateľ má možnosť nepeňažné plnenie zdaniť rovnako, ako   poskytnuté peňažné plnenie, t. j. ako keby zamestnancovi sumu nepeňažného plnenia zamestnávateľ vyplatil zamestnancovi v čistom (nepeňažné plnenie poskytnuté zamestnancovi zamestnávateľ navýši aj o výšku sociálneho a zdravotného poistenia tak, aby daň a odvody boli zrazené a odvedené v rovnakej výške ako z peňažných príjmov), </w:t>
      </w:r>
    </w:p>
    <w:p w:rsidR="00660100" w:rsidRPr="00B84765" w:rsidP="00660100">
      <w:pPr>
        <w:numPr>
          <w:numId w:val="22"/>
        </w:numPr>
        <w:bidi w:val="0"/>
        <w:jc w:val="both"/>
        <w:rPr>
          <w:rFonts w:ascii="Times New Roman" w:hAnsi="Times New Roman"/>
        </w:rPr>
      </w:pPr>
      <w:r w:rsidRPr="00B84765">
        <w:rPr>
          <w:rFonts w:ascii="Times New Roman" w:hAnsi="Times New Roman"/>
        </w:rPr>
        <w:t xml:space="preserve">vyňatie náhrady nemajetkovej ujmy </w:t>
      </w:r>
      <w:r>
        <w:rPr>
          <w:rFonts w:ascii="Times New Roman" w:hAnsi="Times New Roman"/>
        </w:rPr>
        <w:t xml:space="preserve">vyplácanej na základe Občianskeho zákonníka </w:t>
      </w:r>
      <w:r w:rsidRPr="00B84765">
        <w:rPr>
          <w:rFonts w:ascii="Times New Roman" w:hAnsi="Times New Roman"/>
        </w:rPr>
        <w:t>z príjmov oslobodených od dane a</w:t>
      </w:r>
      <w:r>
        <w:rPr>
          <w:rFonts w:ascii="Times New Roman" w:hAnsi="Times New Roman"/>
        </w:rPr>
        <w:t> </w:t>
      </w:r>
      <w:r w:rsidRPr="00B84765">
        <w:rPr>
          <w:rFonts w:ascii="Times New Roman" w:hAnsi="Times New Roman"/>
        </w:rPr>
        <w:t>zdan</w:t>
      </w:r>
      <w:r>
        <w:rPr>
          <w:rFonts w:ascii="Times New Roman" w:hAnsi="Times New Roman"/>
        </w:rPr>
        <w:t xml:space="preserve">enie </w:t>
      </w:r>
      <w:r w:rsidRPr="00B84765">
        <w:rPr>
          <w:rFonts w:ascii="Times New Roman" w:hAnsi="Times New Roman"/>
        </w:rPr>
        <w:t>t</w:t>
      </w:r>
      <w:r>
        <w:rPr>
          <w:rFonts w:ascii="Times New Roman" w:hAnsi="Times New Roman"/>
        </w:rPr>
        <w:t>ejto</w:t>
      </w:r>
      <w:r w:rsidRPr="00B84765">
        <w:rPr>
          <w:rFonts w:ascii="Times New Roman" w:hAnsi="Times New Roman"/>
        </w:rPr>
        <w:t xml:space="preserve"> náhrad</w:t>
      </w:r>
      <w:r>
        <w:rPr>
          <w:rFonts w:ascii="Times New Roman" w:hAnsi="Times New Roman"/>
        </w:rPr>
        <w:t>y</w:t>
      </w:r>
      <w:r w:rsidRPr="00B84765">
        <w:rPr>
          <w:rFonts w:ascii="Times New Roman" w:hAnsi="Times New Roman"/>
        </w:rPr>
        <w:t>, ako ostatn</w:t>
      </w:r>
      <w:r>
        <w:rPr>
          <w:rFonts w:ascii="Times New Roman" w:hAnsi="Times New Roman"/>
        </w:rPr>
        <w:t>ého</w:t>
      </w:r>
      <w:r w:rsidRPr="00B84765">
        <w:rPr>
          <w:rFonts w:ascii="Times New Roman" w:hAnsi="Times New Roman"/>
        </w:rPr>
        <w:t xml:space="preserve"> príjm</w:t>
      </w:r>
      <w:r>
        <w:rPr>
          <w:rFonts w:ascii="Times New Roman" w:hAnsi="Times New Roman"/>
        </w:rPr>
        <w:t>u</w:t>
      </w:r>
      <w:r w:rsidRPr="00B84765">
        <w:rPr>
          <w:rFonts w:ascii="Times New Roman" w:hAnsi="Times New Roman"/>
        </w:rPr>
        <w:t xml:space="preserve"> fyzickej osoby,</w:t>
      </w:r>
    </w:p>
    <w:p w:rsidR="00660100" w:rsidRPr="00B84765" w:rsidP="00660100">
      <w:pPr>
        <w:numPr>
          <w:numId w:val="24"/>
        </w:numPr>
        <w:bidi w:val="0"/>
        <w:jc w:val="both"/>
        <w:rPr>
          <w:rFonts w:ascii="Times New Roman" w:hAnsi="Times New Roman"/>
        </w:rPr>
      </w:pPr>
      <w:r w:rsidRPr="00B84765">
        <w:rPr>
          <w:rFonts w:ascii="Times New Roman" w:hAnsi="Times New Roman"/>
        </w:rPr>
        <w:t xml:space="preserve">zavedenie zrážkovej dane u farmaceutických spoločností z peňažných plnení poskytovaných lekárom a  samozdanenie lekárov z darov a iných nepeňažných plnení prijatých od farmaceutických spoločností; </w:t>
      </w:r>
    </w:p>
    <w:p w:rsidR="00660100" w:rsidRPr="00B84765" w:rsidP="00660100">
      <w:pPr>
        <w:numPr>
          <w:numId w:val="24"/>
        </w:numPr>
        <w:bidi w:val="0"/>
        <w:jc w:val="both"/>
        <w:rPr>
          <w:rFonts w:ascii="Times New Roman" w:hAnsi="Times New Roman"/>
        </w:rPr>
      </w:pPr>
      <w:r w:rsidRPr="00B84765">
        <w:rPr>
          <w:rFonts w:ascii="Times New Roman" w:hAnsi="Times New Roman"/>
        </w:rPr>
        <w:t>zjednodušenie výpočtu a spôsobu platenia preddavkov na daň z príjmov fyzických osôb,</w:t>
      </w:r>
    </w:p>
    <w:p w:rsidR="00660100" w:rsidRPr="00B84765" w:rsidP="00660100">
      <w:pPr>
        <w:numPr>
          <w:numId w:val="24"/>
        </w:numPr>
        <w:bidi w:val="0"/>
        <w:jc w:val="both"/>
        <w:rPr>
          <w:rFonts w:ascii="Times New Roman" w:hAnsi="Times New Roman"/>
        </w:rPr>
      </w:pPr>
      <w:r w:rsidRPr="00B84765">
        <w:rPr>
          <w:rFonts w:ascii="Times New Roman" w:hAnsi="Times New Roman"/>
        </w:rPr>
        <w:t>u fyzických osôb – nepodnikateľov sa umožňuje do výdavkov na obstaranie majetku započítať aj</w:t>
      </w:r>
    </w:p>
    <w:p w:rsidR="00660100" w:rsidRPr="00B84765" w:rsidP="00660100">
      <w:pPr>
        <w:numPr>
          <w:numId w:val="27"/>
        </w:numPr>
        <w:bidi w:val="0"/>
        <w:jc w:val="both"/>
        <w:rPr>
          <w:rFonts w:ascii="Times New Roman" w:hAnsi="Times New Roman"/>
        </w:rPr>
      </w:pPr>
      <w:r w:rsidRPr="00B84765">
        <w:rPr>
          <w:rFonts w:ascii="Times New Roman" w:hAnsi="Times New Roman"/>
        </w:rPr>
        <w:t xml:space="preserve"> úroky z hypotekárneho úveru a stavebného úveru do výdavkov na obstaranie nehnuteľnosti, </w:t>
      </w:r>
    </w:p>
    <w:p w:rsidR="00660100" w:rsidRPr="00B84765" w:rsidP="00660100">
      <w:pPr>
        <w:numPr>
          <w:numId w:val="27"/>
        </w:numPr>
        <w:bidi w:val="0"/>
        <w:jc w:val="both"/>
        <w:rPr>
          <w:rFonts w:ascii="Times New Roman" w:hAnsi="Times New Roman"/>
        </w:rPr>
      </w:pPr>
      <w:r w:rsidRPr="00B84765">
        <w:rPr>
          <w:rFonts w:ascii="Times New Roman" w:hAnsi="Times New Roman"/>
        </w:rPr>
        <w:t xml:space="preserve">úhradu za prevod členského práva v bytovom družstve, </w:t>
      </w:r>
    </w:p>
    <w:p w:rsidR="00660100" w:rsidRPr="00B84765" w:rsidP="00660100">
      <w:pPr>
        <w:numPr>
          <w:numId w:val="28"/>
        </w:numPr>
        <w:bidi w:val="0"/>
        <w:jc w:val="both"/>
        <w:rPr>
          <w:rFonts w:ascii="Times New Roman" w:hAnsi="Times New Roman"/>
        </w:rPr>
      </w:pPr>
      <w:r w:rsidRPr="00B84765">
        <w:rPr>
          <w:rFonts w:ascii="Times New Roman" w:hAnsi="Times New Roman"/>
        </w:rPr>
        <w:t>zadefinovanie primeranosti daňových výdavkov, ak obstarávaný majetok a služby sú súčasne využívané aj na osobnú spotrebu podnikateľov, spoločníkov obchodných spoločností a zamestnancov; v tomto prípade je možné do daňových výdavkov zahrnúť najviac 80 % z vynaložených výdavkov.</w:t>
      </w:r>
    </w:p>
    <w:p w:rsidR="00660100" w:rsidRPr="00B84765" w:rsidP="00660100">
      <w:pPr>
        <w:bidi w:val="0"/>
        <w:ind w:left="1065"/>
        <w:jc w:val="both"/>
        <w:rPr>
          <w:rFonts w:ascii="Times New Roman" w:hAnsi="Times New Roman"/>
        </w:rPr>
      </w:pPr>
    </w:p>
    <w:p w:rsidR="00660100" w:rsidRPr="00B84765" w:rsidP="00660100">
      <w:pPr>
        <w:numPr>
          <w:numId w:val="23"/>
        </w:numPr>
        <w:bidi w:val="0"/>
        <w:jc w:val="both"/>
        <w:rPr>
          <w:rFonts w:ascii="Times New Roman" w:hAnsi="Times New Roman"/>
          <w:b/>
        </w:rPr>
      </w:pPr>
      <w:r w:rsidRPr="00B84765">
        <w:rPr>
          <w:rFonts w:ascii="Times New Roman" w:hAnsi="Times New Roman"/>
          <w:b/>
        </w:rPr>
        <w:t>Podpora podnikateľských subjektov rozvíjajúcich vlastný výskum a vývoj</w:t>
      </w:r>
    </w:p>
    <w:p w:rsidR="00660100" w:rsidRPr="00B84765" w:rsidP="00660100">
      <w:pPr>
        <w:bidi w:val="0"/>
        <w:ind w:left="720"/>
        <w:jc w:val="both"/>
        <w:rPr>
          <w:rFonts w:ascii="Times New Roman" w:hAnsi="Times New Roman"/>
          <w:b/>
        </w:rPr>
      </w:pPr>
    </w:p>
    <w:p w:rsidR="00660100" w:rsidRPr="00B84765" w:rsidP="00660100">
      <w:pPr>
        <w:numPr>
          <w:numId w:val="26"/>
        </w:numPr>
        <w:bidi w:val="0"/>
        <w:jc w:val="both"/>
        <w:rPr>
          <w:rFonts w:ascii="Times New Roman" w:hAnsi="Times New Roman"/>
        </w:rPr>
      </w:pPr>
      <w:r w:rsidRPr="00B84765">
        <w:rPr>
          <w:rFonts w:ascii="Times New Roman" w:hAnsi="Times New Roman"/>
        </w:rPr>
        <w:t>podpora podnikateľských subjektov vykonávajúcich výskumu a vývoj v podobe tzv. superodpočtu nákladov na výskum a vývoj zo základu dane, a to vo výške</w:t>
      </w:r>
    </w:p>
    <w:p w:rsidR="00660100" w:rsidRPr="00B84765" w:rsidP="00660100">
      <w:pPr>
        <w:numPr>
          <w:numId w:val="29"/>
        </w:numPr>
        <w:bidi w:val="0"/>
        <w:jc w:val="both"/>
        <w:rPr>
          <w:rFonts w:ascii="Times New Roman" w:hAnsi="Times New Roman"/>
        </w:rPr>
      </w:pPr>
      <w:r w:rsidRPr="00B84765">
        <w:rPr>
          <w:rFonts w:ascii="Times New Roman" w:hAnsi="Times New Roman"/>
        </w:rPr>
        <w:t>25 % zo skutočne vynaložených nákladov na výskum a vývoj,</w:t>
      </w:r>
    </w:p>
    <w:p w:rsidR="00660100" w:rsidRPr="00B84765" w:rsidP="00660100">
      <w:pPr>
        <w:numPr>
          <w:numId w:val="29"/>
        </w:numPr>
        <w:bidi w:val="0"/>
        <w:jc w:val="both"/>
        <w:rPr>
          <w:rFonts w:ascii="Times New Roman" w:hAnsi="Times New Roman"/>
        </w:rPr>
      </w:pPr>
      <w:r w:rsidRPr="00B84765">
        <w:rPr>
          <w:rFonts w:ascii="Times New Roman" w:hAnsi="Times New Roman"/>
        </w:rPr>
        <w:t>25 % zo mzdových nákladov zamestnancov – novoprijatých absolventov stredných a vysokých škôl v roku ich prijatia do zamestnania,</w:t>
      </w:r>
    </w:p>
    <w:p w:rsidR="00660100" w:rsidRPr="00B84765" w:rsidP="00660100">
      <w:pPr>
        <w:numPr>
          <w:numId w:val="29"/>
        </w:numPr>
        <w:bidi w:val="0"/>
        <w:jc w:val="both"/>
        <w:rPr>
          <w:rFonts w:ascii="Times New Roman" w:hAnsi="Times New Roman"/>
        </w:rPr>
      </w:pPr>
      <w:r w:rsidRPr="00B84765">
        <w:rPr>
          <w:rFonts w:ascii="Times New Roman" w:hAnsi="Times New Roman"/>
        </w:rPr>
        <w:t>25 %  z medziročného nárastu nákladov na výskum a vývoj.</w:t>
      </w:r>
    </w:p>
    <w:p w:rsidR="00660100" w:rsidRPr="00B84765" w:rsidP="00660100">
      <w:pPr>
        <w:bidi w:val="0"/>
        <w:jc w:val="both"/>
        <w:rPr>
          <w:rFonts w:ascii="Times New Roman" w:hAnsi="Times New Roman"/>
        </w:rPr>
      </w:pPr>
    </w:p>
    <w:p w:rsidR="00660100" w:rsidRPr="00B84765" w:rsidP="00660100">
      <w:pPr>
        <w:bidi w:val="0"/>
        <w:jc w:val="both"/>
        <w:rPr>
          <w:rFonts w:ascii="Times New Roman" w:hAnsi="Times New Roman"/>
        </w:rPr>
      </w:pPr>
    </w:p>
    <w:p w:rsidR="00660100" w:rsidRPr="00B84765" w:rsidP="00660100">
      <w:pPr>
        <w:bidi w:val="0"/>
        <w:jc w:val="both"/>
        <w:rPr>
          <w:rFonts w:ascii="Times New Roman" w:hAnsi="Times New Roman"/>
        </w:rPr>
      </w:pPr>
      <w:r w:rsidRPr="00B84765">
        <w:rPr>
          <w:rFonts w:ascii="Times New Roman" w:hAnsi="Times New Roman"/>
        </w:rPr>
        <w:t>V Čl. II a III. sa mení a dopĺňa zákon č. 431/2002 Z. z. o účtovníctve v znení neskorších predpisov a v nadväznosti na neho zákon č. 455/199</w:t>
      </w:r>
      <w:r>
        <w:rPr>
          <w:rFonts w:ascii="Times New Roman" w:hAnsi="Times New Roman"/>
        </w:rPr>
        <w:t>1</w:t>
      </w:r>
      <w:r w:rsidRPr="00B84765">
        <w:rPr>
          <w:rFonts w:ascii="Times New Roman" w:hAnsi="Times New Roman"/>
        </w:rPr>
        <w:t xml:space="preserve"> Z</w:t>
      </w:r>
      <w:r>
        <w:rPr>
          <w:rFonts w:ascii="Times New Roman" w:hAnsi="Times New Roman"/>
        </w:rPr>
        <w:t>b</w:t>
      </w:r>
      <w:r w:rsidRPr="00B84765">
        <w:rPr>
          <w:rFonts w:ascii="Times New Roman" w:hAnsi="Times New Roman"/>
        </w:rPr>
        <w:t xml:space="preserve">. o živnostenskom podnikaní (živnostenský zákon) v znení neskorších predpisov. Novela zákona o účtovníctve je zameraná na vylepšenie funkcionality Registra účtovných závierok a jej cieľom je znížiť počet nesprávnych a neúplných podaní. Prináša legislatívny základ na rozdelenie účtovných jednotiek na mikro, malé a veľké, tak ako to požaduje nová smernica. Návrh zákona ustanovuje prevádzkovateľa registra a prenáša na neho časť úloh správcu registra. Ďalšie navrhované zmeny umožnia finančnej správe a daňovým úradom lepšie kontrolovať  dokumenty na vstupe a operatívnejšie reagovať na chybné doručenia a rozširuje sa počet miest, kde účtovné jednotky môžu požiadať o kópiu uloženého dokumentu alebo jeho časti o jednotné kontaktné miesta. </w:t>
      </w:r>
    </w:p>
    <w:p w:rsidR="00660100" w:rsidRPr="00B84765" w:rsidP="00660100">
      <w:pPr>
        <w:bidi w:val="0"/>
        <w:jc w:val="both"/>
        <w:rPr>
          <w:rFonts w:ascii="Times New Roman" w:hAnsi="Times New Roman"/>
        </w:rPr>
      </w:pPr>
    </w:p>
    <w:p w:rsidR="00660100" w:rsidRPr="00330621" w:rsidP="00660100">
      <w:pPr>
        <w:bidi w:val="0"/>
        <w:jc w:val="both"/>
        <w:rPr>
          <w:rFonts w:ascii="Times New Roman" w:hAnsi="Times New Roman"/>
        </w:rPr>
      </w:pPr>
      <w:r w:rsidRPr="00B84765">
        <w:rPr>
          <w:rFonts w:ascii="Times New Roman" w:hAnsi="Times New Roman"/>
        </w:rPr>
        <w:t xml:space="preserve">V Čl. IV </w:t>
      </w:r>
      <w:r>
        <w:rPr>
          <w:rFonts w:ascii="Times New Roman" w:hAnsi="Times New Roman"/>
        </w:rPr>
        <w:t xml:space="preserve"> sa mení a dopĺňa zákon č. 564/2004 Z. z. o rozpočtovom určení výnosu dane z príjmov územnej samospráve a o zmene a doplnení niektorých zákonov v znení neskorších predpisov. </w:t>
      </w:r>
      <w:r w:rsidRPr="00330621">
        <w:rPr>
          <w:rFonts w:ascii="Times New Roman" w:hAnsi="Times New Roman"/>
        </w:rPr>
        <w:t>Predmetom návrhu novely zákona je úprava jeho znenia v ustanovení, v ktorom sa stanovuje percentuálny podiel obcí na výnose dane z príjmu fyzických osôb, ako aj doplnenie nového ustanovenia, v ktorom sa jasne stanovuje termín, kedy sa uvedená zmena prv</w:t>
      </w:r>
      <w:r>
        <w:rPr>
          <w:rFonts w:ascii="Times New Roman" w:hAnsi="Times New Roman"/>
        </w:rPr>
        <w:t>ý</w:t>
      </w:r>
      <w:r w:rsidRPr="00330621">
        <w:rPr>
          <w:rFonts w:ascii="Times New Roman" w:hAnsi="Times New Roman"/>
        </w:rPr>
        <w:t>krát použije.</w:t>
      </w:r>
      <w:r>
        <w:rPr>
          <w:rFonts w:ascii="Times New Roman" w:hAnsi="Times New Roman"/>
        </w:rPr>
        <w:t xml:space="preserve"> </w:t>
      </w:r>
      <w:r w:rsidRPr="00330621">
        <w:rPr>
          <w:rFonts w:ascii="Times New Roman" w:hAnsi="Times New Roman"/>
        </w:rPr>
        <w:t>Uvedená úprava podielu obcí vyplynula z rokovaní medzi vládou a zástupcami obcí v rámci procesu prípravy rozpočtu verejnej správy na roky 2015 až 2017.</w:t>
      </w:r>
    </w:p>
    <w:p w:rsidR="00660100" w:rsidP="00660100">
      <w:pPr>
        <w:bidi w:val="0"/>
        <w:jc w:val="both"/>
        <w:rPr>
          <w:rFonts w:ascii="Times New Roman" w:hAnsi="Times New Roman"/>
        </w:rPr>
      </w:pPr>
    </w:p>
    <w:p w:rsidR="00660100" w:rsidP="00660100">
      <w:pPr>
        <w:bidi w:val="0"/>
        <w:jc w:val="both"/>
        <w:rPr>
          <w:rFonts w:ascii="Times New Roman" w:hAnsi="Times New Roman"/>
        </w:rPr>
      </w:pPr>
      <w:r>
        <w:rPr>
          <w:rFonts w:ascii="Times New Roman" w:hAnsi="Times New Roman"/>
        </w:rPr>
        <w:t xml:space="preserve">V Čl. V, VI a VII </w:t>
      </w:r>
      <w:r w:rsidRPr="00B84765">
        <w:rPr>
          <w:rFonts w:ascii="Times New Roman" w:hAnsi="Times New Roman"/>
        </w:rPr>
        <w:t>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a v nadväznosti na neho zákon č. 652/2004 Z. z. o orgánoch štátnej správy v colníctve a o zmene a doplnení niektorých zákonov</w:t>
      </w:r>
      <w:r>
        <w:rPr>
          <w:rFonts w:ascii="Times New Roman" w:hAnsi="Times New Roman"/>
        </w:rPr>
        <w:t xml:space="preserve"> a zákon č. 578/2004 Z. z. o poskytovateľoch zdravotnej starostlivosti, zdravotníckych pracovníkoch, stavovských organizáciách v zdravotníctve a o zmene a doplnení niektorých zákonov v znení neskorších predpisov. </w:t>
      </w:r>
      <w:r w:rsidRPr="000E47F3">
        <w:rPr>
          <w:rFonts w:ascii="Times New Roman" w:hAnsi="Times New Roman"/>
        </w:rPr>
        <w:t xml:space="preserve">Novela zákona, ktorým sa mení a dopĺňa zákon o používaní elektronickej registračnej pokladnice navrhuje zavedenie </w:t>
      </w:r>
      <w:r>
        <w:rPr>
          <w:rFonts w:ascii="Times New Roman" w:hAnsi="Times New Roman"/>
        </w:rPr>
        <w:t xml:space="preserve">novej formy registračnej pokladnice, a to virtuálnej registračnej pokladnice, ktorá bude zriadená v prostredí Finančného riaditeľstva SR a bezplatne prístupná podnikateľom. Ďalej sa navrhuje rozšíriť zoznam služieb, na ktoré sa bude vzťahovať povinnosť používania elektronickej registračnej pokladnice alebo virtuálnej registračnej pokladnice. Cieľom týchto zmien je </w:t>
      </w:r>
      <w:r w:rsidRPr="000E47F3">
        <w:rPr>
          <w:rFonts w:ascii="Times New Roman" w:hAnsi="Times New Roman"/>
        </w:rPr>
        <w:t xml:space="preserve"> zabrániť kráteniu prijatých tržieb pri predaji tovaru alebo pri poskytovaní služieb, a</w:t>
      </w:r>
      <w:r>
        <w:rPr>
          <w:rFonts w:ascii="Times New Roman" w:hAnsi="Times New Roman"/>
        </w:rPr>
        <w:t xml:space="preserve"> tým dosiahnuť vyšší výber daní. Zároveň sa navrhuje, aby certifikáciu elektronických registračných pokladníc nevykonávali podnikateľské subjekty, ale Colný úrad Bratislava, ktorý túto činnosť bude poskytovať bezodplatne. Pre daňové úrady a colné úrady sa navrhuje ustanoviť možnosť zabezpečiť </w:t>
      </w:r>
      <w:r w:rsidRPr="007F192A">
        <w:rPr>
          <w:rFonts w:ascii="Times New Roman" w:hAnsi="Times New Roman"/>
        </w:rPr>
        <w:t xml:space="preserve">elektronickú registračnú pokladnicu, </w:t>
      </w:r>
      <w:r>
        <w:rPr>
          <w:rFonts w:ascii="Times New Roman" w:hAnsi="Times New Roman"/>
        </w:rPr>
        <w:t xml:space="preserve">ak existuje </w:t>
      </w:r>
      <w:r w:rsidRPr="007F192A">
        <w:rPr>
          <w:rFonts w:ascii="Times New Roman" w:hAnsi="Times New Roman"/>
        </w:rPr>
        <w:t>dôvodné podozreni</w:t>
      </w:r>
      <w:r>
        <w:rPr>
          <w:rFonts w:ascii="Times New Roman" w:hAnsi="Times New Roman"/>
        </w:rPr>
        <w:t>e</w:t>
      </w:r>
      <w:r w:rsidRPr="007F192A">
        <w:rPr>
          <w:rFonts w:ascii="Times New Roman" w:hAnsi="Times New Roman"/>
        </w:rPr>
        <w:t xml:space="preserve"> </w:t>
      </w:r>
      <w:r>
        <w:rPr>
          <w:rFonts w:ascii="Times New Roman" w:hAnsi="Times New Roman"/>
        </w:rPr>
        <w:t xml:space="preserve">z </w:t>
      </w:r>
      <w:r w:rsidRPr="007F192A">
        <w:rPr>
          <w:rFonts w:ascii="Times New Roman" w:hAnsi="Times New Roman"/>
        </w:rPr>
        <w:t>pozmeňovania údajov v elektronickej registračnej pokladnici alebo v kontrolnom zázname</w:t>
      </w:r>
      <w:r>
        <w:rPr>
          <w:rFonts w:ascii="Times New Roman" w:hAnsi="Times New Roman"/>
        </w:rPr>
        <w:t xml:space="preserve">. </w:t>
      </w:r>
    </w:p>
    <w:p w:rsidR="00660100" w:rsidP="00660100">
      <w:pPr>
        <w:bidi w:val="0"/>
        <w:jc w:val="both"/>
        <w:rPr>
          <w:rFonts w:ascii="Times New Roman" w:hAnsi="Times New Roman"/>
        </w:rPr>
      </w:pPr>
    </w:p>
    <w:p w:rsidR="00660100" w:rsidP="00660100">
      <w:pPr>
        <w:bidi w:val="0"/>
        <w:jc w:val="both"/>
        <w:rPr>
          <w:rFonts w:ascii="Times New Roman" w:hAnsi="Times New Roman"/>
        </w:rPr>
      </w:pPr>
      <w:r>
        <w:rPr>
          <w:rFonts w:ascii="Times New Roman" w:hAnsi="Times New Roman"/>
        </w:rPr>
        <w:t>V Čl. VIII sa dopĺňa zákon č. 171/2005 Z. z. o hazardných hrách a o zmene a doplnení niektorých zákonov v znení neskorších predpisov. Predkladaným legislatívnym návrhom sa upravuje postup  orgánu dozoru pri osvedčovaní číselnej lotérie s názvom „Eurojackpot“, čím sa umožní národnej lotériovej spoločnosti prevádzkovať novú štátnu číselnú lotériu.  V súčasnosti sa táto lotéria prevádzkuje vo viacerých krajinách Európskej únie a Európskeho hospodárskeho priestoru a tým umožňuje vytváranie výhernej istiny zloženej z prostriedkov zúčastnených lotériových spoločností. Rozšírenie ponuky služieb v tejto oblasti bude mať priamy pozitívny dopad na verejné financie formou zvýšenia príjmov z odvodu z prevádzkovania tejto hry, ktorými sa v zmysle zákona o hazardných hrách zabezpečuje vykonávanie všeobecne prospešných služieb, najmä poskytovanie zdravotnej starostlivosti, poskytovanie sociálnej pomoci, humanitárna starostlivosť, tvorba, rozvoj, ochrana a obnova kultúrnych hodnôt, podpora umeleckej tvorby a kultúrnych aktivít, vzdelávanie, výchova, rozvoj športu, tvorba a ochrana životného prostredia a ochrana zdravia obyvateľstva.</w:t>
      </w:r>
    </w:p>
    <w:p w:rsidR="00660100" w:rsidP="00660100">
      <w:pPr>
        <w:bidi w:val="0"/>
        <w:jc w:val="both"/>
        <w:rPr>
          <w:rFonts w:ascii="Times New Roman" w:hAnsi="Times New Roman"/>
        </w:rPr>
      </w:pPr>
    </w:p>
    <w:p w:rsidR="00660100" w:rsidP="00660100">
      <w:pPr>
        <w:bidi w:val="0"/>
        <w:jc w:val="both"/>
        <w:rPr>
          <w:rFonts w:ascii="Times New Roman" w:hAnsi="Times New Roman"/>
        </w:rPr>
      </w:pPr>
      <w:r w:rsidRPr="003528A1">
        <w:rPr>
          <w:rFonts w:ascii="Times New Roman" w:hAnsi="Times New Roman"/>
        </w:rPr>
        <w:t xml:space="preserve">Návrh zákona </w:t>
      </w:r>
      <w:r>
        <w:rPr>
          <w:rFonts w:ascii="Times New Roman" w:hAnsi="Times New Roman"/>
        </w:rPr>
        <w:t xml:space="preserve">ako celok </w:t>
      </w:r>
      <w:r w:rsidRPr="003528A1">
        <w:rPr>
          <w:rFonts w:ascii="Times New Roman" w:hAnsi="Times New Roman"/>
        </w:rPr>
        <w:t>má pozitívny vplyv na štátny rozpočet, má pozitívny aj negatívny vplyv na podnikateľské prostredie, má pozitívne</w:t>
      </w:r>
      <w:r>
        <w:rPr>
          <w:rFonts w:ascii="Times New Roman" w:hAnsi="Times New Roman"/>
        </w:rPr>
        <w:t xml:space="preserve"> aj negatívne</w:t>
      </w:r>
      <w:r w:rsidRPr="003528A1">
        <w:rPr>
          <w:rFonts w:ascii="Times New Roman" w:hAnsi="Times New Roman"/>
        </w:rPr>
        <w:t xml:space="preserve"> sociálne vplyvy, nemá environmentálny vplyv ani vplyv na informatizáciu spoločnosti.</w:t>
      </w:r>
      <w:r w:rsidRPr="00E110B8">
        <w:rPr>
          <w:rFonts w:ascii="Times New Roman" w:hAnsi="Times New Roman"/>
        </w:rPr>
        <w:t xml:space="preserve"> </w:t>
      </w:r>
    </w:p>
    <w:p w:rsidR="00660100" w:rsidRPr="00E110B8" w:rsidP="00660100">
      <w:pPr>
        <w:bidi w:val="0"/>
        <w:jc w:val="both"/>
        <w:rPr>
          <w:rFonts w:ascii="Times New Roman" w:hAnsi="Times New Roman"/>
        </w:rPr>
      </w:pPr>
    </w:p>
    <w:p w:rsidR="00660100" w:rsidRPr="00B84765" w:rsidP="00660100">
      <w:pPr>
        <w:bidi w:val="0"/>
        <w:jc w:val="both"/>
        <w:rPr>
          <w:rFonts w:ascii="Times New Roman" w:hAnsi="Times New Roman"/>
        </w:rPr>
      </w:pPr>
      <w:r>
        <w:rPr>
          <w:rFonts w:ascii="Times New Roman" w:hAnsi="Times New Roman"/>
        </w:rPr>
        <w:t>Návrh zákona  v čl. II a III má nepatrný vplyv na rozdelenie rozpočtu verejnej správy a má pozitívny vplyv na podnikateľské prostredie.</w:t>
      </w:r>
    </w:p>
    <w:p w:rsidR="00660100" w:rsidP="00660100">
      <w:pPr>
        <w:bidi w:val="0"/>
        <w:jc w:val="both"/>
        <w:rPr>
          <w:rFonts w:ascii="Times New Roman" w:hAnsi="Times New Roman"/>
        </w:rPr>
      </w:pPr>
    </w:p>
    <w:p w:rsidR="00660100" w:rsidP="00660100">
      <w:pPr>
        <w:bidi w:val="0"/>
        <w:jc w:val="both"/>
        <w:rPr>
          <w:rFonts w:ascii="Arial Narrow" w:hAnsi="Arial Narrow"/>
          <w:sz w:val="22"/>
          <w:szCs w:val="22"/>
        </w:rPr>
      </w:pPr>
      <w:r w:rsidRPr="00B84765">
        <w:rPr>
          <w:rFonts w:ascii="Times New Roman" w:hAnsi="Times New Roman"/>
        </w:rPr>
        <w:t xml:space="preserve">Návrh zákona je v súlade s Ústavou Slovenskej republiky, zákonmi a medzinárodnými zmluvami a inými medzinárodnými dokumentmi, ktorými je Slovenská republika viazaná a s právom Európskej </w:t>
      </w:r>
      <w:r w:rsidRPr="003528A1">
        <w:rPr>
          <w:rFonts w:ascii="Times New Roman" w:hAnsi="Times New Roman"/>
        </w:rPr>
        <w:t>únie</w:t>
      </w:r>
      <w:r w:rsidRPr="00E817F9">
        <w:rPr>
          <w:rFonts w:ascii="Arial Narrow" w:hAnsi="Arial Narrow"/>
          <w:sz w:val="22"/>
          <w:szCs w:val="22"/>
        </w:rPr>
        <w:t xml:space="preserve">. </w:t>
      </w:r>
    </w:p>
    <w:p w:rsidR="00660100" w:rsidP="00660100">
      <w:pPr>
        <w:bidi w:val="0"/>
        <w:jc w:val="both"/>
        <w:rPr>
          <w:rFonts w:ascii="Arial Narrow" w:hAnsi="Arial Narrow"/>
          <w:sz w:val="22"/>
          <w:szCs w:val="22"/>
        </w:rPr>
      </w:pPr>
    </w:p>
    <w:p w:rsidR="000E550D" w:rsidP="00DE244B">
      <w:pPr>
        <w:bidi w:val="0"/>
        <w:jc w:val="both"/>
        <w:rPr>
          <w:rFonts w:ascii="Times New Roman" w:hAnsi="Times New Roman"/>
        </w:rPr>
      </w:pPr>
    </w:p>
    <w:p w:rsidR="000E550D" w:rsidRPr="0012245E" w:rsidP="00DE244B">
      <w:pPr>
        <w:bidi w:val="0"/>
        <w:jc w:val="both"/>
        <w:rPr>
          <w:rFonts w:ascii="Times New Roman" w:hAnsi="Times New Roman"/>
        </w:rPr>
      </w:pPr>
    </w:p>
    <w:p w:rsidR="003C76F2">
      <w:pPr>
        <w:bidi w:val="0"/>
        <w:rPr>
          <w:rFonts w:ascii="Times New Roman" w:hAnsi="Times New Roman"/>
        </w:rPr>
      </w:pPr>
    </w:p>
    <w:p w:rsidR="009107A4" w:rsidRPr="0012245E">
      <w:pPr>
        <w:bidi w:val="0"/>
        <w:rPr>
          <w:rFonts w:ascii="Times New Roman" w:hAnsi="Times New Roman"/>
        </w:rPr>
      </w:pPr>
    </w:p>
    <w:p w:rsidR="001D127A">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b/>
          <w:bCs/>
        </w:rPr>
        <w:t>Doložka vybraných vplyvov</w:t>
      </w:r>
    </w:p>
    <w:p w:rsidR="004F4B99" w:rsidRPr="008461B4" w:rsidP="004F4B99">
      <w:pPr>
        <w:pStyle w:val="NormalWeb"/>
        <w:bidi w:val="0"/>
        <w:spacing w:before="0" w:beforeAutospacing="0" w:after="0" w:afterAutospacing="0"/>
        <w:ind w:right="-108"/>
        <w:jc w:val="center"/>
        <w:rPr>
          <w:rFonts w:ascii="Times New Roman" w:hAnsi="Times New Roman"/>
        </w:rPr>
      </w:pPr>
      <w:r w:rsidRPr="008461B4">
        <w:rPr>
          <w:rFonts w:ascii="Times New Roman" w:hAnsi="Times New Roman"/>
          <w:b/>
          <w:bCs/>
        </w:rPr>
        <w:t> </w:t>
      </w:r>
    </w:p>
    <w:p w:rsidR="004F4B99" w:rsidRPr="008461B4" w:rsidP="004F4B99">
      <w:pPr>
        <w:bidi w:val="0"/>
        <w:jc w:val="both"/>
        <w:rPr>
          <w:rFonts w:ascii="Times New Roman" w:hAnsi="Times New Roman"/>
          <w:b/>
          <w:bCs/>
        </w:rPr>
      </w:pPr>
      <w:r w:rsidRPr="008461B4">
        <w:rPr>
          <w:rFonts w:ascii="Times New Roman" w:hAnsi="Times New Roman"/>
          <w:b/>
          <w:bCs/>
        </w:rPr>
        <w:t xml:space="preserve"> A.1. Názov materiálu: </w:t>
      </w:r>
      <w:r w:rsidRPr="008461B4">
        <w:rPr>
          <w:rFonts w:ascii="Times New Roman" w:hAnsi="Times New Roman"/>
          <w:bCs/>
        </w:rPr>
        <w:t xml:space="preserve">Návrh zákona, ktorým sa mení a dopĺňa zákon č. 595/2003 Z. z. o dani z príjmov v znení neskorších predpisov a ktorým sa menia a dopĺňajú niektoré zákony </w:t>
      </w:r>
    </w:p>
    <w:p w:rsidR="004F4B99" w:rsidRPr="008461B4" w:rsidP="004F4B99">
      <w:pPr>
        <w:pStyle w:val="NormalWeb"/>
        <w:bidi w:val="0"/>
        <w:spacing w:before="0" w:beforeAutospacing="0" w:after="0" w:afterAutospacing="0"/>
        <w:rPr>
          <w:rFonts w:ascii="Times New Roman" w:hAnsi="Times New Roman"/>
        </w:rPr>
      </w:pPr>
    </w:p>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b/>
          <w:bCs/>
        </w:rPr>
        <w:t> Termín začatia a ukončenia PPK: -</w:t>
      </w:r>
    </w:p>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b/>
          <w:bCs/>
        </w:rPr>
        <w:t>A.2. Vplyvy:</w:t>
      </w:r>
    </w:p>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Pozitívne</w:t>
            </w:r>
            <w:r w:rsidRPr="008461B4">
              <w:rPr>
                <w:rFonts w:ascii="Times New Roman" w:hAnsi="Times New Roman"/>
                <w:vertAlign w:val="superscript"/>
              </w:rPr>
              <w:t>*</w:t>
            </w:r>
            <w:r w:rsidRPr="008461B4">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Žiadne</w:t>
            </w:r>
            <w:r w:rsidRPr="008461B4">
              <w:rPr>
                <w:rFonts w:ascii="Times New Roman" w:hAnsi="Times New Roman"/>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Negatívne</w:t>
            </w:r>
            <w:r w:rsidRPr="008461B4">
              <w:rPr>
                <w:rFonts w:ascii="Times New Roman" w:hAnsi="Times New Roman"/>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X</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 xml:space="preserve">3, Sociálne vplyvy </w:t>
            </w:r>
          </w:p>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 vplyvy na hospodárenie obyvateľstva,</w:t>
            </w:r>
          </w:p>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 sociálnu exklúziu,</w:t>
            </w:r>
          </w:p>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p>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X</w:t>
            </w:r>
          </w:p>
          <w:p w:rsidR="004F4B99" w:rsidRPr="008461B4" w:rsidP="004F4B99">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P="004F4B99">
            <w:pPr>
              <w:pStyle w:val="NormalWeb"/>
              <w:bidi w:val="0"/>
              <w:spacing w:before="0" w:beforeAutospacing="0" w:after="0" w:afterAutospacing="0"/>
              <w:jc w:val="center"/>
              <w:rPr>
                <w:rFonts w:ascii="Times New Roman" w:hAnsi="Times New Roman"/>
              </w:rPr>
            </w:pPr>
          </w:p>
          <w:p w:rsidR="004F4B99" w:rsidRPr="008461B4" w:rsidP="004F4B99">
            <w:pPr>
              <w:pStyle w:val="NormalWeb"/>
              <w:bidi w:val="0"/>
              <w:spacing w:before="0" w:beforeAutospacing="0" w:after="0" w:afterAutospacing="0"/>
              <w:jc w:val="center"/>
              <w:rPr>
                <w:rFonts w:ascii="Times New Roman" w:hAnsi="Times New Roman"/>
              </w:rPr>
            </w:pPr>
            <w:r>
              <w:rPr>
                <w:rFonts w:ascii="Times New Roman" w:hAnsi="Times New Roman"/>
              </w:rPr>
              <w:t>X</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rPr>
                <w:rFonts w:ascii="Times New Roman" w:hAnsi="Times New Roman"/>
              </w:rPr>
            </w:pPr>
            <w:r w:rsidRPr="008461B4">
              <w:rPr>
                <w:rFonts w:ascii="Times New Roman" w:hAnsi="Times New Roman"/>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F4B99" w:rsidRPr="008461B4" w:rsidP="004F4B99">
            <w:pPr>
              <w:pStyle w:val="NormalWeb"/>
              <w:bidi w:val="0"/>
              <w:spacing w:before="0" w:beforeAutospacing="0" w:after="0" w:afterAutospacing="0"/>
              <w:jc w:val="center"/>
              <w:rPr>
                <w:rFonts w:ascii="Times New Roman" w:hAnsi="Times New Roman"/>
              </w:rPr>
            </w:pPr>
            <w:r w:rsidRPr="008461B4">
              <w:rPr>
                <w:rFonts w:ascii="Times New Roman" w:hAnsi="Times New Roman"/>
              </w:rPr>
              <w:t> </w:t>
            </w:r>
          </w:p>
        </w:tc>
      </w:tr>
    </w:tbl>
    <w:p w:rsidR="004F4B99" w:rsidRPr="008461B4" w:rsidP="004F4B99">
      <w:pPr>
        <w:pStyle w:val="NormalWeb"/>
        <w:bidi w:val="0"/>
        <w:spacing w:before="0" w:beforeAutospacing="0" w:after="0" w:afterAutospacing="0"/>
        <w:jc w:val="both"/>
        <w:rPr>
          <w:rFonts w:ascii="Times New Roman" w:hAnsi="Times New Roman"/>
        </w:rPr>
      </w:pPr>
      <w:r w:rsidRPr="008461B4">
        <w:rPr>
          <w:rFonts w:ascii="Times New Roman" w:hAnsi="Times New Roman"/>
        </w:rPr>
        <w:t> </w:t>
      </w:r>
    </w:p>
    <w:p w:rsidR="004F4B99" w:rsidRPr="008461B4" w:rsidP="004F4B99">
      <w:pPr>
        <w:pStyle w:val="NormalWeb"/>
        <w:bidi w:val="0"/>
        <w:spacing w:before="0" w:beforeAutospacing="0" w:after="0" w:afterAutospacing="0"/>
        <w:jc w:val="both"/>
        <w:rPr>
          <w:rFonts w:ascii="Times New Roman" w:hAnsi="Times New Roman"/>
        </w:rPr>
      </w:pPr>
      <w:r w:rsidRPr="008461B4">
        <w:rPr>
          <w:rFonts w:ascii="Times New Roman" w:hAnsi="Times New Roman"/>
          <w:b/>
          <w:bCs/>
        </w:rPr>
        <w:t>A.3. Poznámky</w:t>
      </w:r>
    </w:p>
    <w:p w:rsidR="004F4B99" w:rsidRPr="008461B4" w:rsidP="004F4B99">
      <w:pPr>
        <w:pStyle w:val="NormalWeb"/>
        <w:bidi w:val="0"/>
        <w:spacing w:before="0" w:beforeAutospacing="0" w:after="0" w:afterAutospacing="0"/>
        <w:jc w:val="both"/>
        <w:rPr>
          <w:rFonts w:ascii="Times New Roman" w:hAnsi="Times New Roman"/>
        </w:rPr>
      </w:pPr>
      <w:r w:rsidRPr="008461B4">
        <w:rPr>
          <w:rFonts w:ascii="Times New Roman" w:hAnsi="Times New Roman"/>
          <w:b/>
          <w:bCs/>
        </w:rPr>
        <w:t>A.4. Alternatívne riešenia</w:t>
      </w:r>
    </w:p>
    <w:p w:rsidR="004F4B99" w:rsidRPr="008461B4" w:rsidP="004F4B99">
      <w:pPr>
        <w:pStyle w:val="NormalWeb"/>
        <w:bidi w:val="0"/>
        <w:spacing w:before="0" w:beforeAutospacing="0" w:after="0" w:afterAutospacing="0"/>
        <w:jc w:val="both"/>
        <w:rPr>
          <w:rFonts w:ascii="Times New Roman" w:hAnsi="Times New Roman"/>
        </w:rPr>
      </w:pPr>
      <w:r w:rsidRPr="008461B4">
        <w:rPr>
          <w:rFonts w:ascii="Times New Roman" w:hAnsi="Times New Roman"/>
        </w:rPr>
        <w:t>Bezpredmetné </w:t>
      </w:r>
    </w:p>
    <w:p w:rsidR="004F4B99" w:rsidRPr="008461B4" w:rsidP="004F4B99">
      <w:pPr>
        <w:pStyle w:val="NormalWeb"/>
        <w:bidi w:val="0"/>
        <w:spacing w:before="0" w:beforeAutospacing="0" w:after="0" w:afterAutospacing="0"/>
        <w:jc w:val="both"/>
        <w:rPr>
          <w:rFonts w:ascii="Times New Roman" w:hAnsi="Times New Roman"/>
        </w:rPr>
      </w:pPr>
      <w:r w:rsidRPr="008461B4">
        <w:rPr>
          <w:rFonts w:ascii="Times New Roman" w:hAnsi="Times New Roman"/>
          <w:b/>
          <w:bCs/>
        </w:rPr>
        <w:t>  </w:t>
      </w:r>
    </w:p>
    <w:p w:rsidR="004F4B99" w:rsidRPr="008461B4" w:rsidP="004F4B99">
      <w:pPr>
        <w:pStyle w:val="NormalWeb"/>
        <w:bidi w:val="0"/>
        <w:spacing w:before="0" w:beforeAutospacing="0" w:after="0" w:afterAutospacing="0"/>
        <w:rPr>
          <w:rFonts w:ascii="Times New Roman" w:hAnsi="Times New Roman"/>
          <w:b/>
          <w:bCs/>
        </w:rPr>
      </w:pPr>
      <w:r w:rsidRPr="008461B4">
        <w:rPr>
          <w:rFonts w:ascii="Times New Roman" w:hAnsi="Times New Roman"/>
          <w:b/>
          <w:bCs/>
        </w:rPr>
        <w:t>A.5. Stanovisko gestorov</w:t>
      </w:r>
    </w:p>
    <w:p w:rsidR="004F4B99" w:rsidRPr="008461B4" w:rsidP="004F4B99">
      <w:pPr>
        <w:pStyle w:val="NormalWeb"/>
        <w:bidi w:val="0"/>
        <w:spacing w:before="0" w:beforeAutospacing="0" w:after="0" w:afterAutospacing="0"/>
        <w:jc w:val="both"/>
        <w:rPr>
          <w:rFonts w:ascii="Times New Roman" w:hAnsi="Times New Roman"/>
        </w:rPr>
      </w:pPr>
      <w:r w:rsidRPr="008461B4">
        <w:rPr>
          <w:rFonts w:ascii="Times New Roman" w:hAnsi="Times New Roman"/>
        </w:rPr>
        <w:t>-</w:t>
      </w:r>
    </w:p>
    <w:p w:rsidR="004F4B99" w:rsidRPr="008461B4" w:rsidP="004F4B99">
      <w:pPr>
        <w:bidi w:val="0"/>
        <w:jc w:val="both"/>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6A7BE2">
      <w:pPr>
        <w:bidi w:val="0"/>
        <w:rPr>
          <w:rFonts w:ascii="Times New Roman" w:hAnsi="Times New Roman"/>
        </w:rPr>
      </w:pPr>
    </w:p>
    <w:p w:rsidR="006A7BE2">
      <w:pPr>
        <w:bidi w:val="0"/>
        <w:rPr>
          <w:rFonts w:ascii="Times New Roman" w:hAnsi="Times New Roman"/>
        </w:rPr>
      </w:pPr>
    </w:p>
    <w:p w:rsidR="004F4B99" w:rsidRPr="0012245E" w:rsidP="004F4B99">
      <w:pPr>
        <w:bidi w:val="0"/>
        <w:jc w:val="center"/>
        <w:rPr>
          <w:rFonts w:ascii="Times New Roman" w:hAnsi="Times New Roman"/>
        </w:rPr>
      </w:pPr>
      <w:r>
        <w:rPr>
          <w:rFonts w:ascii="Times New Roman" w:hAnsi="Times New Roman"/>
          <w:b/>
          <w:bCs/>
        </w:rPr>
        <w:t>V</w:t>
      </w:r>
      <w:r w:rsidRPr="0012245E">
        <w:rPr>
          <w:rFonts w:ascii="Times New Roman" w:hAnsi="Times New Roman"/>
          <w:b/>
          <w:bCs/>
        </w:rPr>
        <w:t>plyvy na rozpočet verejnej správy,</w:t>
      </w:r>
    </w:p>
    <w:p w:rsidR="004F4B99" w:rsidRPr="0012245E" w:rsidP="004F4B99">
      <w:pPr>
        <w:bidi w:val="0"/>
        <w:jc w:val="center"/>
        <w:rPr>
          <w:rFonts w:ascii="Times New Roman" w:hAnsi="Times New Roman"/>
          <w:b/>
          <w:bCs/>
        </w:rPr>
      </w:pPr>
      <w:r w:rsidRPr="0012245E">
        <w:rPr>
          <w:rFonts w:ascii="Times New Roman" w:hAnsi="Times New Roman"/>
          <w:b/>
          <w:bCs/>
        </w:rPr>
        <w:t xml:space="preserve">na zamestnanosť vo verejnej správe a financovanie </w:t>
      </w:r>
    </w:p>
    <w:p w:rsidR="004F4B99" w:rsidRPr="0012245E" w:rsidP="004F4B99">
      <w:pPr>
        <w:bidi w:val="0"/>
        <w:jc w:val="center"/>
        <w:rPr>
          <w:rFonts w:ascii="Times New Roman" w:hAnsi="Times New Roman"/>
        </w:rPr>
      </w:pPr>
      <w:r w:rsidRPr="0012245E">
        <w:rPr>
          <w:rFonts w:ascii="Times New Roman" w:hAnsi="Times New Roman"/>
          <w:b/>
          <w:bCs/>
        </w:rPr>
        <w:t xml:space="preserve">návrhu zákona, </w:t>
      </w:r>
      <w:r w:rsidRPr="00693521">
        <w:rPr>
          <w:rFonts w:ascii="Times New Roman" w:hAnsi="Times New Roman"/>
          <w:b/>
          <w:bCs/>
        </w:rPr>
        <w:t>ktorým sa mení a dopĺňa zákon č. 595/2003 Z. z. o dani z príjmov v znení neskorších predpisov a ktorým sa menia a dopĺňajú niektoré zákony</w:t>
      </w:r>
    </w:p>
    <w:p w:rsidR="004F4B99" w:rsidRPr="0012245E" w:rsidP="004F4B99">
      <w:pPr>
        <w:bidi w:val="0"/>
        <w:rPr>
          <w:rFonts w:ascii="Times New Roman" w:hAnsi="Times New Roman"/>
        </w:rPr>
      </w:pPr>
      <w:r w:rsidRPr="0012245E">
        <w:rPr>
          <w:rFonts w:ascii="Times New Roman" w:hAnsi="Times New Roman"/>
        </w:rPr>
        <w:t> </w:t>
      </w:r>
    </w:p>
    <w:p w:rsidR="004F4B99" w:rsidRPr="0012245E" w:rsidP="004F4B99">
      <w:pPr>
        <w:bidi w:val="0"/>
        <w:rPr>
          <w:rFonts w:ascii="Times New Roman" w:hAnsi="Times New Roman"/>
        </w:rPr>
      </w:pPr>
      <w:r>
        <w:rPr>
          <w:rFonts w:ascii="Times New Roman" w:hAnsi="Times New Roman"/>
          <w:b/>
          <w:bCs/>
        </w:rPr>
        <w:t>2.</w:t>
      </w:r>
      <w:r w:rsidRPr="0012245E">
        <w:rPr>
          <w:rFonts w:ascii="Times New Roman" w:hAnsi="Times New Roman"/>
          <w:b/>
          <w:bCs/>
        </w:rPr>
        <w:t xml:space="preserve">1. Zhrnutie vplyvov na rozpočet verejnej správy v návrhu </w:t>
      </w:r>
    </w:p>
    <w:tbl>
      <w:tblPr>
        <w:tblStyle w:val="TableNormal"/>
        <w:tblW w:w="5000" w:type="pct"/>
        <w:tblInd w:w="130" w:type="dxa"/>
        <w:tblLayout w:type="fixed"/>
        <w:tblCellMar>
          <w:left w:w="70" w:type="dxa"/>
          <w:right w:w="70" w:type="dxa"/>
        </w:tblCellMar>
        <w:tblLook w:val="04A0"/>
      </w:tblPr>
      <w:tblGrid>
        <w:gridCol w:w="3917"/>
        <w:gridCol w:w="1249"/>
        <w:gridCol w:w="1319"/>
        <w:gridCol w:w="1459"/>
        <w:gridCol w:w="1268"/>
      </w:tblGrid>
      <w:tr>
        <w:tblPrEx>
          <w:tblW w:w="5000" w:type="pct"/>
          <w:tblInd w:w="130" w:type="dxa"/>
          <w:tblLayout w:type="fixed"/>
          <w:tblCellMar>
            <w:left w:w="70" w:type="dxa"/>
            <w:right w:w="70" w:type="dxa"/>
          </w:tblCellMar>
          <w:tblLook w:val="04A0"/>
        </w:tblPrEx>
        <w:trPr>
          <w:trHeight w:val="345"/>
        </w:trPr>
        <w:tc>
          <w:tcPr>
            <w:tcW w:w="2126" w:type="pct"/>
            <w:tcBorders>
              <w:top w:val="nil"/>
              <w:left w:val="nil"/>
              <w:bottom w:val="nil"/>
              <w:right w:val="nil"/>
            </w:tcBorders>
            <w:noWrap/>
            <w:textDirection w:val="lrTb"/>
            <w:vAlign w:val="bottom"/>
            <w:hideMark/>
          </w:tcPr>
          <w:p w:rsidR="004F4B99" w:rsidRPr="0012245E" w:rsidP="004F4B99">
            <w:pPr>
              <w:bidi w:val="0"/>
              <w:rPr>
                <w:rFonts w:ascii="Times New Roman" w:hAnsi="Times New Roman"/>
                <w:color w:val="000000"/>
              </w:rPr>
            </w:pPr>
          </w:p>
        </w:tc>
        <w:tc>
          <w:tcPr>
            <w:tcW w:w="678" w:type="pct"/>
            <w:tcBorders>
              <w:top w:val="nil"/>
              <w:left w:val="nil"/>
              <w:bottom w:val="nil"/>
              <w:right w:val="nil"/>
            </w:tcBorders>
            <w:textDirection w:val="lrTb"/>
            <w:vAlign w:val="top"/>
          </w:tcPr>
          <w:p w:rsidR="004F4B99" w:rsidRPr="0012245E" w:rsidP="004F4B99">
            <w:pPr>
              <w:bidi w:val="0"/>
              <w:rPr>
                <w:rFonts w:ascii="Times New Roman" w:hAnsi="Times New Roman"/>
                <w:color w:val="000000"/>
              </w:rPr>
            </w:pPr>
          </w:p>
        </w:tc>
        <w:tc>
          <w:tcPr>
            <w:tcW w:w="716" w:type="pct"/>
            <w:tcBorders>
              <w:top w:val="nil"/>
              <w:left w:val="nil"/>
              <w:bottom w:val="nil"/>
              <w:right w:val="nil"/>
            </w:tcBorders>
            <w:noWrap/>
            <w:textDirection w:val="lrTb"/>
            <w:vAlign w:val="bottom"/>
            <w:hideMark/>
          </w:tcPr>
          <w:p w:rsidR="004F4B99" w:rsidRPr="0012245E" w:rsidP="004F4B99">
            <w:pPr>
              <w:bidi w:val="0"/>
              <w:rPr>
                <w:rFonts w:ascii="Times New Roman" w:hAnsi="Times New Roman"/>
                <w:color w:val="000000"/>
              </w:rPr>
            </w:pPr>
          </w:p>
        </w:tc>
        <w:tc>
          <w:tcPr>
            <w:tcW w:w="1479" w:type="pct"/>
            <w:gridSpan w:val="2"/>
            <w:tcBorders>
              <w:top w:val="nil"/>
              <w:left w:val="nil"/>
              <w:bottom w:val="nil"/>
              <w:right w:val="nil"/>
            </w:tcBorders>
            <w:noWrap/>
            <w:textDirection w:val="lrTb"/>
            <w:vAlign w:val="bottom"/>
            <w:hideMark/>
          </w:tcPr>
          <w:p w:rsidR="004F4B99" w:rsidRPr="0012245E" w:rsidP="004F4B99">
            <w:pPr>
              <w:bidi w:val="0"/>
              <w:jc w:val="right"/>
              <w:rPr>
                <w:rFonts w:ascii="Times New Roman" w:hAnsi="Times New Roman"/>
                <w:color w:val="000000"/>
              </w:rPr>
            </w:pPr>
            <w:r>
              <w:rPr>
                <w:rFonts w:ascii="Times New Roman" w:hAnsi="Times New Roman"/>
                <w:color w:val="000000"/>
              </w:rPr>
              <w:t xml:space="preserve"> </w:t>
            </w:r>
            <w:r w:rsidRPr="0012245E">
              <w:rPr>
                <w:rFonts w:ascii="Times New Roman" w:hAnsi="Times New Roman"/>
                <w:color w:val="000000"/>
              </w:rPr>
              <w:t>Tabuľka č. 1</w:t>
            </w:r>
          </w:p>
        </w:tc>
      </w:tr>
      <w:tr>
        <w:tblPrEx>
          <w:tblW w:w="5000" w:type="pct"/>
          <w:tblInd w:w="130" w:type="dxa"/>
          <w:tblLayout w:type="fixed"/>
          <w:tblCellMar>
            <w:left w:w="70" w:type="dxa"/>
            <w:right w:w="70" w:type="dxa"/>
          </w:tblCellMar>
          <w:tblLook w:val="04A0"/>
        </w:tblPrEx>
        <w:trPr>
          <w:trHeight w:val="345"/>
        </w:trPr>
        <w:tc>
          <w:tcPr>
            <w:tcW w:w="2126"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verejnej správy (v tis. eur)</w:t>
            </w:r>
          </w:p>
        </w:tc>
        <w:tc>
          <w:tcPr>
            <w:tcW w:w="2874"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verejnej správy (ESA95)</w:t>
            </w:r>
          </w:p>
        </w:tc>
      </w:tr>
      <w:tr>
        <w:tblPrEx>
          <w:tblW w:w="5000" w:type="pct"/>
          <w:tblInd w:w="130" w:type="dxa"/>
          <w:tblLayout w:type="fixed"/>
          <w:tblCellMar>
            <w:left w:w="70" w:type="dxa"/>
            <w:right w:w="70" w:type="dxa"/>
          </w:tblCellMar>
          <w:tblLook w:val="04A0"/>
        </w:tblPrEx>
        <w:trPr>
          <w:trHeight w:val="345"/>
        </w:trPr>
        <w:tc>
          <w:tcPr>
            <w:tcW w:w="2126" w:type="pct"/>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678" w:type="pct"/>
            <w:tcBorders>
              <w:top w:val="nil"/>
              <w:left w:val="nil"/>
              <w:bottom w:val="single" w:sz="4" w:space="0" w:color="auto"/>
              <w:right w:val="nil"/>
            </w:tcBorders>
            <w:shd w:val="clear" w:color="000000" w:fill="000000"/>
            <w:textDirection w:val="lrTb"/>
            <w:vAlign w:val="top"/>
          </w:tcPr>
          <w:p w:rsidR="004F4B99" w:rsidRPr="0012245E" w:rsidP="004F4B99">
            <w:pPr>
              <w:bidi w:val="0"/>
              <w:jc w:val="center"/>
              <w:rPr>
                <w:rFonts w:ascii="Times New Roman" w:hAnsi="Times New Roman"/>
                <w:b/>
                <w:bCs/>
                <w:color w:val="FFFFFF"/>
              </w:rPr>
            </w:pPr>
            <w:r>
              <w:rPr>
                <w:rFonts w:ascii="Times New Roman" w:hAnsi="Times New Roman"/>
                <w:b/>
                <w:bCs/>
                <w:color w:val="FFFFFF"/>
              </w:rPr>
              <w:t>2014</w:t>
            </w:r>
          </w:p>
        </w:tc>
        <w:tc>
          <w:tcPr>
            <w:tcW w:w="716" w:type="pct"/>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92" w:type="pct"/>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687" w:type="pct"/>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shd w:val="clear" w:color="000000" w:fill="969696"/>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Príjmy verejnej správy celkom</w:t>
            </w:r>
          </w:p>
        </w:tc>
        <w:tc>
          <w:tcPr>
            <w:tcW w:w="678" w:type="pct"/>
            <w:tcBorders>
              <w:top w:val="single" w:sz="4" w:space="0" w:color="auto"/>
              <w:left w:val="single" w:sz="4" w:space="0" w:color="auto"/>
              <w:bottom w:val="single" w:sz="4" w:space="0" w:color="auto"/>
              <w:right w:val="single" w:sz="4" w:space="0" w:color="auto"/>
            </w:tcBorders>
            <w:shd w:val="clear" w:color="000000" w:fill="969696"/>
            <w:textDirection w:val="lrTb"/>
            <w:vAlign w:val="center"/>
          </w:tcPr>
          <w:p w:rsidR="004F4B99" w:rsidRPr="00AE0CC3" w:rsidP="004F4B99">
            <w:pPr>
              <w:bidi w:val="0"/>
              <w:jc w:val="right"/>
              <w:rPr>
                <w:rFonts w:ascii="Times New Roman" w:hAnsi="Times New Roman"/>
                <w:b/>
                <w:bCs/>
              </w:rPr>
            </w:pPr>
            <w:r w:rsidRPr="00AE0CC3">
              <w:rPr>
                <w:rFonts w:ascii="Times New Roman" w:hAnsi="Times New Roman"/>
                <w:b/>
                <w:bCs/>
              </w:rPr>
              <w:t>0</w:t>
            </w:r>
          </w:p>
        </w:tc>
        <w:tc>
          <w:tcPr>
            <w:tcW w:w="716" w:type="pct"/>
            <w:tcBorders>
              <w:top w:val="nil"/>
              <w:left w:val="single" w:sz="4" w:space="0" w:color="auto"/>
              <w:bottom w:val="single" w:sz="8" w:space="0" w:color="auto"/>
              <w:right w:val="single" w:sz="8"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265 270</w:t>
            </w:r>
          </w:p>
        </w:tc>
        <w:tc>
          <w:tcPr>
            <w:tcW w:w="792" w:type="pct"/>
            <w:tcBorders>
              <w:top w:val="nil"/>
              <w:left w:val="nil"/>
              <w:bottom w:val="single" w:sz="8" w:space="0" w:color="auto"/>
              <w:right w:val="single" w:sz="8"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297 223</w:t>
            </w:r>
          </w:p>
        </w:tc>
        <w:tc>
          <w:tcPr>
            <w:tcW w:w="687" w:type="pct"/>
            <w:tcBorders>
              <w:top w:val="nil"/>
              <w:left w:val="nil"/>
              <w:bottom w:val="single" w:sz="8" w:space="0" w:color="auto"/>
              <w:right w:val="single" w:sz="8"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296 886</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Štátny rozpočet </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207 843</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216 180</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215 970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207 843</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216 180</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215 970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Obce</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58 893</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76 881</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77 593</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VÚC</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-1 466</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2 681</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1 556</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Sociálna poisťovňa</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1 041</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1 242</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zdravotné poisťovne</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440</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525</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shd w:val="clear" w:color="000000" w:fill="969696"/>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Výdavky verejnej správy celkom</w:t>
            </w:r>
          </w:p>
        </w:tc>
        <w:tc>
          <w:tcPr>
            <w:tcW w:w="678" w:type="pct"/>
            <w:tcBorders>
              <w:top w:val="single" w:sz="4" w:space="0" w:color="auto"/>
              <w:left w:val="single" w:sz="4" w:space="0" w:color="auto"/>
              <w:bottom w:val="single" w:sz="4" w:space="0" w:color="auto"/>
              <w:right w:val="single" w:sz="4" w:space="0" w:color="auto"/>
            </w:tcBorders>
            <w:shd w:val="clear" w:color="000000" w:fill="969696"/>
            <w:textDirection w:val="lrTb"/>
            <w:vAlign w:val="center"/>
          </w:tcPr>
          <w:p w:rsidR="004F4B99" w:rsidRPr="00AE0CC3" w:rsidP="004F4B99">
            <w:pPr>
              <w:bidi w:val="0"/>
              <w:jc w:val="right"/>
              <w:rPr>
                <w:rFonts w:ascii="Times New Roman" w:hAnsi="Times New Roman"/>
                <w:b/>
                <w:bCs/>
              </w:rPr>
            </w:pPr>
            <w:r w:rsidRPr="00AE0CC3">
              <w:rPr>
                <w:rFonts w:ascii="Times New Roman" w:hAnsi="Times New Roman"/>
                <w:b/>
                <w:bCs/>
              </w:rPr>
              <w:t>600</w:t>
            </w:r>
          </w:p>
        </w:tc>
        <w:tc>
          <w:tcPr>
            <w:tcW w:w="716" w:type="pct"/>
            <w:tcBorders>
              <w:top w:val="nil"/>
              <w:left w:val="single" w:sz="4" w:space="0" w:color="auto"/>
              <w:bottom w:val="single" w:sz="8" w:space="0" w:color="auto"/>
              <w:right w:val="single" w:sz="8"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0</w:t>
            </w:r>
          </w:p>
        </w:tc>
        <w:tc>
          <w:tcPr>
            <w:tcW w:w="792" w:type="pct"/>
            <w:tcBorders>
              <w:top w:val="nil"/>
              <w:left w:val="nil"/>
              <w:bottom w:val="single" w:sz="8" w:space="0" w:color="auto"/>
              <w:right w:val="single" w:sz="8"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0</w:t>
            </w:r>
          </w:p>
        </w:tc>
        <w:tc>
          <w:tcPr>
            <w:tcW w:w="687" w:type="pct"/>
            <w:tcBorders>
              <w:top w:val="nil"/>
              <w:left w:val="nil"/>
              <w:bottom w:val="single" w:sz="8" w:space="0" w:color="auto"/>
              <w:right w:val="single" w:sz="8"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Štátny rozpočet </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600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600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687"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Obce</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687"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VÚC</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687"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Sociálna poisťovňa</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687"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r>
      <w:tr>
        <w:tblPrEx>
          <w:tblW w:w="5000" w:type="pct"/>
          <w:tblInd w:w="130" w:type="dxa"/>
          <w:tblLayout w:type="fixed"/>
          <w:tblCellMar>
            <w:left w:w="70" w:type="dxa"/>
            <w:right w:w="70" w:type="dxa"/>
          </w:tblCellMar>
          <w:tblLook w:val="04A0"/>
        </w:tblPrEx>
        <w:trPr>
          <w:trHeight w:val="345"/>
        </w:trPr>
        <w:tc>
          <w:tcPr>
            <w:tcW w:w="212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zdravotné poisťovne</w:t>
            </w:r>
          </w:p>
        </w:tc>
        <w:tc>
          <w:tcPr>
            <w:tcW w:w="678" w:type="pct"/>
            <w:tcBorders>
              <w:top w:val="single" w:sz="4" w:space="0" w:color="auto"/>
              <w:left w:val="single" w:sz="4" w:space="0" w:color="auto"/>
              <w:bottom w:val="single" w:sz="4" w:space="0" w:color="auto"/>
              <w:right w:val="single" w:sz="4" w:space="0" w:color="auto"/>
            </w:tcBorders>
            <w:textDirection w:val="lrTb"/>
            <w:vAlign w:val="center"/>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16" w:type="pct"/>
            <w:tcBorders>
              <w:top w:val="nil"/>
              <w:left w:val="single" w:sz="4" w:space="0" w:color="auto"/>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792"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c>
          <w:tcPr>
            <w:tcW w:w="687" w:type="pct"/>
            <w:tcBorders>
              <w:top w:val="nil"/>
              <w:left w:val="nil"/>
              <w:bottom w:val="single" w:sz="8" w:space="0" w:color="auto"/>
              <w:right w:val="single" w:sz="8" w:space="0" w:color="auto"/>
            </w:tcBorders>
            <w:noWrap/>
            <w:textDirection w:val="lrTb"/>
            <w:vAlign w:val="center"/>
            <w:hideMark/>
          </w:tcPr>
          <w:p w:rsidR="004F4B99" w:rsidRPr="00F126E3" w:rsidP="004F4B99">
            <w:pPr>
              <w:bidi w:val="0"/>
              <w:jc w:val="right"/>
              <w:rPr>
                <w:rFonts w:ascii="Times New Roman" w:hAnsi="Times New Roman"/>
                <w:color w:val="000000"/>
              </w:rPr>
            </w:pPr>
            <w:r w:rsidRPr="00F126E3">
              <w:rPr>
                <w:rFonts w:ascii="Times New Roman" w:hAnsi="Times New Roman"/>
                <w:color w:val="000000"/>
              </w:rPr>
              <w:t>0</w:t>
            </w:r>
          </w:p>
        </w:tc>
      </w:tr>
    </w:tbl>
    <w:p w:rsidR="004F4B99" w:rsidRPr="0012245E" w:rsidP="004F4B99">
      <w:pPr>
        <w:bidi w:val="0"/>
        <w:rPr>
          <w:rFonts w:ascii="Times New Roman" w:hAnsi="Times New Roman"/>
        </w:rPr>
      </w:pPr>
    </w:p>
    <w:tbl>
      <w:tblPr>
        <w:tblStyle w:val="TableNormal"/>
        <w:tblW w:w="5084" w:type="pct"/>
        <w:tblLayout w:type="fixed"/>
        <w:tblCellMar>
          <w:left w:w="70" w:type="dxa"/>
          <w:right w:w="70" w:type="dxa"/>
        </w:tblCellMar>
        <w:tblLook w:val="04A0"/>
      </w:tblPr>
      <w:tblGrid>
        <w:gridCol w:w="4030"/>
        <w:gridCol w:w="1298"/>
        <w:gridCol w:w="1300"/>
        <w:gridCol w:w="1443"/>
        <w:gridCol w:w="1296"/>
      </w:tblGrid>
      <w:tr>
        <w:tblPrEx>
          <w:tblW w:w="5084" w:type="pct"/>
          <w:tblLayout w:type="fixed"/>
          <w:tblCellMar>
            <w:left w:w="70" w:type="dxa"/>
            <w:right w:w="70" w:type="dxa"/>
          </w:tblCellMar>
          <w:tblLook w:val="04A0"/>
        </w:tblPrEx>
        <w:trPr>
          <w:trHeight w:val="345"/>
        </w:trPr>
        <w:tc>
          <w:tcPr>
            <w:tcW w:w="2151"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verejnej správy (v tis. eur)</w:t>
            </w:r>
          </w:p>
        </w:tc>
        <w:tc>
          <w:tcPr>
            <w:tcW w:w="2849"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verejnej správy (cash)</w:t>
            </w:r>
          </w:p>
        </w:tc>
      </w:tr>
      <w:tr>
        <w:tblPrEx>
          <w:tblW w:w="5084" w:type="pct"/>
          <w:tblLayout w:type="fixed"/>
          <w:tblCellMar>
            <w:left w:w="70" w:type="dxa"/>
            <w:right w:w="70" w:type="dxa"/>
          </w:tblCellMar>
          <w:tblLook w:val="04A0"/>
        </w:tblPrEx>
        <w:trPr>
          <w:trHeight w:val="345"/>
        </w:trPr>
        <w:tc>
          <w:tcPr>
            <w:tcW w:w="2151" w:type="pct"/>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693" w:type="pct"/>
            <w:tcBorders>
              <w:top w:val="nil"/>
              <w:left w:val="nil"/>
              <w:bottom w:val="single" w:sz="4" w:space="0" w:color="auto"/>
              <w:right w:val="nil"/>
            </w:tcBorders>
            <w:shd w:val="clear" w:color="000000" w:fill="000000"/>
            <w:textDirection w:val="lrTb"/>
            <w:vAlign w:val="top"/>
          </w:tcPr>
          <w:p w:rsidR="004F4B99" w:rsidRPr="0012245E" w:rsidP="004F4B99">
            <w:pPr>
              <w:bidi w:val="0"/>
              <w:jc w:val="center"/>
              <w:rPr>
                <w:rFonts w:ascii="Times New Roman" w:hAnsi="Times New Roman"/>
                <w:b/>
                <w:bCs/>
                <w:color w:val="FFFFFF"/>
              </w:rPr>
            </w:pPr>
            <w:r>
              <w:rPr>
                <w:rFonts w:ascii="Times New Roman" w:hAnsi="Times New Roman"/>
                <w:b/>
                <w:bCs/>
                <w:color w:val="FFFFFF"/>
              </w:rPr>
              <w:t>2014</w:t>
            </w:r>
          </w:p>
        </w:tc>
        <w:tc>
          <w:tcPr>
            <w:tcW w:w="694" w:type="pct"/>
            <w:tcBorders>
              <w:top w:val="nil"/>
              <w:left w:val="nil"/>
              <w:bottom w:val="single" w:sz="4"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70" w:type="pct"/>
            <w:tcBorders>
              <w:top w:val="nil"/>
              <w:left w:val="nil"/>
              <w:bottom w:val="single" w:sz="4"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692" w:type="pct"/>
            <w:tcBorders>
              <w:top w:val="nil"/>
              <w:left w:val="nil"/>
              <w:bottom w:val="single" w:sz="4"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shd w:val="clear" w:color="000000" w:fill="969696"/>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Príjmy verejnej správy celkom</w:t>
            </w:r>
          </w:p>
        </w:tc>
        <w:tc>
          <w:tcPr>
            <w:tcW w:w="693" w:type="pct"/>
            <w:tcBorders>
              <w:top w:val="single" w:sz="4" w:space="0" w:color="auto"/>
              <w:left w:val="single" w:sz="4" w:space="0" w:color="auto"/>
              <w:bottom w:val="single" w:sz="4" w:space="0" w:color="auto"/>
              <w:right w:val="single" w:sz="4" w:space="0" w:color="auto"/>
            </w:tcBorders>
            <w:shd w:val="clear" w:color="000000" w:fill="969696"/>
            <w:textDirection w:val="lrTb"/>
            <w:vAlign w:val="center"/>
          </w:tcPr>
          <w:p w:rsidR="004F4B99" w:rsidRPr="00AE0CC3" w:rsidP="004F4B99">
            <w:pPr>
              <w:bidi w:val="0"/>
              <w:jc w:val="right"/>
              <w:rPr>
                <w:rFonts w:ascii="Times New Roman" w:hAnsi="Times New Roman"/>
                <w:b/>
                <w:bCs/>
              </w:rPr>
            </w:pPr>
            <w:r w:rsidRPr="00AE0CC3">
              <w:rPr>
                <w:rFonts w:ascii="Times New Roman" w:hAnsi="Times New Roman"/>
                <w:b/>
                <w:bCs/>
              </w:rPr>
              <w:t>0</w:t>
            </w:r>
          </w:p>
        </w:tc>
        <w:tc>
          <w:tcPr>
            <w:tcW w:w="694" w:type="pct"/>
            <w:tcBorders>
              <w:top w:val="single" w:sz="4" w:space="0" w:color="auto"/>
              <w:left w:val="single" w:sz="4" w:space="0" w:color="auto"/>
              <w:bottom w:val="single" w:sz="4" w:space="0" w:color="auto"/>
              <w:right w:val="single" w:sz="4"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31 168</w:t>
            </w:r>
          </w:p>
        </w:tc>
        <w:tc>
          <w:tcPr>
            <w:tcW w:w="770" w:type="pct"/>
            <w:tcBorders>
              <w:top w:val="single" w:sz="4" w:space="0" w:color="auto"/>
              <w:left w:val="single" w:sz="4" w:space="0" w:color="auto"/>
              <w:bottom w:val="single" w:sz="4" w:space="0" w:color="auto"/>
              <w:right w:val="single" w:sz="4"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502 031</w:t>
            </w:r>
          </w:p>
        </w:tc>
        <w:tc>
          <w:tcPr>
            <w:tcW w:w="692" w:type="pct"/>
            <w:tcBorders>
              <w:top w:val="single" w:sz="4" w:space="0" w:color="auto"/>
              <w:left w:val="single" w:sz="4" w:space="0" w:color="auto"/>
              <w:bottom w:val="single" w:sz="4" w:space="0" w:color="auto"/>
              <w:right w:val="single" w:sz="4"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306 540</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Štátny rozpočet </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-26 259</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420 988</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225 624</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-26 259</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420 988</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225 624</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Obce</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58 893</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76 881</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77 593</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VÚC</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-1 466</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2 681</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1 556</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Sociálna poisťovňa</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1041</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1242</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zdravotné poisťovne</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440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525</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shd w:val="clear" w:color="000000" w:fill="969696"/>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Výdavky verejnej správy celkom</w:t>
            </w:r>
          </w:p>
        </w:tc>
        <w:tc>
          <w:tcPr>
            <w:tcW w:w="693" w:type="pct"/>
            <w:tcBorders>
              <w:top w:val="single" w:sz="4" w:space="0" w:color="auto"/>
              <w:left w:val="single" w:sz="4" w:space="0" w:color="auto"/>
              <w:bottom w:val="single" w:sz="4" w:space="0" w:color="auto"/>
              <w:right w:val="single" w:sz="4" w:space="0" w:color="auto"/>
            </w:tcBorders>
            <w:shd w:val="clear" w:color="000000" w:fill="969696"/>
            <w:textDirection w:val="lrTb"/>
            <w:vAlign w:val="center"/>
          </w:tcPr>
          <w:p w:rsidR="004F4B99" w:rsidRPr="00AE0CC3" w:rsidP="004F4B99">
            <w:pPr>
              <w:bidi w:val="0"/>
              <w:jc w:val="right"/>
              <w:rPr>
                <w:rFonts w:ascii="Times New Roman" w:hAnsi="Times New Roman"/>
                <w:b/>
                <w:bCs/>
              </w:rPr>
            </w:pPr>
            <w:r w:rsidRPr="00AE0CC3">
              <w:rPr>
                <w:rFonts w:ascii="Times New Roman" w:hAnsi="Times New Roman"/>
                <w:b/>
                <w:bCs/>
              </w:rPr>
              <w:t>600</w:t>
            </w:r>
          </w:p>
        </w:tc>
        <w:tc>
          <w:tcPr>
            <w:tcW w:w="694" w:type="pct"/>
            <w:tcBorders>
              <w:top w:val="single" w:sz="4" w:space="0" w:color="auto"/>
              <w:left w:val="single" w:sz="4" w:space="0" w:color="auto"/>
              <w:bottom w:val="single" w:sz="4" w:space="0" w:color="auto"/>
              <w:right w:val="single" w:sz="4"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0</w:t>
            </w:r>
          </w:p>
        </w:tc>
        <w:tc>
          <w:tcPr>
            <w:tcW w:w="770" w:type="pct"/>
            <w:tcBorders>
              <w:top w:val="single" w:sz="4" w:space="0" w:color="auto"/>
              <w:left w:val="single" w:sz="4" w:space="0" w:color="auto"/>
              <w:bottom w:val="single" w:sz="4" w:space="0" w:color="auto"/>
              <w:right w:val="single" w:sz="4"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0</w:t>
            </w:r>
          </w:p>
        </w:tc>
        <w:tc>
          <w:tcPr>
            <w:tcW w:w="692" w:type="pct"/>
            <w:tcBorders>
              <w:top w:val="single" w:sz="4" w:space="0" w:color="auto"/>
              <w:left w:val="single" w:sz="4" w:space="0" w:color="auto"/>
              <w:bottom w:val="single" w:sz="4" w:space="0" w:color="auto"/>
              <w:right w:val="single" w:sz="4" w:space="0" w:color="auto"/>
            </w:tcBorders>
            <w:shd w:val="clear" w:color="000000" w:fill="969696"/>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0</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Štátny rozpočet </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600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693" w:type="pct"/>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rPr>
            </w:pPr>
            <w:r w:rsidRPr="00AE0CC3">
              <w:rPr>
                <w:rFonts w:ascii="Times New Roman" w:hAnsi="Times New Roman"/>
              </w:rPr>
              <w:t>600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Obce</w:t>
            </w:r>
          </w:p>
        </w:tc>
        <w:tc>
          <w:tcPr>
            <w:tcW w:w="693" w:type="pct"/>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jc w:val="right"/>
              <w:rPr>
                <w:rFonts w:ascii="Times New Roman" w:hAnsi="Times New Roman"/>
                <w:color w:val="000000"/>
              </w:rPr>
            </w:pPr>
            <w:r>
              <w:rPr>
                <w:rFonts w:ascii="Times New Roman" w:hAnsi="Times New Roman"/>
                <w:color w:val="000000"/>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r>
      <w:tr>
        <w:tblPrEx>
          <w:tblW w:w="5084" w:type="pct"/>
          <w:tblLayout w:type="fixed"/>
          <w:tblCellMar>
            <w:left w:w="70" w:type="dxa"/>
            <w:right w:w="70" w:type="dxa"/>
          </w:tblCellMar>
          <w:tblLook w:val="04A0"/>
        </w:tblPrEx>
        <w:trPr>
          <w:trHeight w:val="345"/>
        </w:trPr>
        <w:tc>
          <w:tcPr>
            <w:tcW w:w="2151" w:type="pct"/>
            <w:tcBorders>
              <w:top w:val="nil"/>
              <w:left w:val="single" w:sz="8" w:space="0" w:color="auto"/>
              <w:bottom w:val="single" w:sz="4"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VÚC</w:t>
            </w:r>
          </w:p>
        </w:tc>
        <w:tc>
          <w:tcPr>
            <w:tcW w:w="693" w:type="pct"/>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jc w:val="right"/>
              <w:rPr>
                <w:rFonts w:ascii="Times New Roman" w:hAnsi="Times New Roman"/>
                <w:color w:val="000000"/>
              </w:rPr>
            </w:pPr>
            <w:r>
              <w:rPr>
                <w:rFonts w:ascii="Times New Roman" w:hAnsi="Times New Roman"/>
                <w:color w:val="000000"/>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r>
      <w:tr>
        <w:tblPrEx>
          <w:tblW w:w="5084" w:type="pct"/>
          <w:tblLayout w:type="fixed"/>
          <w:tblCellMar>
            <w:left w:w="70" w:type="dxa"/>
            <w:right w:w="70" w:type="dxa"/>
          </w:tblCellMar>
          <w:tblLook w:val="04A0"/>
        </w:tblPrEx>
        <w:trPr>
          <w:trHeight w:val="345"/>
        </w:trPr>
        <w:tc>
          <w:tcPr>
            <w:tcW w:w="2151"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Sociálna poisťovňa</w:t>
            </w:r>
          </w:p>
        </w:tc>
        <w:tc>
          <w:tcPr>
            <w:tcW w:w="693" w:type="pct"/>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jc w:val="right"/>
              <w:rPr>
                <w:rFonts w:ascii="Times New Roman" w:hAnsi="Times New Roman"/>
                <w:color w:val="000000"/>
              </w:rPr>
            </w:pPr>
            <w:r>
              <w:rPr>
                <w:rFonts w:ascii="Times New Roman" w:hAnsi="Times New Roman"/>
                <w:color w:val="000000"/>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0</w:t>
            </w:r>
          </w:p>
        </w:tc>
      </w:tr>
      <w:tr>
        <w:tblPrEx>
          <w:tblW w:w="5084" w:type="pct"/>
          <w:tblLayout w:type="fixed"/>
          <w:tblCellMar>
            <w:left w:w="70" w:type="dxa"/>
            <w:right w:w="70" w:type="dxa"/>
          </w:tblCellMar>
          <w:tblLook w:val="04A0"/>
        </w:tblPrEx>
        <w:trPr>
          <w:trHeight w:val="345"/>
        </w:trPr>
        <w:tc>
          <w:tcPr>
            <w:tcW w:w="2151" w:type="pct"/>
            <w:tcBorders>
              <w:top w:val="single" w:sz="4" w:space="0" w:color="auto"/>
              <w:left w:val="single" w:sz="4" w:space="0" w:color="auto"/>
              <w:bottom w:val="single" w:sz="4" w:space="0" w:color="auto"/>
              <w:right w:val="single" w:sz="4" w:space="0" w:color="auto"/>
            </w:tcBorders>
            <w:noWrap/>
            <w:textDirection w:val="lrTb"/>
            <w:vAlign w:val="center"/>
          </w:tcPr>
          <w:p w:rsidR="004F4B99" w:rsidRPr="0012245E" w:rsidP="004F4B99">
            <w:pPr>
              <w:bidi w:val="0"/>
              <w:rPr>
                <w:rFonts w:ascii="Times New Roman" w:hAnsi="Times New Roman"/>
                <w:color w:val="000000"/>
              </w:rPr>
            </w:pPr>
            <w:r>
              <w:rPr>
                <w:rFonts w:ascii="Times New Roman" w:hAnsi="Times New Roman"/>
                <w:color w:val="000000"/>
              </w:rPr>
              <w:t>Zdravotné poisťovne</w:t>
            </w:r>
          </w:p>
        </w:tc>
        <w:tc>
          <w:tcPr>
            <w:tcW w:w="693" w:type="pct"/>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jc w:val="right"/>
              <w:rPr>
                <w:rFonts w:ascii="Times New Roman" w:hAnsi="Times New Roman"/>
                <w:color w:val="000000"/>
              </w:rPr>
            </w:pPr>
            <w:r>
              <w:rPr>
                <w:rFonts w:ascii="Times New Roman" w:hAnsi="Times New Roman"/>
                <w:color w:val="000000"/>
              </w:rPr>
              <w:t>0</w:t>
            </w:r>
          </w:p>
        </w:tc>
        <w:tc>
          <w:tcPr>
            <w:tcW w:w="694" w:type="pct"/>
            <w:tcBorders>
              <w:top w:val="single" w:sz="4" w:space="0" w:color="auto"/>
              <w:left w:val="single" w:sz="4" w:space="0" w:color="auto"/>
              <w:bottom w:val="single" w:sz="4" w:space="0" w:color="auto"/>
              <w:right w:val="single" w:sz="4" w:space="0" w:color="auto"/>
            </w:tcBorders>
            <w:noWrap/>
            <w:textDirection w:val="lrTb"/>
            <w:vAlign w:val="center"/>
          </w:tcPr>
          <w:p w:rsidR="004F4B99" w:rsidRPr="0012245E" w:rsidP="004F4B99">
            <w:pPr>
              <w:bidi w:val="0"/>
              <w:jc w:val="right"/>
              <w:rPr>
                <w:rFonts w:ascii="Times New Roman" w:hAnsi="Times New Roman"/>
                <w:color w:val="000000"/>
              </w:rPr>
            </w:pPr>
            <w:r>
              <w:rPr>
                <w:rFonts w:ascii="Times New Roman" w:hAnsi="Times New Roman"/>
                <w:color w:val="000000"/>
              </w:rPr>
              <w:t>0</w:t>
            </w:r>
          </w:p>
        </w:tc>
        <w:tc>
          <w:tcPr>
            <w:tcW w:w="770" w:type="pct"/>
            <w:tcBorders>
              <w:top w:val="single" w:sz="4" w:space="0" w:color="auto"/>
              <w:left w:val="single" w:sz="4" w:space="0" w:color="auto"/>
              <w:bottom w:val="single" w:sz="4" w:space="0" w:color="auto"/>
              <w:right w:val="single" w:sz="4" w:space="0" w:color="auto"/>
            </w:tcBorders>
            <w:noWrap/>
            <w:textDirection w:val="lrTb"/>
            <w:vAlign w:val="center"/>
          </w:tcPr>
          <w:p w:rsidR="004F4B99" w:rsidRPr="0012245E" w:rsidP="004F4B99">
            <w:pPr>
              <w:bidi w:val="0"/>
              <w:jc w:val="right"/>
              <w:rPr>
                <w:rFonts w:ascii="Times New Roman" w:hAnsi="Times New Roman"/>
                <w:color w:val="000000"/>
              </w:rPr>
            </w:pPr>
            <w:r>
              <w:rPr>
                <w:rFonts w:ascii="Times New Roman" w:hAnsi="Times New Roman"/>
                <w:color w:val="000000"/>
              </w:rPr>
              <w:t>0</w:t>
            </w:r>
          </w:p>
        </w:tc>
        <w:tc>
          <w:tcPr>
            <w:tcW w:w="692" w:type="pct"/>
            <w:tcBorders>
              <w:top w:val="single" w:sz="4" w:space="0" w:color="auto"/>
              <w:left w:val="single" w:sz="4" w:space="0" w:color="auto"/>
              <w:bottom w:val="single" w:sz="4" w:space="0" w:color="auto"/>
              <w:right w:val="single" w:sz="4" w:space="0" w:color="auto"/>
            </w:tcBorders>
            <w:noWrap/>
            <w:textDirection w:val="lrTb"/>
            <w:vAlign w:val="center"/>
          </w:tcPr>
          <w:p w:rsidR="004F4B99" w:rsidRPr="0012245E" w:rsidP="004F4B99">
            <w:pPr>
              <w:bidi w:val="0"/>
              <w:jc w:val="right"/>
              <w:rPr>
                <w:rFonts w:ascii="Times New Roman" w:hAnsi="Times New Roman"/>
                <w:color w:val="000000"/>
              </w:rPr>
            </w:pPr>
            <w:r>
              <w:rPr>
                <w:rFonts w:ascii="Times New Roman" w:hAnsi="Times New Roman"/>
                <w:color w:val="000000"/>
              </w:rPr>
              <w:t>0</w:t>
            </w:r>
          </w:p>
        </w:tc>
      </w:tr>
    </w:tbl>
    <w:p w:rsidR="004F4B99" w:rsidRPr="0012245E" w:rsidP="004F4B99">
      <w:pPr>
        <w:bidi w:val="0"/>
        <w:rPr>
          <w:rFonts w:ascii="Times New Roman" w:hAnsi="Times New Roman"/>
        </w:rPr>
      </w:pPr>
      <w:bookmarkStart w:id="0" w:name="OLE_LINK1"/>
      <w:bookmarkEnd w:id="0"/>
      <w:r>
        <w:rPr>
          <w:rFonts w:ascii="Times New Roman" w:hAnsi="Times New Roman"/>
          <w:b/>
          <w:bCs/>
        </w:rPr>
        <w:t>2.</w:t>
      </w:r>
      <w:r w:rsidRPr="0012245E">
        <w:rPr>
          <w:rFonts w:ascii="Times New Roman" w:hAnsi="Times New Roman"/>
          <w:b/>
          <w:bCs/>
        </w:rPr>
        <w:t>2. Financovanie návrhu</w:t>
      </w:r>
    </w:p>
    <w:tbl>
      <w:tblPr>
        <w:tblStyle w:val="TableNormal"/>
        <w:tblW w:w="5000" w:type="pct"/>
        <w:tblLayout w:type="fixed"/>
        <w:tblCellMar>
          <w:left w:w="70" w:type="dxa"/>
          <w:right w:w="70" w:type="dxa"/>
        </w:tblCellMar>
        <w:tblLook w:val="04A0"/>
      </w:tblPr>
      <w:tblGrid>
        <w:gridCol w:w="4031"/>
        <w:gridCol w:w="1295"/>
        <w:gridCol w:w="1295"/>
        <w:gridCol w:w="1439"/>
        <w:gridCol w:w="1152"/>
      </w:tblGrid>
      <w:tr>
        <w:tblPrEx>
          <w:tblW w:w="5000" w:type="pct"/>
          <w:tblLayout w:type="fixed"/>
          <w:tblCellMar>
            <w:left w:w="70" w:type="dxa"/>
            <w:right w:w="70" w:type="dxa"/>
          </w:tblCellMar>
          <w:tblLook w:val="04A0"/>
        </w:tblPrEx>
        <w:trPr>
          <w:trHeight w:val="345"/>
        </w:trPr>
        <w:tc>
          <w:tcPr>
            <w:tcW w:w="2188" w:type="pct"/>
            <w:tcBorders>
              <w:top w:val="nil"/>
              <w:left w:val="nil"/>
              <w:bottom w:val="nil"/>
              <w:right w:val="nil"/>
            </w:tcBorders>
            <w:noWrap/>
            <w:textDirection w:val="lrTb"/>
            <w:vAlign w:val="bottom"/>
            <w:hideMark/>
          </w:tcPr>
          <w:p w:rsidR="004F4B99" w:rsidRPr="0012245E" w:rsidP="004F4B99">
            <w:pPr>
              <w:bidi w:val="0"/>
              <w:rPr>
                <w:rFonts w:ascii="Times New Roman" w:hAnsi="Times New Roman"/>
                <w:color w:val="000000"/>
              </w:rPr>
            </w:pPr>
          </w:p>
        </w:tc>
        <w:tc>
          <w:tcPr>
            <w:tcW w:w="703" w:type="pct"/>
            <w:tcBorders>
              <w:top w:val="nil"/>
              <w:left w:val="nil"/>
              <w:bottom w:val="nil"/>
              <w:right w:val="nil"/>
            </w:tcBorders>
            <w:textDirection w:val="lrTb"/>
            <w:vAlign w:val="top"/>
          </w:tcPr>
          <w:p w:rsidR="004F4B99" w:rsidRPr="0012245E" w:rsidP="004F4B99">
            <w:pPr>
              <w:bidi w:val="0"/>
              <w:rPr>
                <w:rFonts w:ascii="Times New Roman" w:hAnsi="Times New Roman"/>
                <w:color w:val="000000"/>
              </w:rPr>
            </w:pPr>
          </w:p>
        </w:tc>
        <w:tc>
          <w:tcPr>
            <w:tcW w:w="703" w:type="pct"/>
            <w:tcBorders>
              <w:top w:val="nil"/>
              <w:left w:val="nil"/>
              <w:bottom w:val="nil"/>
              <w:right w:val="nil"/>
            </w:tcBorders>
            <w:noWrap/>
            <w:textDirection w:val="lrTb"/>
            <w:vAlign w:val="bottom"/>
            <w:hideMark/>
          </w:tcPr>
          <w:p w:rsidR="004F4B99" w:rsidRPr="0012245E" w:rsidP="004F4B99">
            <w:pPr>
              <w:bidi w:val="0"/>
              <w:rPr>
                <w:rFonts w:ascii="Times New Roman" w:hAnsi="Times New Roman"/>
                <w:color w:val="000000"/>
              </w:rPr>
            </w:pPr>
          </w:p>
        </w:tc>
        <w:tc>
          <w:tcPr>
            <w:tcW w:w="1406" w:type="pct"/>
            <w:gridSpan w:val="2"/>
            <w:tcBorders>
              <w:top w:val="nil"/>
              <w:left w:val="nil"/>
              <w:bottom w:val="nil"/>
              <w:right w:val="nil"/>
            </w:tcBorders>
            <w:noWrap/>
            <w:textDirection w:val="lrTb"/>
            <w:vAlign w:val="bottom"/>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Tabuľka č. 2</w:t>
            </w:r>
          </w:p>
        </w:tc>
      </w:tr>
      <w:tr>
        <w:tblPrEx>
          <w:tblW w:w="5000" w:type="pct"/>
          <w:tblLayout w:type="fixed"/>
          <w:tblCellMar>
            <w:left w:w="70" w:type="dxa"/>
            <w:right w:w="70" w:type="dxa"/>
          </w:tblCellMar>
          <w:tblLook w:val="04A0"/>
        </w:tblPrEx>
        <w:trPr>
          <w:trHeight w:val="345"/>
        </w:trPr>
        <w:tc>
          <w:tcPr>
            <w:tcW w:w="2188"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Financovanie (v tis. eur)</w:t>
            </w:r>
          </w:p>
        </w:tc>
        <w:tc>
          <w:tcPr>
            <w:tcW w:w="2813"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verejnej správy (ESA95)</w:t>
            </w:r>
          </w:p>
        </w:tc>
      </w:tr>
      <w:tr>
        <w:tblPrEx>
          <w:tblW w:w="5000" w:type="pct"/>
          <w:tblLayout w:type="fixed"/>
          <w:tblCellMar>
            <w:left w:w="70" w:type="dxa"/>
            <w:right w:w="70" w:type="dxa"/>
          </w:tblCellMar>
          <w:tblLook w:val="04A0"/>
        </w:tblPrEx>
        <w:trPr>
          <w:trHeight w:val="345"/>
        </w:trPr>
        <w:tc>
          <w:tcPr>
            <w:tcW w:w="2188" w:type="pct"/>
            <w:vMerge/>
            <w:tcBorders>
              <w:top w:val="single" w:sz="8" w:space="0" w:color="auto"/>
              <w:left w:val="single" w:sz="8" w:space="0" w:color="auto"/>
              <w:bottom w:val="single" w:sz="8" w:space="0" w:color="000000"/>
              <w:right w:val="single" w:sz="4"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703" w:type="pct"/>
            <w:tcBorders>
              <w:top w:val="single" w:sz="4" w:space="0" w:color="auto"/>
              <w:left w:val="single" w:sz="4" w:space="0" w:color="auto"/>
              <w:bottom w:val="single" w:sz="4" w:space="0" w:color="auto"/>
              <w:right w:val="single" w:sz="4" w:space="0" w:color="auto"/>
            </w:tcBorders>
            <w:shd w:val="clear" w:color="000000" w:fill="000000"/>
            <w:textDirection w:val="lrTb"/>
            <w:vAlign w:val="top"/>
          </w:tcPr>
          <w:p w:rsidR="004F4B99" w:rsidRPr="0012245E" w:rsidP="004F4B99">
            <w:pPr>
              <w:bidi w:val="0"/>
              <w:jc w:val="center"/>
              <w:rPr>
                <w:rFonts w:ascii="Times New Roman" w:hAnsi="Times New Roman"/>
                <w:b/>
                <w:bCs/>
                <w:color w:val="FFFFFF"/>
              </w:rPr>
            </w:pPr>
            <w:r>
              <w:rPr>
                <w:rFonts w:ascii="Times New Roman" w:hAnsi="Times New Roman"/>
                <w:b/>
                <w:bCs/>
                <w:color w:val="FFFFFF"/>
              </w:rPr>
              <w:t>2014</w:t>
            </w:r>
          </w:p>
        </w:tc>
        <w:tc>
          <w:tcPr>
            <w:tcW w:w="703" w:type="pct"/>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81" w:type="pct"/>
            <w:tcBorders>
              <w:top w:val="nil"/>
              <w:left w:val="single" w:sz="4"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625" w:type="pct"/>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5000" w:type="pct"/>
          <w:tblLayout w:type="fixed"/>
          <w:tblCellMar>
            <w:left w:w="70" w:type="dxa"/>
            <w:right w:w="70" w:type="dxa"/>
          </w:tblCellMar>
          <w:tblLook w:val="04A0"/>
        </w:tblPrEx>
        <w:trPr>
          <w:trHeight w:val="960"/>
        </w:trPr>
        <w:tc>
          <w:tcPr>
            <w:tcW w:w="2188" w:type="pct"/>
            <w:tcBorders>
              <w:top w:val="nil"/>
              <w:left w:val="single" w:sz="8" w:space="0" w:color="auto"/>
              <w:bottom w:val="single" w:sz="8" w:space="0" w:color="auto"/>
              <w:right w:val="single" w:sz="4" w:space="0" w:color="auto"/>
            </w:tcBorders>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Celkový vplyv na rozpočet verejnej správy (- príjmy, + výdavky resp. zníženie príjmov)</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b/>
                <w:bCs/>
              </w:rPr>
            </w:pPr>
            <w:r w:rsidRPr="008B17B1">
              <w:rPr>
                <w:rFonts w:ascii="Times New Roman" w:hAnsi="Times New Roman"/>
                <w:b/>
                <w:bCs/>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265 270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297 223</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296 886</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 toho vplyv na ŠR</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207 843</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216 180</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215 970</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207 843</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216 180</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215 970</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Obce</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58 893</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76 881</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77 593</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VÚC</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-1 466</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2 681</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1 556</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 toho vplyv na Sociálnu poisťovňu</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1 041</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1 242</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 toho vplyv na zdravotné poisťovne</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440</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525</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financovanie zabezpečené v rozpočte</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ostatné zdroje financovania</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rPr>
            </w:pPr>
            <w:r w:rsidRPr="00AE0CC3">
              <w:rPr>
                <w:rFonts w:ascii="Times New Roman" w:hAnsi="Times New Roman"/>
              </w:rPr>
              <w:t>0</w:t>
            </w:r>
          </w:p>
        </w:tc>
      </w:tr>
      <w:tr>
        <w:tblPrEx>
          <w:tblW w:w="5000" w:type="pct"/>
          <w:tblLayout w:type="fixed"/>
          <w:tblCellMar>
            <w:left w:w="70" w:type="dxa"/>
            <w:right w:w="70" w:type="dxa"/>
          </w:tblCellMar>
          <w:tblLook w:val="04A0"/>
        </w:tblPrEx>
        <w:trPr>
          <w:trHeight w:val="345"/>
        </w:trPr>
        <w:tc>
          <w:tcPr>
            <w:tcW w:w="2188"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Rozpočtovo nekrytý vplyv / úspora *</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b/>
                <w:bCs/>
              </w:rPr>
            </w:pPr>
            <w:r w:rsidRPr="008B17B1">
              <w:rPr>
                <w:rFonts w:ascii="Times New Roman" w:hAnsi="Times New Roman"/>
                <w:b/>
                <w:bCs/>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-265 270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-297 223</w:t>
            </w:r>
          </w:p>
        </w:tc>
        <w:tc>
          <w:tcPr>
            <w:tcW w:w="625" w:type="pct"/>
            <w:tcBorders>
              <w:top w:val="nil"/>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rPr>
            </w:pPr>
            <w:r w:rsidRPr="00AE0CC3">
              <w:rPr>
                <w:rFonts w:ascii="Times New Roman" w:hAnsi="Times New Roman"/>
                <w:b/>
                <w:bCs/>
              </w:rPr>
              <w:t>-296 886</w:t>
            </w:r>
          </w:p>
        </w:tc>
      </w:tr>
      <w:tr>
        <w:tblPrEx>
          <w:tblW w:w="5000" w:type="pct"/>
          <w:tblLayout w:type="fixed"/>
          <w:tblCellMar>
            <w:left w:w="70" w:type="dxa"/>
            <w:right w:w="70" w:type="dxa"/>
          </w:tblCellMar>
          <w:tblLook w:val="04A0"/>
        </w:tblPrEx>
        <w:trPr>
          <w:trHeight w:val="330"/>
        </w:trPr>
        <w:tc>
          <w:tcPr>
            <w:tcW w:w="2188" w:type="pct"/>
            <w:tcBorders>
              <w:top w:val="nil"/>
              <w:left w:val="nil"/>
              <w:bottom w:val="nil"/>
              <w:right w:val="nil"/>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úspora má znamienko (-)</w:t>
            </w:r>
          </w:p>
        </w:tc>
        <w:tc>
          <w:tcPr>
            <w:tcW w:w="703" w:type="pct"/>
            <w:tcBorders>
              <w:top w:val="single" w:sz="4" w:space="0" w:color="auto"/>
              <w:left w:val="nil"/>
              <w:bottom w:val="nil"/>
              <w:right w:val="nil"/>
            </w:tcBorders>
            <w:textDirection w:val="lrTb"/>
            <w:vAlign w:val="top"/>
          </w:tcPr>
          <w:p w:rsidR="004F4B99" w:rsidRPr="0012245E" w:rsidP="004F4B99">
            <w:pPr>
              <w:bidi w:val="0"/>
              <w:rPr>
                <w:rFonts w:ascii="Times New Roman" w:hAnsi="Times New Roman"/>
                <w:color w:val="000000"/>
              </w:rPr>
            </w:pPr>
          </w:p>
        </w:tc>
        <w:tc>
          <w:tcPr>
            <w:tcW w:w="703" w:type="pct"/>
            <w:tcBorders>
              <w:top w:val="single" w:sz="4" w:space="0" w:color="auto"/>
              <w:left w:val="nil"/>
              <w:bottom w:val="nil"/>
              <w:right w:val="nil"/>
            </w:tcBorders>
            <w:noWrap/>
            <w:textDirection w:val="lrTb"/>
            <w:vAlign w:val="center"/>
            <w:hideMark/>
          </w:tcPr>
          <w:p w:rsidR="004F4B99" w:rsidRPr="0012245E" w:rsidP="004F4B99">
            <w:pPr>
              <w:bidi w:val="0"/>
              <w:rPr>
                <w:rFonts w:ascii="Times New Roman" w:hAnsi="Times New Roman"/>
                <w:color w:val="000000"/>
              </w:rPr>
            </w:pPr>
          </w:p>
        </w:tc>
        <w:tc>
          <w:tcPr>
            <w:tcW w:w="781" w:type="pct"/>
            <w:tcBorders>
              <w:top w:val="nil"/>
              <w:left w:val="nil"/>
              <w:bottom w:val="nil"/>
              <w:right w:val="nil"/>
            </w:tcBorders>
            <w:noWrap/>
            <w:textDirection w:val="lrTb"/>
            <w:vAlign w:val="center"/>
            <w:hideMark/>
          </w:tcPr>
          <w:p w:rsidR="004F4B99" w:rsidRPr="0012245E" w:rsidP="004F4B99">
            <w:pPr>
              <w:bidi w:val="0"/>
              <w:rPr>
                <w:rFonts w:ascii="Times New Roman" w:hAnsi="Times New Roman"/>
                <w:color w:val="000000"/>
              </w:rPr>
            </w:pPr>
          </w:p>
        </w:tc>
        <w:tc>
          <w:tcPr>
            <w:tcW w:w="625" w:type="pct"/>
            <w:tcBorders>
              <w:top w:val="nil"/>
              <w:left w:val="nil"/>
              <w:bottom w:val="nil"/>
              <w:right w:val="nil"/>
            </w:tcBorders>
            <w:noWrap/>
            <w:textDirection w:val="lrTb"/>
            <w:vAlign w:val="center"/>
            <w:hideMark/>
          </w:tcPr>
          <w:p w:rsidR="004F4B99" w:rsidRPr="0012245E" w:rsidP="004F4B99">
            <w:pPr>
              <w:bidi w:val="0"/>
              <w:rPr>
                <w:rFonts w:ascii="Times New Roman" w:hAnsi="Times New Roman"/>
                <w:color w:val="000000"/>
              </w:rPr>
            </w:pPr>
          </w:p>
        </w:tc>
      </w:tr>
    </w:tbl>
    <w:p w:rsidR="004F4B99" w:rsidP="004F4B99">
      <w:pPr>
        <w:bidi w:val="0"/>
        <w:rPr>
          <w:rFonts w:ascii="Times New Roman" w:hAnsi="Times New Roman"/>
          <w:b/>
          <w:bCs/>
        </w:rPr>
      </w:pPr>
    </w:p>
    <w:tbl>
      <w:tblPr>
        <w:tblStyle w:val="TableNormal"/>
        <w:tblW w:w="5000" w:type="pct"/>
        <w:tblLayout w:type="fixed"/>
        <w:tblCellMar>
          <w:left w:w="70" w:type="dxa"/>
          <w:right w:w="70" w:type="dxa"/>
        </w:tblCellMar>
        <w:tblLook w:val="04A0"/>
      </w:tblPr>
      <w:tblGrid>
        <w:gridCol w:w="4174"/>
        <w:gridCol w:w="1152"/>
        <w:gridCol w:w="1295"/>
        <w:gridCol w:w="1439"/>
        <w:gridCol w:w="1152"/>
      </w:tblGrid>
      <w:tr>
        <w:tblPrEx>
          <w:tblW w:w="5000" w:type="pct"/>
          <w:tblLayout w:type="fixed"/>
          <w:tblCellMar>
            <w:left w:w="70" w:type="dxa"/>
            <w:right w:w="70" w:type="dxa"/>
          </w:tblCellMar>
          <w:tblLook w:val="04A0"/>
        </w:tblPrEx>
        <w:trPr>
          <w:trHeight w:val="345"/>
        </w:trPr>
        <w:tc>
          <w:tcPr>
            <w:tcW w:w="2266" w:type="pct"/>
            <w:tcBorders>
              <w:top w:val="nil"/>
              <w:left w:val="nil"/>
              <w:bottom w:val="nil"/>
              <w:right w:val="nil"/>
            </w:tcBorders>
            <w:noWrap/>
            <w:textDirection w:val="lrTb"/>
            <w:vAlign w:val="bottom"/>
            <w:hideMark/>
          </w:tcPr>
          <w:p w:rsidR="004F4B99" w:rsidRPr="0012245E" w:rsidP="004F4B99">
            <w:pPr>
              <w:bidi w:val="0"/>
              <w:rPr>
                <w:rFonts w:ascii="Times New Roman" w:hAnsi="Times New Roman"/>
                <w:color w:val="000000"/>
              </w:rPr>
            </w:pPr>
          </w:p>
        </w:tc>
        <w:tc>
          <w:tcPr>
            <w:tcW w:w="625" w:type="pct"/>
            <w:tcBorders>
              <w:top w:val="nil"/>
              <w:left w:val="nil"/>
              <w:bottom w:val="nil"/>
              <w:right w:val="nil"/>
            </w:tcBorders>
            <w:textDirection w:val="lrTb"/>
            <w:vAlign w:val="top"/>
          </w:tcPr>
          <w:p w:rsidR="004F4B99" w:rsidRPr="0012245E" w:rsidP="004F4B99">
            <w:pPr>
              <w:bidi w:val="0"/>
              <w:rPr>
                <w:rFonts w:ascii="Times New Roman" w:hAnsi="Times New Roman"/>
                <w:color w:val="000000"/>
              </w:rPr>
            </w:pPr>
          </w:p>
        </w:tc>
        <w:tc>
          <w:tcPr>
            <w:tcW w:w="703" w:type="pct"/>
            <w:tcBorders>
              <w:top w:val="nil"/>
              <w:left w:val="nil"/>
              <w:bottom w:val="nil"/>
              <w:right w:val="nil"/>
            </w:tcBorders>
            <w:noWrap/>
            <w:textDirection w:val="lrTb"/>
            <w:vAlign w:val="bottom"/>
            <w:hideMark/>
          </w:tcPr>
          <w:p w:rsidR="004F4B99" w:rsidRPr="0012245E" w:rsidP="004F4B99">
            <w:pPr>
              <w:bidi w:val="0"/>
              <w:rPr>
                <w:rFonts w:ascii="Times New Roman" w:hAnsi="Times New Roman"/>
                <w:color w:val="000000"/>
              </w:rPr>
            </w:pPr>
          </w:p>
        </w:tc>
        <w:tc>
          <w:tcPr>
            <w:tcW w:w="1406" w:type="pct"/>
            <w:gridSpan w:val="2"/>
            <w:tcBorders>
              <w:top w:val="nil"/>
              <w:left w:val="nil"/>
              <w:bottom w:val="nil"/>
              <w:right w:val="nil"/>
            </w:tcBorders>
            <w:noWrap/>
            <w:textDirection w:val="lrTb"/>
            <w:vAlign w:val="bottom"/>
            <w:hideMark/>
          </w:tcPr>
          <w:p w:rsidR="004F4B99" w:rsidRPr="0012245E" w:rsidP="004F4B99">
            <w:pPr>
              <w:bidi w:val="0"/>
              <w:jc w:val="right"/>
              <w:rPr>
                <w:rFonts w:ascii="Times New Roman" w:hAnsi="Times New Roman"/>
                <w:color w:val="000000"/>
              </w:rPr>
            </w:pPr>
          </w:p>
        </w:tc>
      </w:tr>
      <w:tr>
        <w:tblPrEx>
          <w:tblW w:w="5000" w:type="pct"/>
          <w:tblLayout w:type="fixed"/>
          <w:tblCellMar>
            <w:left w:w="70" w:type="dxa"/>
            <w:right w:w="70" w:type="dxa"/>
          </w:tblCellMar>
          <w:tblLook w:val="04A0"/>
        </w:tblPrEx>
        <w:trPr>
          <w:trHeight w:val="345"/>
        </w:trPr>
        <w:tc>
          <w:tcPr>
            <w:tcW w:w="2266" w:type="pct"/>
            <w:vMerge w:val="restart"/>
            <w:tcBorders>
              <w:top w:val="single" w:sz="8" w:space="0" w:color="auto"/>
              <w:left w:val="single" w:sz="8" w:space="0" w:color="auto"/>
              <w:bottom w:val="single" w:sz="8" w:space="0" w:color="000000"/>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Financovanie (v tis. eur)</w:t>
            </w:r>
          </w:p>
        </w:tc>
        <w:tc>
          <w:tcPr>
            <w:tcW w:w="2734" w:type="pct"/>
            <w:gridSpan w:val="4"/>
            <w:tcBorders>
              <w:top w:val="single" w:sz="8" w:space="0" w:color="auto"/>
              <w:left w:val="single" w:sz="8" w:space="0" w:color="auto"/>
              <w:bottom w:val="single" w:sz="8" w:space="0" w:color="auto"/>
              <w:right w:val="single" w:sz="8" w:space="0" w:color="000000"/>
            </w:tcBorders>
            <w:shd w:val="clear" w:color="000000" w:fill="000000"/>
            <w:textDirection w:val="lrTb"/>
            <w:vAlign w:val="top"/>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w:t>
            </w:r>
            <w:r>
              <w:rPr>
                <w:rFonts w:ascii="Times New Roman" w:hAnsi="Times New Roman"/>
                <w:b/>
                <w:bCs/>
                <w:color w:val="FFFFFF"/>
              </w:rPr>
              <w:t xml:space="preserve"> rozpočet verejnej správy (cash</w:t>
            </w:r>
            <w:r w:rsidRPr="0012245E">
              <w:rPr>
                <w:rFonts w:ascii="Times New Roman" w:hAnsi="Times New Roman"/>
                <w:b/>
                <w:bCs/>
                <w:color w:val="FFFFFF"/>
              </w:rPr>
              <w:t>)</w:t>
            </w:r>
          </w:p>
        </w:tc>
      </w:tr>
      <w:tr>
        <w:tblPrEx>
          <w:tblW w:w="5000" w:type="pct"/>
          <w:tblLayout w:type="fixed"/>
          <w:tblCellMar>
            <w:left w:w="70" w:type="dxa"/>
            <w:right w:w="70" w:type="dxa"/>
          </w:tblCellMar>
          <w:tblLook w:val="04A0"/>
        </w:tblPrEx>
        <w:trPr>
          <w:trHeight w:val="345"/>
        </w:trPr>
        <w:tc>
          <w:tcPr>
            <w:tcW w:w="2266" w:type="pct"/>
            <w:vMerge/>
            <w:tcBorders>
              <w:top w:val="single" w:sz="8" w:space="0" w:color="auto"/>
              <w:left w:val="single" w:sz="8" w:space="0" w:color="auto"/>
              <w:bottom w:val="single" w:sz="8" w:space="0" w:color="000000"/>
              <w:right w:val="single" w:sz="4"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625" w:type="pct"/>
            <w:tcBorders>
              <w:top w:val="single" w:sz="4" w:space="0" w:color="auto"/>
              <w:left w:val="single" w:sz="4" w:space="0" w:color="auto"/>
              <w:bottom w:val="single" w:sz="4" w:space="0" w:color="auto"/>
              <w:right w:val="single" w:sz="4" w:space="0" w:color="auto"/>
            </w:tcBorders>
            <w:shd w:val="clear" w:color="000000" w:fill="000000"/>
            <w:textDirection w:val="lrTb"/>
            <w:vAlign w:val="top"/>
          </w:tcPr>
          <w:p w:rsidR="004F4B99" w:rsidRPr="0012245E" w:rsidP="004F4B99">
            <w:pPr>
              <w:bidi w:val="0"/>
              <w:jc w:val="center"/>
              <w:rPr>
                <w:rFonts w:ascii="Times New Roman" w:hAnsi="Times New Roman"/>
                <w:b/>
                <w:bCs/>
                <w:color w:val="FFFFFF"/>
              </w:rPr>
            </w:pPr>
            <w:r>
              <w:rPr>
                <w:rFonts w:ascii="Times New Roman" w:hAnsi="Times New Roman"/>
                <w:b/>
                <w:bCs/>
                <w:color w:val="FFFFFF"/>
              </w:rPr>
              <w:t>2014</w:t>
            </w:r>
          </w:p>
        </w:tc>
        <w:tc>
          <w:tcPr>
            <w:tcW w:w="703" w:type="pct"/>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781" w:type="pct"/>
            <w:tcBorders>
              <w:top w:val="nil"/>
              <w:left w:val="single" w:sz="4"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625" w:type="pct"/>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5000" w:type="pct"/>
          <w:tblLayout w:type="fixed"/>
          <w:tblCellMar>
            <w:left w:w="70" w:type="dxa"/>
            <w:right w:w="70" w:type="dxa"/>
          </w:tblCellMar>
          <w:tblLook w:val="04A0"/>
        </w:tblPrEx>
        <w:trPr>
          <w:trHeight w:val="960"/>
        </w:trPr>
        <w:tc>
          <w:tcPr>
            <w:tcW w:w="2266" w:type="pct"/>
            <w:tcBorders>
              <w:top w:val="nil"/>
              <w:left w:val="single" w:sz="8" w:space="0" w:color="auto"/>
              <w:bottom w:val="single" w:sz="8" w:space="0" w:color="auto"/>
              <w:right w:val="single" w:sz="4" w:space="0" w:color="auto"/>
            </w:tcBorders>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Celkový vplyv na rozpočet verejnej správy (- príjmy, + výdavky resp. zníženie príjmov)</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b/>
                <w:bCs/>
              </w:rPr>
            </w:pPr>
            <w:r w:rsidRPr="008B17B1">
              <w:rPr>
                <w:rFonts w:ascii="Times New Roman" w:hAnsi="Times New Roman"/>
                <w:b/>
                <w:bCs/>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31 168</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502 031</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306 540</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 toho vplyv na ŠR</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-26 259</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420 988</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225 624</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xml:space="preserve"> - Všeobecná pokladničná správa</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-26 259</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420 988</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225 624</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Obce</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58 893</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76 881</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77 593</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VÚC</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-1 466</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2 681</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1 556</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 toho vplyv na Sociálnu poisťovňu</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1 041</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1 242</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 toho vplyv na zdravotné poisťovne</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440</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525</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financovanie zabezpečené v rozpočte</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ostatné zdroje financovania</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rPr>
            </w:pPr>
            <w:r w:rsidRPr="008B17B1">
              <w:rPr>
                <w:rFonts w:ascii="Times New Roman" w:hAnsi="Times New Roman"/>
              </w:rPr>
              <w:t>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rPr>
            </w:pPr>
            <w:r w:rsidRPr="008B17B1">
              <w:rPr>
                <w:rFonts w:ascii="Times New Roman" w:hAnsi="Times New Roman"/>
              </w:rPr>
              <w:t>0</w:t>
            </w:r>
          </w:p>
        </w:tc>
      </w:tr>
      <w:tr>
        <w:tblPrEx>
          <w:tblW w:w="5000" w:type="pct"/>
          <w:tblLayout w:type="fixed"/>
          <w:tblCellMar>
            <w:left w:w="70" w:type="dxa"/>
            <w:right w:w="70" w:type="dxa"/>
          </w:tblCellMar>
          <w:tblLook w:val="04A0"/>
        </w:tblPrEx>
        <w:trPr>
          <w:trHeight w:val="345"/>
        </w:trPr>
        <w:tc>
          <w:tcPr>
            <w:tcW w:w="2266" w:type="pct"/>
            <w:tcBorders>
              <w:top w:val="nil"/>
              <w:left w:val="single" w:sz="8" w:space="0" w:color="auto"/>
              <w:bottom w:val="single" w:sz="8" w:space="0" w:color="auto"/>
              <w:right w:val="single" w:sz="4"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Rozpočtovo nekrytý vplyv / úspora *</w:t>
            </w:r>
          </w:p>
        </w:tc>
        <w:tc>
          <w:tcPr>
            <w:tcW w:w="625" w:type="pct"/>
            <w:tcBorders>
              <w:top w:val="single" w:sz="4" w:space="0" w:color="auto"/>
              <w:left w:val="single" w:sz="4" w:space="0" w:color="auto"/>
              <w:bottom w:val="single" w:sz="4" w:space="0" w:color="auto"/>
              <w:right w:val="single" w:sz="4" w:space="0" w:color="auto"/>
            </w:tcBorders>
            <w:textDirection w:val="lrTb"/>
            <w:vAlign w:val="center"/>
          </w:tcPr>
          <w:p w:rsidR="004F4B99" w:rsidRPr="008B17B1" w:rsidP="004F4B99">
            <w:pPr>
              <w:bidi w:val="0"/>
              <w:jc w:val="right"/>
              <w:rPr>
                <w:rFonts w:ascii="Times New Roman" w:hAnsi="Times New Roman"/>
                <w:b/>
                <w:bCs/>
              </w:rPr>
            </w:pPr>
            <w:r w:rsidRPr="008B17B1">
              <w:rPr>
                <w:rFonts w:ascii="Times New Roman" w:hAnsi="Times New Roman"/>
                <w:b/>
                <w:bCs/>
              </w:rPr>
              <w:t>600</w:t>
            </w:r>
          </w:p>
        </w:tc>
        <w:tc>
          <w:tcPr>
            <w:tcW w:w="703" w:type="pct"/>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-31 168</w:t>
            </w:r>
          </w:p>
        </w:tc>
        <w:tc>
          <w:tcPr>
            <w:tcW w:w="781" w:type="pct"/>
            <w:tcBorders>
              <w:top w:val="nil"/>
              <w:left w:val="single" w:sz="4" w:space="0" w:color="auto"/>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-502 031</w:t>
            </w:r>
          </w:p>
        </w:tc>
        <w:tc>
          <w:tcPr>
            <w:tcW w:w="625" w:type="pct"/>
            <w:tcBorders>
              <w:top w:val="nil"/>
              <w:left w:val="nil"/>
              <w:bottom w:val="single" w:sz="8" w:space="0" w:color="auto"/>
              <w:right w:val="single" w:sz="8" w:space="0" w:color="auto"/>
            </w:tcBorders>
            <w:noWrap/>
            <w:textDirection w:val="lrTb"/>
            <w:vAlign w:val="center"/>
            <w:hideMark/>
          </w:tcPr>
          <w:p w:rsidR="004F4B99" w:rsidRPr="008B17B1" w:rsidP="004F4B99">
            <w:pPr>
              <w:bidi w:val="0"/>
              <w:jc w:val="right"/>
              <w:rPr>
                <w:rFonts w:ascii="Times New Roman" w:hAnsi="Times New Roman"/>
                <w:b/>
                <w:bCs/>
              </w:rPr>
            </w:pPr>
            <w:r w:rsidRPr="008B17B1">
              <w:rPr>
                <w:rFonts w:ascii="Times New Roman" w:hAnsi="Times New Roman"/>
                <w:b/>
                <w:bCs/>
              </w:rPr>
              <w:t>-306 540</w:t>
            </w:r>
          </w:p>
        </w:tc>
      </w:tr>
      <w:tr>
        <w:tblPrEx>
          <w:tblW w:w="5000" w:type="pct"/>
          <w:tblLayout w:type="fixed"/>
          <w:tblCellMar>
            <w:left w:w="70" w:type="dxa"/>
            <w:right w:w="70" w:type="dxa"/>
          </w:tblCellMar>
          <w:tblLook w:val="04A0"/>
        </w:tblPrEx>
        <w:trPr>
          <w:trHeight w:val="330"/>
        </w:trPr>
        <w:tc>
          <w:tcPr>
            <w:tcW w:w="2266" w:type="pct"/>
            <w:tcBorders>
              <w:top w:val="nil"/>
              <w:left w:val="nil"/>
              <w:bottom w:val="nil"/>
              <w:right w:val="nil"/>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 úspora má znamienko (-)</w:t>
            </w:r>
          </w:p>
        </w:tc>
        <w:tc>
          <w:tcPr>
            <w:tcW w:w="625" w:type="pct"/>
            <w:tcBorders>
              <w:top w:val="single" w:sz="4" w:space="0" w:color="auto"/>
              <w:left w:val="nil"/>
              <w:bottom w:val="nil"/>
              <w:right w:val="nil"/>
            </w:tcBorders>
            <w:textDirection w:val="lrTb"/>
            <w:vAlign w:val="top"/>
          </w:tcPr>
          <w:p w:rsidR="004F4B99" w:rsidRPr="0012245E" w:rsidP="004F4B99">
            <w:pPr>
              <w:bidi w:val="0"/>
              <w:rPr>
                <w:rFonts w:ascii="Times New Roman" w:hAnsi="Times New Roman"/>
                <w:color w:val="000000"/>
              </w:rPr>
            </w:pPr>
          </w:p>
        </w:tc>
        <w:tc>
          <w:tcPr>
            <w:tcW w:w="703" w:type="pct"/>
            <w:tcBorders>
              <w:top w:val="single" w:sz="4" w:space="0" w:color="auto"/>
              <w:left w:val="nil"/>
              <w:bottom w:val="nil"/>
              <w:right w:val="nil"/>
            </w:tcBorders>
            <w:noWrap/>
            <w:textDirection w:val="lrTb"/>
            <w:vAlign w:val="center"/>
            <w:hideMark/>
          </w:tcPr>
          <w:p w:rsidR="004F4B99" w:rsidRPr="0012245E" w:rsidP="004F4B99">
            <w:pPr>
              <w:bidi w:val="0"/>
              <w:rPr>
                <w:rFonts w:ascii="Times New Roman" w:hAnsi="Times New Roman"/>
                <w:color w:val="000000"/>
              </w:rPr>
            </w:pPr>
          </w:p>
        </w:tc>
        <w:tc>
          <w:tcPr>
            <w:tcW w:w="781" w:type="pct"/>
            <w:tcBorders>
              <w:top w:val="nil"/>
              <w:left w:val="nil"/>
              <w:bottom w:val="nil"/>
              <w:right w:val="nil"/>
            </w:tcBorders>
            <w:noWrap/>
            <w:textDirection w:val="lrTb"/>
            <w:vAlign w:val="center"/>
            <w:hideMark/>
          </w:tcPr>
          <w:p w:rsidR="004F4B99" w:rsidRPr="0012245E" w:rsidP="004F4B99">
            <w:pPr>
              <w:bidi w:val="0"/>
              <w:rPr>
                <w:rFonts w:ascii="Times New Roman" w:hAnsi="Times New Roman"/>
                <w:color w:val="000000"/>
              </w:rPr>
            </w:pPr>
          </w:p>
        </w:tc>
        <w:tc>
          <w:tcPr>
            <w:tcW w:w="625" w:type="pct"/>
            <w:tcBorders>
              <w:top w:val="nil"/>
              <w:left w:val="nil"/>
              <w:bottom w:val="nil"/>
              <w:right w:val="nil"/>
            </w:tcBorders>
            <w:noWrap/>
            <w:textDirection w:val="lrTb"/>
            <w:vAlign w:val="center"/>
            <w:hideMark/>
          </w:tcPr>
          <w:p w:rsidR="004F4B99" w:rsidRPr="0012245E" w:rsidP="004F4B99">
            <w:pPr>
              <w:bidi w:val="0"/>
              <w:rPr>
                <w:rFonts w:ascii="Times New Roman" w:hAnsi="Times New Roman"/>
                <w:color w:val="000000"/>
              </w:rPr>
            </w:pPr>
          </w:p>
        </w:tc>
      </w:tr>
    </w:tbl>
    <w:p w:rsidR="004F4B99" w:rsidP="004F4B99">
      <w:pPr>
        <w:bidi w:val="0"/>
        <w:rPr>
          <w:rFonts w:ascii="Times New Roman" w:hAnsi="Times New Roman"/>
          <w:b/>
          <w:bCs/>
        </w:rPr>
      </w:pPr>
    </w:p>
    <w:p w:rsidR="004F4B99" w:rsidRPr="00323053" w:rsidP="004F4B99">
      <w:pPr>
        <w:bidi w:val="0"/>
        <w:rPr>
          <w:rFonts w:ascii="Times New Roman" w:hAnsi="Times New Roman"/>
        </w:rPr>
      </w:pPr>
      <w:r w:rsidRPr="00323053">
        <w:rPr>
          <w:rFonts w:ascii="Times New Roman" w:hAnsi="Times New Roman"/>
          <w:b/>
          <w:bCs/>
        </w:rPr>
        <w:t>Návrh na riešenie úbytku príjmov alebo zvýšených výdavkov podľa § 33 ods. 1 zákona č. 523/2004 Z. z. o rozpočtových pravidlách verejnej správy:</w:t>
      </w:r>
    </w:p>
    <w:p w:rsidR="004F4B99" w:rsidRPr="00323053" w:rsidP="004F4B99">
      <w:pPr>
        <w:pBdr>
          <w:top w:val="single" w:sz="4" w:space="1" w:color="000000"/>
          <w:left w:val="single" w:sz="4" w:space="0"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4F4B99" w:rsidRPr="00323053" w:rsidP="004F4B99">
      <w:pPr>
        <w:pBdr>
          <w:top w:val="single" w:sz="4" w:space="1" w:color="000000"/>
          <w:left w:val="single" w:sz="4" w:space="0"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4F4B99" w:rsidRPr="00323053" w:rsidP="004F4B99">
      <w:pPr>
        <w:pBdr>
          <w:top w:val="single" w:sz="4" w:space="1" w:color="000000"/>
          <w:left w:val="single" w:sz="4" w:space="0"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4F4B99" w:rsidRPr="00542DBA" w:rsidP="004F4B99">
      <w:pPr>
        <w:pBdr>
          <w:top w:val="single" w:sz="4" w:space="1" w:color="000000"/>
          <w:left w:val="single" w:sz="4" w:space="0" w:color="000000"/>
          <w:bottom w:val="single" w:sz="4" w:space="1" w:color="000000"/>
          <w:right w:val="single" w:sz="4" w:space="4" w:color="000000"/>
        </w:pBdr>
        <w:bidi w:val="0"/>
        <w:rPr>
          <w:rFonts w:ascii="Times New Roman" w:hAnsi="Times New Roman"/>
          <w:bCs/>
        </w:rPr>
      </w:pPr>
      <w:r w:rsidRPr="00323053">
        <w:rPr>
          <w:rFonts w:ascii="Times New Roman" w:hAnsi="Times New Roman"/>
          <w:b/>
          <w:bCs/>
        </w:rPr>
        <w:t> </w:t>
      </w:r>
    </w:p>
    <w:p w:rsidR="004F4B99" w:rsidP="004F4B99">
      <w:pPr>
        <w:bidi w:val="0"/>
        <w:rPr>
          <w:rFonts w:ascii="Times New Roman" w:hAnsi="Times New Roman"/>
          <w:b/>
          <w:bCs/>
          <w:highlight w:val="yellow"/>
        </w:rPr>
      </w:pPr>
    </w:p>
    <w:p w:rsidR="004F4B99" w:rsidRPr="00BE5143" w:rsidP="004F4B99">
      <w:pPr>
        <w:bidi w:val="0"/>
        <w:rPr>
          <w:rFonts w:ascii="Times New Roman" w:hAnsi="Times New Roman"/>
        </w:rPr>
      </w:pPr>
      <w:r w:rsidRPr="00BE5143">
        <w:rPr>
          <w:rFonts w:ascii="Times New Roman" w:hAnsi="Times New Roman"/>
          <w:b/>
          <w:bCs/>
        </w:rPr>
        <w:t>2.3. Popis a charakteristika návrhu</w:t>
      </w:r>
    </w:p>
    <w:p w:rsidR="004F4B99" w:rsidRPr="00BE5143" w:rsidP="004F4B99">
      <w:pPr>
        <w:bidi w:val="0"/>
        <w:rPr>
          <w:rFonts w:ascii="Times New Roman" w:hAnsi="Times New Roman"/>
        </w:rPr>
      </w:pPr>
      <w:r w:rsidRPr="00BE5143">
        <w:rPr>
          <w:rFonts w:ascii="Times New Roman" w:hAnsi="Times New Roman"/>
        </w:rPr>
        <w:t> </w:t>
      </w:r>
    </w:p>
    <w:p w:rsidR="004F4B99" w:rsidRPr="00BE5143" w:rsidP="004F4B99">
      <w:pPr>
        <w:bidi w:val="0"/>
        <w:jc w:val="both"/>
        <w:rPr>
          <w:rFonts w:ascii="Times New Roman" w:hAnsi="Times New Roman"/>
        </w:rPr>
      </w:pPr>
      <w:r w:rsidRPr="00BE5143">
        <w:rPr>
          <w:rFonts w:ascii="Times New Roman" w:hAnsi="Times New Roman"/>
          <w:b/>
          <w:bCs/>
        </w:rPr>
        <w:t>2.3.1. Popis návrhu:</w:t>
      </w:r>
    </w:p>
    <w:p w:rsidR="004F4B99" w:rsidRPr="00BE5143" w:rsidP="004F4B99">
      <w:pPr>
        <w:bidi w:val="0"/>
        <w:jc w:val="both"/>
        <w:rPr>
          <w:rFonts w:ascii="Times New Roman" w:hAnsi="Times New Roman"/>
          <w:b/>
          <w:bCs/>
        </w:rPr>
      </w:pPr>
    </w:p>
    <w:p w:rsidR="004F4B99" w:rsidRPr="00BE5143" w:rsidP="004F4B99">
      <w:pPr>
        <w:bidi w:val="0"/>
        <w:jc w:val="both"/>
        <w:rPr>
          <w:rFonts w:ascii="Times New Roman" w:hAnsi="Times New Roman"/>
          <w:b/>
          <w:bCs/>
        </w:rPr>
      </w:pPr>
      <w:r w:rsidRPr="00BE5143">
        <w:rPr>
          <w:rFonts w:ascii="Times New Roman" w:hAnsi="Times New Roman"/>
          <w:b/>
          <w:bCs/>
        </w:rPr>
        <w:t xml:space="preserve">Návrh zákona, </w:t>
      </w:r>
      <w:r w:rsidRPr="00A854B8">
        <w:rPr>
          <w:rFonts w:ascii="Times New Roman" w:hAnsi="Times New Roman"/>
          <w:b/>
          <w:bCs/>
        </w:rPr>
        <w:t>ktorým sa mení a dopĺňa zákon č. 595/2003 Z. z. o dani z príjmov v znení neskorších predpisov a ktorým sa menia a dopĺňajú niektoré zákony</w:t>
      </w:r>
      <w:r w:rsidRPr="00BE5143">
        <w:rPr>
          <w:rFonts w:ascii="Times New Roman" w:hAnsi="Times New Roman"/>
          <w:b/>
          <w:bCs/>
        </w:rPr>
        <w:t>.</w:t>
      </w:r>
    </w:p>
    <w:p w:rsidR="004F4B99" w:rsidRPr="002E0F87" w:rsidP="004F4B99">
      <w:pPr>
        <w:bidi w:val="0"/>
        <w:jc w:val="both"/>
        <w:rPr>
          <w:rFonts w:ascii="Times New Roman" w:hAnsi="Times New Roman"/>
          <w:b/>
          <w:bCs/>
          <w:highlight w:val="yellow"/>
        </w:rPr>
      </w:pP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Zavedenie možnosti brutácie nepeňažného príjmu zamestnancov.</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Zavedenie novej 6. odpisovej skupiny s dobou odpisovania 40 rokov.</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Zavedenie limitovanej vstupnej ceny pre osobné automobily vo výške 48 000 eur v nadväznosti na výšku základu dane.</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Ponechanie zrýchlenej metódy odpisovania iba pre 2. a novú 3. odpisovú skupinu.</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Zjednotenie odpisovania hmotného majetku nadobudnutého formou finančného prenájmu s ostatnými formami obstarania hmotného majetku.</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Zmena zahrnovania členského príspevku vyplývajúceho z nepovinného členstva v právnickej osobe zriadenej na účel ochrany záujmov platiteľa - 5 % zo ZD maximálne do výšky 30 000 eur.</w:t>
      </w:r>
    </w:p>
    <w:p w:rsidR="004F4B99" w:rsidRPr="004F4B99" w:rsidP="004F4B99">
      <w:pPr>
        <w:pStyle w:val="ListParagraph"/>
        <w:numPr>
          <w:numId w:val="9"/>
        </w:numPr>
        <w:bidi w:val="0"/>
        <w:rPr>
          <w:rStyle w:val="PlaceholderText"/>
          <w:color w:val="000000"/>
          <w:sz w:val="24"/>
          <w:szCs w:val="24"/>
        </w:rPr>
      </w:pPr>
      <w:r w:rsidRPr="004F4B99">
        <w:rPr>
          <w:rStyle w:val="PlaceholderText"/>
          <w:color w:val="000000"/>
          <w:sz w:val="24"/>
          <w:szCs w:val="24"/>
        </w:rPr>
        <w:t xml:space="preserve">Zavedenie pravidiel nízkej kapitalizácie na prepojené obchodné spoločnosti (tuzemské aj zahraničné). </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Zavedenie povinnosti zahrnutia neodpočítanej DPH u daňovníka, ktorý uplatňuje nárok na jej odpočítanie koeficientom do vstupnej ceny hmotného a nehmotného majetku.</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Zmena spôsobu zahrnovania paušálnej náhrady nákladov spojených s uplatnením pohľadávok, zmluvnej pokuty, poplatkov z omeškania a úrokov z omeškania do základu dane.</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Zavedenie nového typu daňového zvýhodnenia pre daňovníkov, ktorí vykonávajú výskum a vývoj.</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Úprava valorizácie daňového bonusu.</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Možnosť uplatnenia úhrady za prevod členských práv</w:t>
      </w:r>
      <w:r w:rsidRPr="00806B71">
        <w:t xml:space="preserve"> </w:t>
      </w:r>
      <w:r w:rsidRPr="004F4B99">
        <w:rPr>
          <w:rStyle w:val="PlaceholderText"/>
          <w:color w:val="000000"/>
          <w:sz w:val="24"/>
          <w:szCs w:val="24"/>
        </w:rPr>
        <w:t>a povinností spojených s členstvom v bytovom družstve a iných poplatkov súvisiacich s hypotekárnym alebo stavebným úverom za daňové výdavky.</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Úprava výpočtu preddavkov na daň fyzickej osoby tak, aby daňovník platil preddavky na daň len z príjmov podľa § 5 a 6 zákona, ktoré majú charakter pravidelne vykonávanej činnosti.</w:t>
      </w:r>
    </w:p>
    <w:p w:rsidR="004F4B99" w:rsidRPr="004F4B99" w:rsidP="004F4B99">
      <w:pPr>
        <w:pStyle w:val="ListParagraph"/>
        <w:numPr>
          <w:numId w:val="9"/>
        </w:numPr>
        <w:bidi w:val="0"/>
        <w:spacing w:after="0" w:line="240" w:lineRule="auto"/>
        <w:jc w:val="both"/>
        <w:rPr>
          <w:rStyle w:val="PlaceholderText"/>
          <w:color w:val="000000"/>
          <w:sz w:val="24"/>
          <w:szCs w:val="24"/>
        </w:rPr>
      </w:pPr>
      <w:r w:rsidRPr="004F4B99">
        <w:rPr>
          <w:rStyle w:val="PlaceholderText"/>
          <w:color w:val="000000"/>
          <w:sz w:val="24"/>
          <w:szCs w:val="24"/>
        </w:rPr>
        <w:t>Rozšírenie povinnosti vedenia evidencie tržieb v elektronickej registračnej pokladnici.</w:t>
      </w:r>
    </w:p>
    <w:p w:rsidR="004F4B99" w:rsidRPr="004F4B99" w:rsidP="004F4B99">
      <w:pPr>
        <w:pStyle w:val="ListParagraph"/>
        <w:numPr>
          <w:numId w:val="9"/>
        </w:numPr>
        <w:bidi w:val="0"/>
        <w:jc w:val="both"/>
        <w:rPr>
          <w:rStyle w:val="PlaceholderText"/>
          <w:color w:val="000000"/>
          <w:sz w:val="24"/>
          <w:szCs w:val="24"/>
        </w:rPr>
      </w:pPr>
      <w:r w:rsidRPr="004F4B99">
        <w:rPr>
          <w:rStyle w:val="PlaceholderText"/>
          <w:color w:val="000000"/>
          <w:sz w:val="24"/>
          <w:szCs w:val="24"/>
        </w:rPr>
        <w:t>Zavedenie zrážkovej dane u farmaceutických spoločností z peňažných plnení poskytovaných lekárom.</w:t>
      </w:r>
    </w:p>
    <w:p w:rsidR="004F4B99" w:rsidRPr="004F4B99" w:rsidP="004F4B99">
      <w:pPr>
        <w:pStyle w:val="ListParagraph"/>
        <w:numPr>
          <w:numId w:val="9"/>
        </w:numPr>
        <w:bidi w:val="0"/>
        <w:jc w:val="both"/>
        <w:rPr>
          <w:rStyle w:val="PlaceholderText"/>
          <w:color w:val="000000"/>
          <w:sz w:val="24"/>
          <w:szCs w:val="24"/>
        </w:rPr>
      </w:pPr>
      <w:r w:rsidRPr="004F4B99">
        <w:rPr>
          <w:rStyle w:val="PlaceholderText"/>
          <w:color w:val="000000"/>
          <w:sz w:val="24"/>
          <w:szCs w:val="24"/>
        </w:rPr>
        <w:t>Úprava podielu obcí na výnose DPFO z 65,4 % na 68,5 %</w:t>
      </w:r>
    </w:p>
    <w:p w:rsidR="004F4B99" w:rsidRPr="00806B71" w:rsidP="004F4B99">
      <w:pPr>
        <w:pStyle w:val="ListParagraph"/>
        <w:numPr>
          <w:numId w:val="9"/>
        </w:numPr>
        <w:bidi w:val="0"/>
        <w:jc w:val="both"/>
        <w:rPr>
          <w:rFonts w:ascii="Times New Roman" w:hAnsi="Times New Roman"/>
          <w:color w:val="000000"/>
          <w:sz w:val="24"/>
          <w:szCs w:val="24"/>
        </w:rPr>
      </w:pPr>
      <w:r w:rsidRPr="004F4B99">
        <w:rPr>
          <w:rStyle w:val="PlaceholderText"/>
          <w:color w:val="000000"/>
          <w:sz w:val="24"/>
          <w:szCs w:val="24"/>
        </w:rPr>
        <w:t xml:space="preserve">Udelenie individuálnej licencie číselnej lotérii Eurojackpot </w:t>
      </w:r>
    </w:p>
    <w:p w:rsidR="004F4B99" w:rsidP="004F4B99">
      <w:pPr>
        <w:bidi w:val="0"/>
        <w:jc w:val="both"/>
        <w:rPr>
          <w:rFonts w:ascii="Times New Roman" w:hAnsi="Times New Roman"/>
        </w:rPr>
      </w:pPr>
      <w:r w:rsidRPr="00BE5143">
        <w:rPr>
          <w:rFonts w:ascii="Times New Roman" w:hAnsi="Times New Roman"/>
        </w:rPr>
        <w:t>Legislatívne zmeny bude implementovať Ministerstvo financií SR a Finančné riaditeľstvo SR</w:t>
      </w:r>
    </w:p>
    <w:p w:rsidR="004F4B99" w:rsidRPr="00BE5143" w:rsidP="004F4B99">
      <w:pPr>
        <w:bidi w:val="0"/>
        <w:jc w:val="both"/>
        <w:rPr>
          <w:rFonts w:ascii="Times New Roman" w:hAnsi="Times New Roman"/>
        </w:rPr>
      </w:pPr>
    </w:p>
    <w:p w:rsidR="004F4B99" w:rsidRPr="0012245E" w:rsidP="004F4B99">
      <w:pPr>
        <w:bidi w:val="0"/>
        <w:rPr>
          <w:rFonts w:ascii="Times New Roman" w:hAnsi="Times New Roman"/>
        </w:rPr>
      </w:pPr>
      <w:r w:rsidRPr="00BE5143">
        <w:rPr>
          <w:rFonts w:ascii="Times New Roman" w:hAnsi="Times New Roman"/>
          <w:b/>
          <w:bCs/>
        </w:rPr>
        <w:t>2.3.2. Charakteristika návrhu podľa</w:t>
      </w:r>
      <w:r w:rsidRPr="0012245E">
        <w:rPr>
          <w:rFonts w:ascii="Times New Roman" w:hAnsi="Times New Roman"/>
          <w:b/>
          <w:bCs/>
        </w:rPr>
        <w:t xml:space="preserve"> bodu  2.3.2. Metodiky :</w:t>
      </w:r>
    </w:p>
    <w:p w:rsidR="004F4B99" w:rsidRPr="0012245E" w:rsidP="004F4B99">
      <w:pPr>
        <w:bidi w:val="0"/>
        <w:rPr>
          <w:rFonts w:ascii="Times New Roman" w:hAnsi="Times New Roman"/>
        </w:rPr>
      </w:pPr>
      <w:r w:rsidRPr="0012245E">
        <w:rPr>
          <w:rFonts w:ascii="Times New Roman" w:hAnsi="Times New Roman"/>
        </w:rPr>
        <w:t> </w:t>
      </w:r>
    </w:p>
    <w:p w:rsidR="004F4B99" w:rsidRPr="0012245E" w:rsidP="004F4B99">
      <w:pPr>
        <w:bidi w:val="0"/>
        <w:rPr>
          <w:rFonts w:ascii="Times New Roman" w:hAnsi="Times New Roman"/>
        </w:rPr>
      </w:pPr>
      <w:r w:rsidRPr="0012245E">
        <w:rPr>
          <w:rFonts w:ascii="Times New Roman" w:hAnsi="Times New Roman"/>
          <w:b/>
          <w:bCs/>
          <w:bdr w:val="single" w:sz="4" w:space="0" w:color="000000" w:frame="1"/>
        </w:rPr>
        <w:t xml:space="preserve">     </w:t>
      </w:r>
      <w:r w:rsidRPr="0012245E">
        <w:rPr>
          <w:rFonts w:ascii="Times New Roman" w:hAnsi="Times New Roman"/>
          <w:b/>
          <w:bCs/>
        </w:rPr>
        <w:t xml:space="preserve">  </w:t>
      </w:r>
      <w:r w:rsidRPr="0012245E">
        <w:rPr>
          <w:rFonts w:ascii="Times New Roman" w:hAnsi="Times New Roman"/>
        </w:rPr>
        <w:t>zmena sadzby</w:t>
      </w:r>
    </w:p>
    <w:p w:rsidR="004F4B99" w:rsidRPr="0012245E" w:rsidP="004F4B99">
      <w:pPr>
        <w:bidi w:val="0"/>
        <w:rPr>
          <w:rFonts w:ascii="Times New Roman" w:hAnsi="Times New Roman"/>
        </w:rPr>
      </w:pPr>
      <w:r w:rsidRPr="0012245E">
        <w:rPr>
          <w:rFonts w:ascii="Times New Roman" w:hAnsi="Times New Roman"/>
          <w:bdr w:val="single" w:sz="4" w:space="0" w:color="000000" w:frame="1"/>
        </w:rPr>
        <w:t xml:space="preserve">     </w:t>
      </w:r>
      <w:r w:rsidRPr="0012245E">
        <w:rPr>
          <w:rFonts w:ascii="Times New Roman" w:hAnsi="Times New Roman"/>
        </w:rPr>
        <w:t>  zmena v nároku</w:t>
      </w:r>
    </w:p>
    <w:p w:rsidR="004F4B99" w:rsidRPr="0012245E" w:rsidP="004F4B99">
      <w:pPr>
        <w:bidi w:val="0"/>
        <w:rPr>
          <w:rFonts w:ascii="Times New Roman" w:hAnsi="Times New Roman"/>
        </w:rPr>
      </w:pPr>
      <w:r w:rsidRPr="0012245E">
        <w:rPr>
          <w:rFonts w:ascii="Times New Roman" w:hAnsi="Times New Roman"/>
          <w:bdr w:val="single" w:sz="4" w:space="0" w:color="000000" w:frame="1"/>
        </w:rPr>
        <w:t xml:space="preserve">     </w:t>
      </w:r>
      <w:r w:rsidRPr="0012245E">
        <w:rPr>
          <w:rFonts w:ascii="Times New Roman" w:hAnsi="Times New Roman"/>
        </w:rPr>
        <w:t>  nová služba alebo nariadenie (alebo ich zrušenie)</w:t>
      </w:r>
    </w:p>
    <w:p w:rsidR="004F4B99" w:rsidRPr="0012245E" w:rsidP="004F4B99">
      <w:pPr>
        <w:bidi w:val="0"/>
        <w:rPr>
          <w:rFonts w:ascii="Times New Roman" w:hAnsi="Times New Roman"/>
        </w:rPr>
      </w:pPr>
      <w:r w:rsidRPr="0012245E">
        <w:rPr>
          <w:rFonts w:ascii="Times New Roman" w:hAnsi="Times New Roman"/>
          <w:bdr w:val="single" w:sz="4" w:space="0" w:color="000000" w:frame="1"/>
        </w:rPr>
        <w:t>     </w:t>
      </w:r>
      <w:r w:rsidRPr="0012245E">
        <w:rPr>
          <w:rFonts w:ascii="Times New Roman" w:hAnsi="Times New Roman"/>
        </w:rPr>
        <w:t>  kombinovaný návrh</w:t>
      </w:r>
    </w:p>
    <w:p w:rsidR="004F4B99" w:rsidRPr="0012245E" w:rsidP="004F4B99">
      <w:pPr>
        <w:bidi w:val="0"/>
        <w:rPr>
          <w:rFonts w:ascii="Times New Roman" w:hAnsi="Times New Roman"/>
        </w:rPr>
      </w:pPr>
      <w:r w:rsidRPr="0012245E">
        <w:rPr>
          <w:rFonts w:ascii="Times New Roman" w:hAnsi="Times New Roman"/>
          <w:bdr w:val="single" w:sz="4" w:space="0" w:color="000000" w:frame="1"/>
        </w:rPr>
        <w:t xml:space="preserve"> x  </w:t>
      </w:r>
      <w:r w:rsidRPr="0012245E">
        <w:rPr>
          <w:rFonts w:ascii="Times New Roman" w:hAnsi="Times New Roman"/>
        </w:rPr>
        <w:t>  iné (rozšírenie základne pre výpočet dane z príjmov)</w:t>
      </w:r>
    </w:p>
    <w:p w:rsidR="004F4B99" w:rsidRPr="0012245E" w:rsidP="004F4B99">
      <w:pPr>
        <w:bidi w:val="0"/>
        <w:rPr>
          <w:rFonts w:ascii="Times New Roman" w:hAnsi="Times New Roman"/>
        </w:rPr>
      </w:pPr>
      <w:r w:rsidRPr="0012245E">
        <w:rPr>
          <w:rFonts w:ascii="Times New Roman" w:hAnsi="Times New Roman"/>
        </w:rPr>
        <w:t>  </w:t>
      </w:r>
    </w:p>
    <w:p w:rsidR="004F4B99" w:rsidP="004F4B99">
      <w:pPr>
        <w:bidi w:val="0"/>
        <w:rPr>
          <w:rFonts w:ascii="Times New Roman" w:hAnsi="Times New Roman"/>
          <w:b/>
          <w:bCs/>
        </w:rPr>
      </w:pPr>
      <w:r>
        <w:rPr>
          <w:rFonts w:ascii="Times New Roman" w:hAnsi="Times New Roman"/>
          <w:b/>
          <w:bCs/>
        </w:rPr>
        <w:t>2.</w:t>
      </w:r>
      <w:r w:rsidRPr="0012245E">
        <w:rPr>
          <w:rFonts w:ascii="Times New Roman" w:hAnsi="Times New Roman"/>
          <w:b/>
          <w:bCs/>
        </w:rPr>
        <w:t>3.3. Predpoklady vývoja objemu aktivít:</w:t>
      </w:r>
    </w:p>
    <w:p w:rsidR="00311A88" w:rsidRPr="0012245E" w:rsidP="004F4B99">
      <w:pPr>
        <w:bidi w:val="0"/>
        <w:rPr>
          <w:rFonts w:ascii="Times New Roman" w:hAnsi="Times New Roman"/>
        </w:rPr>
      </w:pPr>
    </w:p>
    <w:p w:rsidR="004F4B99" w:rsidRPr="0012245E" w:rsidP="004F4B99">
      <w:pPr>
        <w:bidi w:val="0"/>
        <w:rPr>
          <w:rFonts w:ascii="Times New Roman" w:hAnsi="Times New Roman"/>
        </w:rPr>
      </w:pPr>
      <w:r>
        <w:rPr>
          <w:rFonts w:ascii="Times New Roman" w:hAnsi="Times New Roman"/>
        </w:rPr>
        <w:t> </w:t>
      </w:r>
    </w:p>
    <w:p w:rsidR="004F4B99" w:rsidRPr="0012245E" w:rsidP="004F4B99">
      <w:pPr>
        <w:bidi w:val="0"/>
        <w:spacing w:line="276" w:lineRule="auto"/>
        <w:rPr>
          <w:rFonts w:ascii="Times New Roman" w:hAnsi="Times New Roman"/>
          <w:b/>
          <w:bCs/>
        </w:rPr>
      </w:pPr>
      <w:r>
        <w:rPr>
          <w:rFonts w:ascii="Times New Roman" w:hAnsi="Times New Roman"/>
          <w:b/>
          <w:bCs/>
        </w:rPr>
        <w:t>2.</w:t>
      </w:r>
      <w:r w:rsidRPr="0012245E">
        <w:rPr>
          <w:rFonts w:ascii="Times New Roman" w:hAnsi="Times New Roman"/>
          <w:b/>
          <w:bCs/>
        </w:rPr>
        <w:t>3.4. Výpočty vplyvov na verejné financie</w:t>
      </w:r>
    </w:p>
    <w:p w:rsidR="004F4B99" w:rsidRPr="0012245E" w:rsidP="004F4B99">
      <w:pPr>
        <w:autoSpaceDE w:val="0"/>
        <w:autoSpaceDN w:val="0"/>
        <w:bidi w:val="0"/>
        <w:adjustRightInd w:val="0"/>
        <w:spacing w:line="276" w:lineRule="auto"/>
        <w:ind w:firstLine="708"/>
        <w:jc w:val="both"/>
        <w:rPr>
          <w:rFonts w:ascii="Times New Roman" w:hAnsi="Times New Roman"/>
        </w:rPr>
      </w:pPr>
    </w:p>
    <w:p w:rsidR="004F4B99" w:rsidRPr="00A40779" w:rsidP="004F4B99">
      <w:pPr>
        <w:autoSpaceDE w:val="0"/>
        <w:autoSpaceDN w:val="0"/>
        <w:bidi w:val="0"/>
        <w:adjustRightInd w:val="0"/>
        <w:jc w:val="both"/>
        <w:rPr>
          <w:rFonts w:ascii="Times New Roman" w:hAnsi="Times New Roman"/>
        </w:rPr>
      </w:pPr>
      <w:r w:rsidRPr="00A40779">
        <w:rPr>
          <w:rFonts w:ascii="Times New Roman" w:hAnsi="Times New Roman"/>
        </w:rPr>
        <w:t xml:space="preserve">Kvantifikácia predpokladá pozitívny </w:t>
      </w:r>
      <w:r>
        <w:rPr>
          <w:rFonts w:ascii="Times New Roman" w:hAnsi="Times New Roman"/>
        </w:rPr>
        <w:t xml:space="preserve">akruálny </w:t>
      </w:r>
      <w:r w:rsidRPr="00A40779">
        <w:rPr>
          <w:rFonts w:ascii="Times New Roman" w:hAnsi="Times New Roman"/>
        </w:rPr>
        <w:t>vplyv na rozpočet verejnej správy na úrovni 264,</w:t>
      </w:r>
      <w:r>
        <w:rPr>
          <w:rFonts w:ascii="Times New Roman" w:hAnsi="Times New Roman"/>
        </w:rPr>
        <w:t>7 mil. </w:t>
      </w:r>
      <w:r w:rsidRPr="00A40779">
        <w:rPr>
          <w:rFonts w:ascii="Times New Roman" w:hAnsi="Times New Roman"/>
        </w:rPr>
        <w:t xml:space="preserve">eur v roku 2015, </w:t>
      </w:r>
      <w:r>
        <w:rPr>
          <w:rFonts w:ascii="Times New Roman" w:hAnsi="Times New Roman"/>
        </w:rPr>
        <w:t>297</w:t>
      </w:r>
      <w:r w:rsidRPr="00A40779">
        <w:rPr>
          <w:rFonts w:ascii="Times New Roman" w:hAnsi="Times New Roman"/>
        </w:rPr>
        <w:t>,</w:t>
      </w:r>
      <w:r>
        <w:rPr>
          <w:rFonts w:ascii="Times New Roman" w:hAnsi="Times New Roman"/>
        </w:rPr>
        <w:t>2</w:t>
      </w:r>
      <w:r w:rsidRPr="00A40779">
        <w:rPr>
          <w:rFonts w:ascii="Times New Roman" w:hAnsi="Times New Roman"/>
        </w:rPr>
        <w:t xml:space="preserve"> mil. eur v roku 2016 a vo výške </w:t>
      </w:r>
      <w:r>
        <w:rPr>
          <w:rFonts w:ascii="Times New Roman" w:hAnsi="Times New Roman"/>
        </w:rPr>
        <w:t>296</w:t>
      </w:r>
      <w:r w:rsidRPr="00A40779">
        <w:rPr>
          <w:rFonts w:ascii="Times New Roman" w:hAnsi="Times New Roman"/>
        </w:rPr>
        <w:t>,</w:t>
      </w:r>
      <w:r>
        <w:rPr>
          <w:rFonts w:ascii="Times New Roman" w:hAnsi="Times New Roman"/>
        </w:rPr>
        <w:t>9</w:t>
      </w:r>
      <w:r w:rsidRPr="00A40779">
        <w:rPr>
          <w:rFonts w:ascii="Times New Roman" w:hAnsi="Times New Roman"/>
        </w:rPr>
        <w:t xml:space="preserve"> mil. eur v roku 2017.</w:t>
      </w:r>
    </w:p>
    <w:p w:rsidR="004F4B99" w:rsidP="004F4B99">
      <w:pPr>
        <w:autoSpaceDE w:val="0"/>
        <w:autoSpaceDN w:val="0"/>
        <w:bidi w:val="0"/>
        <w:adjustRightInd w:val="0"/>
        <w:jc w:val="both"/>
        <w:rPr>
          <w:rFonts w:ascii="Times New Roman" w:hAnsi="Times New Roman"/>
          <w:b/>
          <w:highlight w:val="yellow"/>
        </w:rPr>
      </w:pPr>
    </w:p>
    <w:p w:rsidR="004F4B99" w:rsidRPr="002C21A0" w:rsidP="004F4B99">
      <w:pPr>
        <w:autoSpaceDE w:val="0"/>
        <w:autoSpaceDN w:val="0"/>
        <w:bidi w:val="0"/>
        <w:adjustRightInd w:val="0"/>
        <w:jc w:val="both"/>
        <w:rPr>
          <w:rFonts w:ascii="Times New Roman" w:hAnsi="Times New Roman"/>
          <w:b/>
        </w:rPr>
      </w:pPr>
      <w:r w:rsidRPr="002C21A0">
        <w:rPr>
          <w:rFonts w:ascii="Times New Roman" w:hAnsi="Times New Roman"/>
          <w:b/>
        </w:rPr>
        <w:t>Kvantifikácia príjmov</w:t>
      </w:r>
    </w:p>
    <w:p w:rsidR="004F4B99" w:rsidRPr="00BE5143" w:rsidP="004F4B99">
      <w:pPr>
        <w:tabs>
          <w:tab w:val="left" w:pos="1080"/>
        </w:tabs>
        <w:bidi w:val="0"/>
        <w:jc w:val="both"/>
        <w:rPr>
          <w:rFonts w:ascii="Times New Roman" w:hAnsi="Times New Roman"/>
          <w:color w:val="000000"/>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Zavedenie možnosti brutácie nepeňažného príjmu zamestnancov.</w:t>
      </w:r>
    </w:p>
    <w:p w:rsidR="004F4B99" w:rsidRPr="004F4B99" w:rsidP="004F4B99">
      <w:pPr>
        <w:pStyle w:val="ListParagraph"/>
        <w:bidi w:val="0"/>
        <w:spacing w:after="0" w:line="240" w:lineRule="auto"/>
        <w:jc w:val="both"/>
        <w:rPr>
          <w:rStyle w:val="PlaceholderText"/>
          <w:color w:val="000000"/>
          <w:sz w:val="24"/>
          <w:szCs w:val="24"/>
          <w:highlight w:val="yellow"/>
        </w:rPr>
      </w:pPr>
    </w:p>
    <w:p w:rsidR="004F4B99" w:rsidRPr="00990293" w:rsidP="004F4B99">
      <w:pPr>
        <w:bidi w:val="0"/>
        <w:ind w:left="709"/>
        <w:jc w:val="both"/>
        <w:rPr>
          <w:rFonts w:ascii="Times New Roman" w:hAnsi="Times New Roman"/>
        </w:rPr>
      </w:pPr>
      <w:r w:rsidRPr="00990293">
        <w:rPr>
          <w:rFonts w:ascii="Times New Roman" w:hAnsi="Times New Roman"/>
        </w:rPr>
        <w:t xml:space="preserve">Zavedenie možnosti brutácie nepeňažného príjmu </w:t>
      </w:r>
      <w:r>
        <w:rPr>
          <w:rFonts w:ascii="Times New Roman" w:hAnsi="Times New Roman"/>
        </w:rPr>
        <w:t xml:space="preserve">a skutočnosti, že uvedená možnosť zvyšuje náklady práce zamestnávateľov MF SR nepredpokladá dodatočný vplyv uvedeného opatrenia na daňové príjmy VS. </w:t>
      </w:r>
    </w:p>
    <w:p w:rsidR="004F4B99" w:rsidRPr="004F4B99" w:rsidP="004F4B99">
      <w:pPr>
        <w:pStyle w:val="ListParagraph"/>
        <w:bidi w:val="0"/>
        <w:spacing w:after="0" w:line="240" w:lineRule="auto"/>
        <w:jc w:val="both"/>
        <w:rPr>
          <w:rStyle w:val="PlaceholderText"/>
          <w:color w:val="000000"/>
          <w:sz w:val="24"/>
          <w:szCs w:val="24"/>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Zavedenie novej 6. odpisovej skupiny s dobou odpisovania 40 rokov.</w:t>
      </w:r>
    </w:p>
    <w:p w:rsidR="004F4B99" w:rsidP="004F4B99">
      <w:pPr>
        <w:bidi w:val="0"/>
        <w:ind w:left="708"/>
        <w:jc w:val="both"/>
        <w:rPr>
          <w:rFonts w:ascii="Times New Roman" w:hAnsi="Times New Roman"/>
        </w:rPr>
      </w:pPr>
    </w:p>
    <w:p w:rsidR="004F4B99" w:rsidRPr="00990293" w:rsidP="004F4B99">
      <w:pPr>
        <w:bidi w:val="0"/>
        <w:ind w:left="709"/>
        <w:jc w:val="both"/>
        <w:rPr>
          <w:rFonts w:ascii="Times New Roman" w:hAnsi="Times New Roman"/>
        </w:rPr>
      </w:pPr>
      <w:r w:rsidRPr="00990293">
        <w:rPr>
          <w:rFonts w:ascii="Times New Roman" w:hAnsi="Times New Roman"/>
        </w:rPr>
        <w:t xml:space="preserve">Kvantifikácia vychádza z ročných údajov ŠÚ SR o  spotrebe fixného kapitálu (odpisoch), indexovaných pre roky 2015 </w:t>
      </w:r>
      <w:r>
        <w:rPr>
          <w:rFonts w:ascii="Times New Roman" w:hAnsi="Times New Roman"/>
        </w:rPr>
        <w:t>- 2017</w:t>
      </w:r>
      <w:r w:rsidRPr="00990293">
        <w:rPr>
          <w:rFonts w:ascii="Times New Roman" w:hAnsi="Times New Roman"/>
        </w:rPr>
        <w:t>. Rozdelenie celkovej úrovne odpisov do jednotlivých odpisových skupín je založené na údajoch medzinárodných porovnaní</w:t>
      </w:r>
      <w:r>
        <w:rPr>
          <w:rFonts w:ascii="Times New Roman" w:hAnsi="Times New Roman"/>
        </w:rPr>
        <w:t xml:space="preserve"> (CBT corporate tax ranking, Oxford University)</w:t>
      </w:r>
      <w:r w:rsidRPr="00990293">
        <w:rPr>
          <w:rFonts w:ascii="Times New Roman" w:hAnsi="Times New Roman"/>
        </w:rPr>
        <w:t>. Dodatočným predpokladom je podiel administratívnych budov na celkovom počte budov v rámci odpisovej skupiny s</w:t>
      </w:r>
      <w:r>
        <w:rPr>
          <w:rFonts w:ascii="Times New Roman" w:hAnsi="Times New Roman"/>
        </w:rPr>
        <w:t xml:space="preserve"> dobou odpisovania do 20 rokov. Odhadovaný vplyv zavedenia novej 6. odpisovej skupiny s dobou odpisovania 40 rokov predstavuje približne 70 mil. eur. </w:t>
      </w:r>
    </w:p>
    <w:p w:rsidR="004F4B99" w:rsidRPr="004F4B99" w:rsidP="004F4B99">
      <w:pPr>
        <w:pStyle w:val="ListParagraph"/>
        <w:bidi w:val="0"/>
        <w:spacing w:after="0" w:line="240" w:lineRule="auto"/>
        <w:jc w:val="both"/>
        <w:rPr>
          <w:rStyle w:val="PlaceholderText"/>
          <w:color w:val="000000"/>
          <w:sz w:val="24"/>
          <w:szCs w:val="24"/>
        </w:rPr>
      </w:pPr>
    </w:p>
    <w:p w:rsidR="004F4B99" w:rsidRPr="004F4B99" w:rsidP="004F4B99">
      <w:pPr>
        <w:pStyle w:val="ListParagraph"/>
        <w:numPr>
          <w:numId w:val="31"/>
        </w:numPr>
        <w:bidi w:val="0"/>
        <w:spacing w:after="0" w:line="240" w:lineRule="auto"/>
        <w:ind w:left="714" w:hanging="357"/>
        <w:jc w:val="both"/>
        <w:rPr>
          <w:rStyle w:val="PlaceholderText"/>
          <w:color w:val="000000"/>
          <w:sz w:val="24"/>
          <w:szCs w:val="24"/>
        </w:rPr>
      </w:pPr>
      <w:r w:rsidRPr="004F4B99">
        <w:rPr>
          <w:rStyle w:val="PlaceholderText"/>
          <w:color w:val="000000"/>
          <w:sz w:val="24"/>
          <w:szCs w:val="24"/>
        </w:rPr>
        <w:t>Zavedenie limitovanej vstupnej ceny pre osobné automobily vo výške 48 000 eur v nadväznosti na výšku základu dane.</w:t>
        <w:tab/>
        <w:br/>
        <w:br/>
        <w:t xml:space="preserve">Vyčíslenie vplyvu je založené na údajoch o distribúcii automobilov využívaných na podnikateľské účely za rok 2012 podľa ich ceny. Podľa uvedených údajov tvorí podiel automobilov s obstarávacou cenou vyššou než 48 000 eur 12,5% z celkového počtu automobilov používaných na podnikateľské účely. Vplyv limitovania vstupnej ceny an uvedenej úrovni sa odhaduje vo výške približne 2,5 mil. eur. </w:t>
      </w:r>
    </w:p>
    <w:p w:rsidR="004F4B99" w:rsidRPr="004F4B99" w:rsidP="004F4B99">
      <w:pPr>
        <w:pStyle w:val="ListParagraph"/>
        <w:bidi w:val="0"/>
        <w:spacing w:after="0" w:line="240" w:lineRule="auto"/>
        <w:jc w:val="both"/>
        <w:rPr>
          <w:rStyle w:val="PlaceholderText"/>
          <w:color w:val="000000"/>
          <w:sz w:val="24"/>
          <w:szCs w:val="24"/>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Ponechanie zrýchlenej metódy odpisovania iba pre 2. a novú 3. odpisovú skupinu.</w:t>
      </w:r>
    </w:p>
    <w:p w:rsidR="004F4B99" w:rsidRPr="004F4B99" w:rsidP="004F4B99">
      <w:pPr>
        <w:pStyle w:val="ListParagraph"/>
        <w:bidi w:val="0"/>
        <w:spacing w:after="0" w:line="240" w:lineRule="auto"/>
        <w:rPr>
          <w:rStyle w:val="PlaceholderText"/>
          <w:color w:val="000000"/>
          <w:sz w:val="24"/>
          <w:szCs w:val="24"/>
        </w:rPr>
      </w:pPr>
    </w:p>
    <w:p w:rsidR="004F4B99" w:rsidRPr="004F4B99" w:rsidP="004F4B99">
      <w:pPr>
        <w:pStyle w:val="ListParagraph"/>
        <w:bidi w:val="0"/>
        <w:spacing w:after="0" w:line="240" w:lineRule="auto"/>
        <w:jc w:val="both"/>
        <w:rPr>
          <w:rStyle w:val="PlaceholderText"/>
          <w:color w:val="000000"/>
          <w:sz w:val="24"/>
          <w:szCs w:val="24"/>
        </w:rPr>
      </w:pPr>
      <w:r w:rsidRPr="004F4B99">
        <w:rPr>
          <w:rStyle w:val="PlaceholderText"/>
          <w:color w:val="000000"/>
          <w:sz w:val="24"/>
          <w:szCs w:val="24"/>
        </w:rPr>
        <w:t xml:space="preserve">Kvantifikácia je založená na rozdieloch medzi technikou rovnomerného a zrýchleného odpisovania, pri nastavení parametrov podľa novely zákona. Výpočet vychádza z ročných údajov ŠÚ SR o  spotrebe fixného kapitálu (odpisoch), indexovaných pre roky 2015 - 2017. Rozdelenie celkovej úrovne odpisov do jednotlivých odpisových skupín je založené na údajoch medzinárodných porovnaní a expertnom odhade MF SR. MF SR odhaduje akruálny vplyv uvedeného opatrenia vo výške 29 mil. eur v prvom roku.  </w:t>
      </w:r>
    </w:p>
    <w:p w:rsidR="004F4B99" w:rsidRPr="004F4B99" w:rsidP="004F4B99">
      <w:pPr>
        <w:pStyle w:val="ListParagraph"/>
        <w:bidi w:val="0"/>
        <w:spacing w:after="0" w:line="240" w:lineRule="auto"/>
        <w:jc w:val="both"/>
        <w:rPr>
          <w:rStyle w:val="PlaceholderText"/>
          <w:color w:val="000000"/>
          <w:sz w:val="24"/>
          <w:szCs w:val="24"/>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Zjednotenie odpisovania hmotného majetku nadobudnutého formou finančného prenájmu s ostatnými formami obstarania hmotného majetku.</w:t>
      </w:r>
    </w:p>
    <w:p w:rsidR="004F4B99" w:rsidRPr="004F4B99" w:rsidP="004F4B99">
      <w:pPr>
        <w:bidi w:val="0"/>
        <w:jc w:val="both"/>
        <w:rPr>
          <w:rStyle w:val="PlaceholderText"/>
          <w:color w:val="000000"/>
        </w:rPr>
      </w:pPr>
    </w:p>
    <w:p w:rsidR="004F4B99" w:rsidRPr="004F4B99" w:rsidP="004F4B99">
      <w:pPr>
        <w:bidi w:val="0"/>
        <w:ind w:left="708"/>
        <w:jc w:val="both"/>
        <w:rPr>
          <w:rStyle w:val="PlaceholderText"/>
          <w:color w:val="000000"/>
        </w:rPr>
      </w:pPr>
      <w:r w:rsidRPr="004F4B99">
        <w:rPr>
          <w:rStyle w:val="PlaceholderText"/>
          <w:color w:val="000000"/>
        </w:rPr>
        <w:t>Kvantifikácia je založená na rozdieloch medzi spôsobom odpisovania formou finančného prenájmu a štandardnými formami odpisovania, pri prijatí dodatočných predpokladov o podiele leasingového odpisovania. Výpočet využíva ročné údaje ŠÚ SR o  spotrebe fixného kapitálu (odpisoch), indexovanej pre roky 2015 – 2017. Zjednotenie odpisovania je spojené s odhadovaným pozitívnym vplyvom na verejné financie vo výške 18 mil. eur.</w:t>
      </w:r>
    </w:p>
    <w:p w:rsidR="004F4B99" w:rsidRPr="004F4B99" w:rsidP="004F4B99">
      <w:pPr>
        <w:tabs>
          <w:tab w:val="left" w:pos="3630"/>
        </w:tabs>
        <w:bidi w:val="0"/>
        <w:jc w:val="both"/>
        <w:rPr>
          <w:rStyle w:val="PlaceholderText"/>
          <w:color w:val="000000"/>
        </w:rPr>
      </w:pPr>
      <w:r w:rsidRPr="004F4B99">
        <w:rPr>
          <w:rStyle w:val="PlaceholderText"/>
          <w:color w:val="000000"/>
        </w:rPr>
        <w:tab/>
      </w: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Zmena zahrnovania členského príspevku vyplývajúceho z nepovinného členstva v právnickej osobe zriadenej na účel ochrany záujmov platiteľa - 5 % zo ZD maximálne do výšky 30 000 eur.</w:t>
      </w:r>
    </w:p>
    <w:p w:rsidR="004F4B99" w:rsidRPr="004F4B99" w:rsidP="004F4B99">
      <w:pPr>
        <w:bidi w:val="0"/>
        <w:jc w:val="both"/>
        <w:rPr>
          <w:rStyle w:val="PlaceholderText"/>
          <w:color w:val="000000"/>
        </w:rPr>
      </w:pPr>
    </w:p>
    <w:p w:rsidR="004F4B99" w:rsidRPr="004F4B99" w:rsidP="004F4B99">
      <w:pPr>
        <w:bidi w:val="0"/>
        <w:ind w:left="708"/>
        <w:jc w:val="both"/>
        <w:rPr>
          <w:rStyle w:val="PlaceholderText"/>
          <w:color w:val="000000"/>
        </w:rPr>
      </w:pPr>
      <w:r w:rsidRPr="004F4B99">
        <w:rPr>
          <w:rStyle w:val="PlaceholderText"/>
          <w:color w:val="000000"/>
        </w:rPr>
        <w:t>Kvantifikácia vychádza z individuálnych daňových priznaní za rok 2012 s využitím  údajov o základe dane a výnosoch jednotlivých daňovníkov. Vplyv uvedeného opatrenia sa odhaduje na úrovni 1 mil. eur.</w:t>
      </w:r>
    </w:p>
    <w:p w:rsidR="004F4B99" w:rsidRPr="004F4B99" w:rsidP="004F4B99">
      <w:pPr>
        <w:bidi w:val="0"/>
        <w:jc w:val="both"/>
        <w:rPr>
          <w:rStyle w:val="PlaceholderText"/>
          <w:color w:val="000000"/>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 xml:space="preserve">Zavedenie pravidiel nízkej kapitalizácie na prepojené obchodné spoločnosti (tuzemské aj zahraničné). </w:t>
      </w:r>
    </w:p>
    <w:p w:rsidR="004F4B99" w:rsidRPr="004F4B99" w:rsidP="004F4B99">
      <w:pPr>
        <w:bidi w:val="0"/>
        <w:jc w:val="both"/>
        <w:rPr>
          <w:rStyle w:val="PlaceholderText"/>
          <w:color w:val="000000"/>
        </w:rPr>
      </w:pPr>
    </w:p>
    <w:p w:rsidR="004F4B99" w:rsidRPr="004F4B99" w:rsidP="004F4B99">
      <w:pPr>
        <w:bidi w:val="0"/>
        <w:ind w:left="708"/>
        <w:jc w:val="both"/>
        <w:rPr>
          <w:rStyle w:val="PlaceholderText"/>
          <w:color w:val="000000"/>
        </w:rPr>
      </w:pPr>
      <w:r w:rsidRPr="004F4B99">
        <w:rPr>
          <w:rStyle w:val="PlaceholderText"/>
          <w:color w:val="000000"/>
        </w:rPr>
        <w:t>Kvantifikácia vychádza z posledne dostupných individuálnych daňových priznaní za zdaňovacie obdobie roka 2012. Využíva údaje o výške úrokov z úverov a pôžičiek pri transakciách zahraničných závislých osôb a údaje o EBITDA (zisku pred uplatnením daní, odpisov a úrokov) z individuálnych výkazov ziskov a strát. Na základe týchto predpokladov sa očakáva pozitívny vplyv zavedenia pravidiel nízkej kapitalizácie vo výške  približne 63 mil. eur v roku 2015.</w:t>
      </w:r>
    </w:p>
    <w:p w:rsidR="004F4B99" w:rsidRPr="004F4B99" w:rsidP="004F4B99">
      <w:pPr>
        <w:bidi w:val="0"/>
        <w:jc w:val="both"/>
        <w:rPr>
          <w:rStyle w:val="PlaceholderText"/>
          <w:color w:val="000000"/>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Zavedenie povinnosti zahrnutia neodpočítanej DPH u daňovníka, ktorý uplatňuje nárok na jej odpočítanie koeficientom do vstupnej ceny hmotného a nehmotného majetku.</w:t>
      </w:r>
    </w:p>
    <w:p w:rsidR="004F4B99" w:rsidRPr="004F4B99" w:rsidP="004F4B99">
      <w:pPr>
        <w:pStyle w:val="ListParagraph"/>
        <w:bidi w:val="0"/>
        <w:spacing w:after="0" w:line="240" w:lineRule="auto"/>
        <w:jc w:val="both"/>
        <w:rPr>
          <w:rStyle w:val="PlaceholderText"/>
          <w:color w:val="000000"/>
          <w:sz w:val="24"/>
          <w:szCs w:val="24"/>
        </w:rPr>
      </w:pPr>
    </w:p>
    <w:p w:rsidR="004F4B99" w:rsidRPr="004F4B99" w:rsidP="004F4B99">
      <w:pPr>
        <w:pStyle w:val="ListParagraph"/>
        <w:bidi w:val="0"/>
        <w:spacing w:after="0" w:line="240" w:lineRule="auto"/>
        <w:jc w:val="both"/>
        <w:rPr>
          <w:rStyle w:val="PlaceholderText"/>
          <w:color w:val="000000"/>
          <w:sz w:val="24"/>
          <w:szCs w:val="24"/>
        </w:rPr>
      </w:pPr>
      <w:r w:rsidRPr="004F4B99">
        <w:rPr>
          <w:rStyle w:val="PlaceholderText"/>
          <w:color w:val="000000"/>
          <w:sz w:val="24"/>
          <w:szCs w:val="24"/>
        </w:rPr>
        <w:t xml:space="preserve">Výpočet je založený na využití individuálnych daňových priznaní DPH za rok 2013, konkrétne údajov o podiele outputov firiem podliehajúcich DPH na celkovom outpute. Podiel odpisov v rámci jednotlivých odpisových skupín bol stanovený expertným odhadom s využitím údajov medzinárodného porovnania odpisových skupín. Pozitívny vplyv uvedeného opatrenia sa odhaduje v roku 2015 približne na úrovni 40 mil. eur. </w:t>
      </w:r>
    </w:p>
    <w:p w:rsidR="004F4B99" w:rsidRPr="004F4B99" w:rsidP="004F4B99">
      <w:pPr>
        <w:pStyle w:val="ListParagraph"/>
        <w:bidi w:val="0"/>
        <w:spacing w:after="0" w:line="240" w:lineRule="auto"/>
        <w:jc w:val="both"/>
        <w:rPr>
          <w:rStyle w:val="PlaceholderText"/>
          <w:color w:val="000000"/>
          <w:sz w:val="24"/>
          <w:szCs w:val="24"/>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Zmena spôsobu zahrnovania paušálnej náhrady nákladov spojených s uplatnením pohľadávok, zmluvnej pokuty, poplatkov z omeškania a úrokov z omeškania do základu dane.</w:t>
      </w:r>
    </w:p>
    <w:p w:rsidR="004F4B99" w:rsidRPr="004F4B99" w:rsidP="004F4B99">
      <w:pPr>
        <w:bidi w:val="0"/>
        <w:ind w:left="708"/>
        <w:jc w:val="both"/>
        <w:rPr>
          <w:rStyle w:val="PlaceholderText"/>
          <w:color w:val="000000"/>
        </w:rPr>
      </w:pPr>
    </w:p>
    <w:p w:rsidR="004F4B99" w:rsidRPr="004F4B99" w:rsidP="004F4B99">
      <w:pPr>
        <w:bidi w:val="0"/>
        <w:ind w:left="708"/>
        <w:jc w:val="both"/>
        <w:rPr>
          <w:rStyle w:val="PlaceholderText"/>
          <w:color w:val="000000"/>
        </w:rPr>
      </w:pPr>
      <w:r w:rsidRPr="004F4B99">
        <w:rPr>
          <w:rStyle w:val="PlaceholderText"/>
          <w:color w:val="000000"/>
        </w:rPr>
        <w:t>Kvantifikácia vychádza z posledne dostupných údajov individuálnych daňových priznaní za zdaňovacie obdobie roka 2012 o zaplatených pokutách a penále. Odhadovaný pozitívny vplyv uvedeného opatrenia je na úrovni 9 mil. eur.</w:t>
      </w:r>
    </w:p>
    <w:p w:rsidR="004F4B99" w:rsidRPr="004F4B99" w:rsidP="004F4B99">
      <w:pPr>
        <w:pStyle w:val="ListParagraph"/>
        <w:bidi w:val="0"/>
        <w:spacing w:after="0" w:line="240" w:lineRule="auto"/>
        <w:jc w:val="both"/>
        <w:rPr>
          <w:rStyle w:val="PlaceholderText"/>
          <w:color w:val="000000"/>
          <w:sz w:val="24"/>
          <w:szCs w:val="24"/>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Zavedenie nového typu daňového zvýhodnenia pre daňovníkov, ktorí vykonávajú výskum a vývoj.</w:t>
      </w:r>
    </w:p>
    <w:p w:rsidR="004F4B99" w:rsidRPr="004F4B99" w:rsidP="004F4B99">
      <w:pPr>
        <w:bidi w:val="0"/>
        <w:jc w:val="both"/>
        <w:rPr>
          <w:rStyle w:val="PlaceholderText"/>
          <w:color w:val="000000"/>
        </w:rPr>
      </w:pPr>
    </w:p>
    <w:p w:rsidR="004F4B99" w:rsidRPr="004F4B99" w:rsidP="004F4B99">
      <w:pPr>
        <w:bidi w:val="0"/>
        <w:ind w:left="708"/>
        <w:jc w:val="both"/>
        <w:rPr>
          <w:rStyle w:val="PlaceholderText"/>
          <w:color w:val="000000"/>
        </w:rPr>
      </w:pPr>
      <w:r w:rsidRPr="004F4B99">
        <w:rPr>
          <w:rStyle w:val="PlaceholderText"/>
          <w:color w:val="000000"/>
        </w:rPr>
        <w:t>Výpočet je založený na súčasnej úrovni uplatňovania domácich výdavkov na výskum a vývoj indexovanej do rokov 2015 - 2017 na základe dostupných údajov Eurostatu za Slovenskú republiku. Zavedenie daňového zvýhodnenie je spojené s odhadovaným výpadkom daňových príjmov vo výške 24 mil. eur.</w:t>
      </w:r>
    </w:p>
    <w:p w:rsidR="004F4B99" w:rsidRPr="004F4B99" w:rsidP="004F4B99">
      <w:pPr>
        <w:bidi w:val="0"/>
        <w:jc w:val="both"/>
        <w:rPr>
          <w:rStyle w:val="PlaceholderText"/>
          <w:color w:val="000000"/>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Úprava valorizácie daňového bonusu.</w:t>
      </w:r>
    </w:p>
    <w:p w:rsidR="004F4B99" w:rsidRPr="004F4B99" w:rsidP="004F4B99">
      <w:pPr>
        <w:bidi w:val="0"/>
        <w:jc w:val="both"/>
        <w:rPr>
          <w:rStyle w:val="PlaceholderText"/>
          <w:color w:val="000000"/>
          <w:highlight w:val="yellow"/>
          <w:lang w:eastAsia="en-US"/>
        </w:rPr>
      </w:pPr>
    </w:p>
    <w:p w:rsidR="004F4B99" w:rsidRPr="004F4B99" w:rsidP="004F4B99">
      <w:pPr>
        <w:bidi w:val="0"/>
        <w:ind w:left="708"/>
        <w:jc w:val="both"/>
        <w:rPr>
          <w:rStyle w:val="PlaceholderText"/>
          <w:color w:val="000000"/>
        </w:rPr>
      </w:pPr>
      <w:r w:rsidRPr="004F4B99">
        <w:rPr>
          <w:rStyle w:val="PlaceholderText"/>
          <w:color w:val="000000"/>
        </w:rPr>
        <w:t xml:space="preserve">Vplyv zosúladenia valorizácie daňového bonusu s nezdaniteľnou časťou základu dane bol kvantifikovaný na základe údajov o vekovom rozložení populácie zverejňovanej Eurostatom a údajmi o zamestnanosti publikovanými ŠÚ SR. Administratívne zjednodušenie uplatňovania jednej sumy daňového bonusu počas celého zdaňovacieho obdobia je spojené s pozitívnym vplyvom na úrovni 2 mil. eur. </w:t>
      </w:r>
    </w:p>
    <w:p w:rsidR="004F4B99" w:rsidRPr="004F4B99" w:rsidP="004F4B99">
      <w:pPr>
        <w:pStyle w:val="ListParagraph"/>
        <w:bidi w:val="0"/>
        <w:spacing w:after="0" w:line="240" w:lineRule="auto"/>
        <w:jc w:val="both"/>
        <w:rPr>
          <w:rStyle w:val="PlaceholderText"/>
          <w:color w:val="000000"/>
          <w:sz w:val="24"/>
          <w:szCs w:val="24"/>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Možnosť uplatnenia úhrady za prevod členských práv</w:t>
      </w:r>
      <w:r w:rsidRPr="009941F2">
        <w:rPr>
          <w:b/>
        </w:rPr>
        <w:t xml:space="preserve"> </w:t>
      </w:r>
      <w:r w:rsidRPr="004F4B99">
        <w:rPr>
          <w:rStyle w:val="PlaceholderText"/>
          <w:color w:val="000000"/>
          <w:sz w:val="24"/>
          <w:szCs w:val="24"/>
        </w:rPr>
        <w:t>a povinností spojených s členstvom v bytovom družstve a iných poplatkov súvisiacich s hypotekárnym alebo stavebným úverom za daňové výdavky.</w:t>
      </w:r>
    </w:p>
    <w:p w:rsidR="004F4B99" w:rsidRPr="004F4B99" w:rsidP="004F4B99">
      <w:pPr>
        <w:bidi w:val="0"/>
        <w:jc w:val="both"/>
        <w:rPr>
          <w:rStyle w:val="PlaceholderText"/>
          <w:color w:val="000000"/>
          <w:highlight w:val="yellow"/>
        </w:rPr>
      </w:pPr>
    </w:p>
    <w:p w:rsidR="004F4B99" w:rsidRPr="004F4B99" w:rsidP="004F4B99">
      <w:pPr>
        <w:bidi w:val="0"/>
        <w:ind w:left="708"/>
        <w:jc w:val="both"/>
        <w:rPr>
          <w:rStyle w:val="PlaceholderText"/>
          <w:color w:val="000000"/>
        </w:rPr>
      </w:pPr>
      <w:r w:rsidRPr="004F4B99">
        <w:rPr>
          <w:rStyle w:val="PlaceholderText"/>
          <w:color w:val="000000"/>
        </w:rPr>
        <w:t>Kvantifikácia možnosti uplatnia úhrady za prevod členských práv a povinností spojených s členstvom v bytovom družstve za daňové výdavky vychádzala z údajov ŠÚ SR o Sčítaní obyvateľov, domov a bytov na základe ktorej bol identifikovaný počet družstevných bytov. Následne z údajov vybraných bytových družstiev bol identifikovaný poplatok za prevod členských práv a počet ročne odkúpených, resp. prevedených družstevných bytov a následne aplikovaný na celkový počet družstevných bytov. Uvedené úprava zákona je spojená s marginálnym negatívnym vplyvom na úrovni 0,1 mil. eur.</w:t>
      </w:r>
    </w:p>
    <w:p w:rsidR="004F4B99" w:rsidRPr="004F4B99" w:rsidP="004F4B99">
      <w:pPr>
        <w:bidi w:val="0"/>
        <w:jc w:val="both"/>
        <w:rPr>
          <w:rStyle w:val="PlaceholderText"/>
          <w:color w:val="000000"/>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Úprava výpočtu preddavkov na daň fyzickej osoby tak, aby daňovník platil preddavky na daň len z príjmov podľa § 5 a 6 zákona, ktoré majú charakter pravidelne vykonávanej činnosti.</w:t>
      </w:r>
    </w:p>
    <w:p w:rsidR="004F4B99" w:rsidRPr="004F4B99" w:rsidP="004F4B99">
      <w:pPr>
        <w:bidi w:val="0"/>
        <w:jc w:val="both"/>
        <w:rPr>
          <w:rStyle w:val="PlaceholderText"/>
          <w:color w:val="000000"/>
          <w:highlight w:val="yellow"/>
        </w:rPr>
      </w:pPr>
    </w:p>
    <w:p w:rsidR="004F4B99" w:rsidRPr="004F4B99" w:rsidP="004F4B99">
      <w:pPr>
        <w:bidi w:val="0"/>
        <w:ind w:left="708"/>
        <w:jc w:val="both"/>
        <w:rPr>
          <w:rStyle w:val="PlaceholderText"/>
          <w:color w:val="000000"/>
        </w:rPr>
      </w:pPr>
      <w:r w:rsidRPr="004F4B99">
        <w:rPr>
          <w:rStyle w:val="PlaceholderText"/>
          <w:color w:val="000000"/>
        </w:rPr>
        <w:t>Pri kvantifikácií úpravy výpočtu preddavkov sa vychádzalo z posledne dostupných údajov individuálnych daňových priznaní fyzických osôb typu B a ich indexácie na súčasnú úroveň. Uvedená zmena platenia preddavkov nemá vplyv na akruálny výnos dane.</w:t>
      </w:r>
    </w:p>
    <w:p w:rsidR="004F4B99" w:rsidRPr="004F4B99" w:rsidP="004F4B99">
      <w:pPr>
        <w:bidi w:val="0"/>
        <w:jc w:val="both"/>
        <w:rPr>
          <w:rStyle w:val="PlaceholderText"/>
          <w:color w:val="000000"/>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Rozšírenie povinnosti vedenia evidencie tržieb v elektronickej registračnej pokladnici.</w:t>
      </w:r>
    </w:p>
    <w:p w:rsidR="004F4B99" w:rsidRPr="004F4B99" w:rsidP="004F4B99">
      <w:pPr>
        <w:pStyle w:val="ListParagraph"/>
        <w:bidi w:val="0"/>
        <w:spacing w:after="0" w:line="240" w:lineRule="auto"/>
        <w:jc w:val="both"/>
        <w:rPr>
          <w:rStyle w:val="PlaceholderText"/>
          <w:color w:val="000000"/>
          <w:sz w:val="24"/>
          <w:szCs w:val="24"/>
          <w:highlight w:val="yellow"/>
        </w:rPr>
      </w:pPr>
    </w:p>
    <w:p w:rsidR="004F4B99" w:rsidRPr="004F4B99" w:rsidP="004F4B99">
      <w:pPr>
        <w:bidi w:val="0"/>
        <w:ind w:left="708"/>
        <w:jc w:val="both"/>
        <w:rPr>
          <w:rStyle w:val="PlaceholderText"/>
          <w:color w:val="000000"/>
        </w:rPr>
      </w:pPr>
      <w:r w:rsidRPr="004F4B99">
        <w:rPr>
          <w:rStyle w:val="PlaceholderText"/>
          <w:color w:val="000000"/>
        </w:rPr>
        <w:t>Kvantifikácia vplyvu rozšírenia povinnosti používať  ERP na výnos DPH a DPPO vychádza z nasledujúcich predpokladov:</w:t>
      </w:r>
    </w:p>
    <w:p w:rsidR="004F4B99" w:rsidRPr="004F4B99" w:rsidP="004F4B99">
      <w:pPr>
        <w:pStyle w:val="ListParagraph"/>
        <w:numPr>
          <w:numId w:val="32"/>
        </w:numPr>
        <w:bidi w:val="0"/>
        <w:spacing w:after="0" w:line="240" w:lineRule="auto"/>
        <w:contextualSpacing w:val="0"/>
        <w:jc w:val="both"/>
        <w:rPr>
          <w:rStyle w:val="PlaceholderText"/>
          <w:color w:val="000000"/>
          <w:sz w:val="24"/>
          <w:szCs w:val="24"/>
          <w:lang w:eastAsia="sk-SK"/>
        </w:rPr>
      </w:pPr>
      <w:r w:rsidRPr="004F4B99">
        <w:rPr>
          <w:rStyle w:val="PlaceholderText"/>
          <w:color w:val="000000"/>
          <w:sz w:val="24"/>
          <w:szCs w:val="24"/>
          <w:lang w:eastAsia="sk-SK"/>
        </w:rPr>
        <w:t>Zavedenie ERP v jednotlivých odvetviach prispeje k zníženiu daňovej medzery na DPH o 10% (Sektorová daňová medzera bola odhadnutá IFP v spolupráci s MMF)</w:t>
      </w:r>
    </w:p>
    <w:p w:rsidR="004F4B99" w:rsidRPr="004F4B99" w:rsidP="004F4B99">
      <w:pPr>
        <w:pStyle w:val="ListParagraph"/>
        <w:numPr>
          <w:numId w:val="32"/>
        </w:numPr>
        <w:bidi w:val="0"/>
        <w:spacing w:after="0" w:line="240" w:lineRule="auto"/>
        <w:contextualSpacing w:val="0"/>
        <w:jc w:val="both"/>
        <w:rPr>
          <w:rStyle w:val="PlaceholderText"/>
          <w:color w:val="000000"/>
          <w:sz w:val="24"/>
          <w:szCs w:val="24"/>
          <w:lang w:eastAsia="sk-SK"/>
        </w:rPr>
      </w:pPr>
      <w:r w:rsidRPr="004F4B99">
        <w:rPr>
          <w:rStyle w:val="PlaceholderText"/>
          <w:color w:val="000000"/>
          <w:sz w:val="24"/>
          <w:szCs w:val="24"/>
          <w:lang w:eastAsia="sk-SK"/>
        </w:rPr>
        <w:t>V prípade vybraných sektorov s menším počtom transakcií a vyššími sumami napr. služby architektov, sa očakáva zníženie daňovej medzery o 5%. Nižší odhad vychádza aj z predpokladu, že užívatelia služieb týchto sektorov nebudú mať povinnosť predkladať pokladničný doklad (alebo potvrdenie o zaplatení) v prípade administratívnych úkonov spojených s dodanou službou (napr. stavebné povolenie)</w:t>
      </w:r>
    </w:p>
    <w:p w:rsidR="004F4B99" w:rsidRPr="004F4B99" w:rsidP="004F4B99">
      <w:pPr>
        <w:pStyle w:val="ListParagraph"/>
        <w:numPr>
          <w:numId w:val="32"/>
        </w:numPr>
        <w:bidi w:val="0"/>
        <w:spacing w:after="0" w:line="240" w:lineRule="auto"/>
        <w:contextualSpacing w:val="0"/>
        <w:jc w:val="both"/>
        <w:rPr>
          <w:rStyle w:val="PlaceholderText"/>
          <w:color w:val="000000"/>
          <w:sz w:val="24"/>
          <w:szCs w:val="24"/>
          <w:lang w:eastAsia="sk-SK"/>
        </w:rPr>
      </w:pPr>
      <w:r w:rsidRPr="004F4B99">
        <w:rPr>
          <w:rStyle w:val="PlaceholderText"/>
          <w:color w:val="000000"/>
          <w:sz w:val="24"/>
          <w:szCs w:val="24"/>
          <w:lang w:eastAsia="sk-SK"/>
        </w:rPr>
        <w:t>Dodatočný prínos na DPPO vychádza z odhadu z očakávaných výnosov na DPH. Odhadnutý bol ako násobok podielu DPPO na DPH a očakávaného výnosu na DPH zo zavedenia ERP</w:t>
      </w:r>
    </w:p>
    <w:p w:rsidR="004F4B99" w:rsidRPr="004F4B99" w:rsidP="004F4B99">
      <w:pPr>
        <w:pStyle w:val="ListParagraph"/>
        <w:numPr>
          <w:numId w:val="32"/>
        </w:numPr>
        <w:bidi w:val="0"/>
        <w:spacing w:after="0" w:line="240" w:lineRule="auto"/>
        <w:contextualSpacing w:val="0"/>
        <w:jc w:val="both"/>
        <w:rPr>
          <w:rStyle w:val="PlaceholderText"/>
          <w:color w:val="000000"/>
          <w:sz w:val="24"/>
          <w:szCs w:val="24"/>
          <w:lang w:eastAsia="sk-SK"/>
        </w:rPr>
      </w:pPr>
      <w:r w:rsidRPr="004F4B99">
        <w:rPr>
          <w:rStyle w:val="PlaceholderText"/>
          <w:color w:val="000000"/>
          <w:sz w:val="24"/>
          <w:szCs w:val="24"/>
          <w:lang w:eastAsia="sk-SK"/>
        </w:rPr>
        <w:t>V prípade zavedenia ERP pre  ambulantných všeobecných lekárov, špecialistov, zubárov sa vychádzalo z rozdielov reportovaných relevantnými ambulanciami a výdavkami domácností na tieto služby. Za zdravotné služby bol v roku 2011 rozdiel medzi výdavkami domácností (podľa ŠÚ SR) a priznanými tržbami relevantných ambulancií (podľa údajov Ministerstva zdravotníctva) približne 214 mil. eur.</w:t>
      </w:r>
    </w:p>
    <w:p w:rsidR="004F4B99" w:rsidRPr="004F4B99" w:rsidP="004F4B99">
      <w:pPr>
        <w:bidi w:val="0"/>
        <w:ind w:left="708"/>
        <w:jc w:val="both"/>
        <w:rPr>
          <w:rStyle w:val="PlaceholderText"/>
          <w:color w:val="000000"/>
        </w:rPr>
      </w:pPr>
      <w:r w:rsidRPr="004F4B99">
        <w:rPr>
          <w:rStyle w:val="PlaceholderText"/>
          <w:color w:val="000000"/>
        </w:rPr>
        <w:t>Odhadovaný pozitívny vplyv z rozšírenia povinnosti vedenia evidencie tržieb v elektronickej registračnej pokladnici sa za predpokladu celoročnej účinnosti odhaduje na úrovni 72 mil. eur.</w:t>
      </w:r>
    </w:p>
    <w:p w:rsidR="004F4B99" w:rsidRPr="004F4B99" w:rsidP="004F4B99">
      <w:pPr>
        <w:bidi w:val="0"/>
        <w:jc w:val="both"/>
        <w:rPr>
          <w:rStyle w:val="PlaceholderText"/>
          <w:color w:val="000000"/>
          <w:highlight w:val="yellow"/>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Zavedenie zrážkovej dane u farmaceutických spoločností z peňažných plnení poskytovaných lekárom.</w:t>
      </w:r>
    </w:p>
    <w:p w:rsidR="004F4B99" w:rsidRPr="004F4B99" w:rsidP="004F4B99">
      <w:pPr>
        <w:bidi w:val="0"/>
        <w:ind w:left="708"/>
        <w:jc w:val="both"/>
        <w:rPr>
          <w:rStyle w:val="PlaceholderText"/>
          <w:color w:val="000000"/>
        </w:rPr>
      </w:pPr>
      <w:r w:rsidRPr="004F4B99">
        <w:rPr>
          <w:rStyle w:val="PlaceholderText"/>
          <w:color w:val="000000"/>
        </w:rPr>
        <w:t>Kvantifikácia vplyvu vychádza z údajov farmaceutických spoločností o peňažnom a nepeňažnom plnení za roky 2011 – 2013 so zohľadnením skutočnosti časti oslobodených príjmov (registračný poplatok pri vzdelávaní a pod.). Na základe týchto údajov MF SR odhaduje pozitívny vplyv na rozpočet verejnej správy vo výške približne 5 mil. eur.</w:t>
      </w:r>
    </w:p>
    <w:p w:rsidR="004F4B99" w:rsidRPr="004F4B99" w:rsidP="004F4B99">
      <w:pPr>
        <w:bidi w:val="0"/>
        <w:ind w:left="708"/>
        <w:jc w:val="both"/>
        <w:rPr>
          <w:rStyle w:val="PlaceholderText"/>
          <w:color w:val="000000"/>
        </w:rPr>
      </w:pPr>
    </w:p>
    <w:p w:rsidR="004F4B99" w:rsidRPr="004F4B99" w:rsidP="004F4B99">
      <w:pPr>
        <w:pStyle w:val="ListParagraph"/>
        <w:numPr>
          <w:numId w:val="31"/>
        </w:numPr>
        <w:bidi w:val="0"/>
        <w:spacing w:after="0" w:line="240" w:lineRule="auto"/>
        <w:jc w:val="both"/>
        <w:rPr>
          <w:rStyle w:val="PlaceholderText"/>
          <w:b/>
          <w:color w:val="000000"/>
          <w:sz w:val="24"/>
          <w:szCs w:val="24"/>
        </w:rPr>
      </w:pPr>
      <w:r w:rsidRPr="004F4B99">
        <w:rPr>
          <w:rStyle w:val="PlaceholderText"/>
          <w:color w:val="000000"/>
          <w:sz w:val="24"/>
          <w:szCs w:val="24"/>
        </w:rPr>
        <w:t>Úprava podielu obcí na výnose DPFO</w:t>
      </w:r>
    </w:p>
    <w:p w:rsidR="004F4B99" w:rsidRPr="004F4B99" w:rsidP="004F4B99">
      <w:pPr>
        <w:bidi w:val="0"/>
        <w:ind w:left="709"/>
        <w:jc w:val="both"/>
        <w:rPr>
          <w:rStyle w:val="PlaceholderText"/>
          <w:color w:val="000000"/>
        </w:rPr>
      </w:pPr>
      <w:r w:rsidRPr="004F4B99">
        <w:rPr>
          <w:rStyle w:val="PlaceholderText"/>
          <w:color w:val="000000"/>
        </w:rPr>
        <w:t>Kvantifikácia vplyvu vychádza z odhadu daňových príjmov schválených Výborom pre daňové prognózy, kde sa v roku 2015 predpokladal podiel obcí na výnose DPFO vo výške 65,4 %, ktorý bol následne prepočítaný na úroveň 68,5 %. Uvedená úprava nemá vplyv na akruálny výnos daní verejnej správy, ovplyvňuje len štruktúru daňových príjmov v prospech obcí na úkor štátneho rozpočtu. Zvýšenie podielu prinesie obciam dodatočné hotovostné príjmy v roku 2015 na úrovni 63 mil. eur.</w:t>
      </w:r>
    </w:p>
    <w:p w:rsidR="004F4B99" w:rsidRPr="004F4B99" w:rsidP="004F4B99">
      <w:pPr>
        <w:bidi w:val="0"/>
        <w:ind w:left="709"/>
        <w:jc w:val="both"/>
        <w:rPr>
          <w:rStyle w:val="PlaceholderText"/>
          <w:color w:val="000000"/>
        </w:rPr>
      </w:pPr>
    </w:p>
    <w:p w:rsidR="004F4B99" w:rsidRPr="004F4B99" w:rsidP="004F4B99">
      <w:pPr>
        <w:pStyle w:val="ListParagraph"/>
        <w:numPr>
          <w:numId w:val="31"/>
        </w:numPr>
        <w:bidi w:val="0"/>
        <w:spacing w:after="0" w:line="240" w:lineRule="auto"/>
        <w:jc w:val="both"/>
        <w:rPr>
          <w:rStyle w:val="PlaceholderText"/>
          <w:b/>
          <w:color w:val="000000"/>
        </w:rPr>
      </w:pPr>
      <w:r w:rsidRPr="004F4B99">
        <w:rPr>
          <w:rStyle w:val="PlaceholderText"/>
          <w:color w:val="000000"/>
          <w:sz w:val="24"/>
          <w:szCs w:val="24"/>
        </w:rPr>
        <w:t xml:space="preserve">Udelenie individuálnej licencie číselnej lotérii Eurojackpot </w:t>
      </w:r>
    </w:p>
    <w:p w:rsidR="004F4B99" w:rsidRPr="004F4B99" w:rsidP="004F4B99">
      <w:pPr>
        <w:bidi w:val="0"/>
        <w:ind w:left="709"/>
        <w:jc w:val="both"/>
        <w:rPr>
          <w:rStyle w:val="PlaceholderText"/>
          <w:color w:val="000000"/>
        </w:rPr>
      </w:pPr>
      <w:r w:rsidRPr="004F4B99">
        <w:rPr>
          <w:rStyle w:val="PlaceholderText"/>
          <w:color w:val="000000"/>
        </w:rPr>
        <w:t>Kvantifikácia vychádza z predpokladu, že vklady do novej atraktívnejšej hry na základe realizovaného prieskumu budú na úrovni 0,26 mil. eur za týždeň. Predpoklad zmeny atraktívnosti iných hier v prospech Eurojackpotu je zvolený na základe údajov o vývoji vkladov za roky 2013 a 2014, kedy došlo v 43. Týždni roku 2013 k zvýšeniu atraktívnosti lotérie Euromilióny. Od 43. týždňa roku 2013 až po súčasnosť bolo v porovnaní s obdobím prvých 42 týždňov roka 2013 zaznamenané zvýšenie priemerného vkladu do Euromiliónov. V rovnakom období však došlo k zníženiu priemerných vkladov do ostatných lotériových hier. Čistý pozitívny vplyv zmien v atraktivite Euromiliónov na základe týchto údajov bol v danom období len na úrovni cca 30% zvýšených vkladov do Euromiliónov. Uvedené percento sa použilo aj na určenie zmeny atraktívnosti iných hier po zavedení Eurojackpotu. Spustenie lotérie sa očakáva v priebehu roka 2015.</w:t>
      </w:r>
    </w:p>
    <w:p w:rsidR="004F4B99" w:rsidRPr="004F4B99" w:rsidP="004F4B99">
      <w:pPr>
        <w:bidi w:val="0"/>
        <w:jc w:val="both"/>
        <w:rPr>
          <w:rStyle w:val="PlaceholderText"/>
          <w:color w:val="000000"/>
        </w:rPr>
      </w:pPr>
    </w:p>
    <w:p w:rsidR="004F4B99" w:rsidRPr="002C21A0" w:rsidP="004F4B99">
      <w:pPr>
        <w:autoSpaceDE w:val="0"/>
        <w:autoSpaceDN w:val="0"/>
        <w:bidi w:val="0"/>
        <w:adjustRightInd w:val="0"/>
        <w:jc w:val="both"/>
        <w:rPr>
          <w:rFonts w:ascii="Times New Roman" w:hAnsi="Times New Roman"/>
          <w:b/>
        </w:rPr>
      </w:pPr>
      <w:r w:rsidRPr="002C21A0">
        <w:rPr>
          <w:rFonts w:ascii="Times New Roman" w:hAnsi="Times New Roman"/>
          <w:b/>
        </w:rPr>
        <w:t xml:space="preserve">Kvantifikácia </w:t>
      </w:r>
      <w:r>
        <w:rPr>
          <w:rFonts w:ascii="Times New Roman" w:hAnsi="Times New Roman"/>
          <w:b/>
        </w:rPr>
        <w:t>výdavkov</w:t>
      </w:r>
    </w:p>
    <w:p w:rsidR="004F4B99" w:rsidRPr="004F4B99" w:rsidP="004F4B99">
      <w:pPr>
        <w:bidi w:val="0"/>
        <w:jc w:val="both"/>
        <w:rPr>
          <w:rStyle w:val="PlaceholderText"/>
          <w:color w:val="000000"/>
        </w:rPr>
      </w:pPr>
    </w:p>
    <w:p w:rsidR="004F4B99" w:rsidRPr="004F4B99" w:rsidP="004F4B99">
      <w:pPr>
        <w:bidi w:val="0"/>
        <w:jc w:val="both"/>
        <w:rPr>
          <w:rStyle w:val="PlaceholderText"/>
          <w:color w:val="000000"/>
        </w:rPr>
      </w:pPr>
      <w:r w:rsidRPr="004F4B99">
        <w:rPr>
          <w:rStyle w:val="PlaceholderText"/>
          <w:color w:val="000000"/>
        </w:rPr>
        <w:t xml:space="preserve">V súvislosti so zmenou zákona o dani z príjmov boli kvantifikované náklady na zapracovanie nových a novelizovaných dokumentov podávaných elektronicky a písomne v dotknutých informačných systémoch. Odhad finančných vplyvov na jednotlivé IS FS SR v roku 2014 predstavuje spolu 0,6 mil. eur. </w:t>
      </w:r>
    </w:p>
    <w:p w:rsidR="004F4B99" w:rsidRPr="004F4B99" w:rsidP="004F4B99">
      <w:pPr>
        <w:bidi w:val="0"/>
        <w:jc w:val="both"/>
        <w:rPr>
          <w:rStyle w:val="PlaceholderText"/>
          <w:color w:val="000000"/>
        </w:rPr>
      </w:pPr>
      <w:r w:rsidRPr="004F4B99">
        <w:rPr>
          <w:rStyle w:val="PlaceholderText"/>
          <w:color w:val="000000"/>
        </w:rPr>
        <w:t>Nepatrné zníženie výdavkov a príjmov v kapitole MF SR vznikne zavedením možnosti vydávania opisov dokladov z Registra účtovných závierok na Jednotných kontaktných miestach.  V rovnakej miere nastane zvýšenie  výdavkov a príjmov v kapitole MV SR na okresných  úradoch, ktoré budú Jednotnými kontaktnými miestami.</w:t>
      </w:r>
    </w:p>
    <w:p w:rsidR="004F4B99" w:rsidP="004F4B99">
      <w:pPr>
        <w:bidi w:val="0"/>
        <w:ind w:left="708"/>
        <w:jc w:val="both"/>
        <w:rPr>
          <w:rStyle w:val="PlaceholderText"/>
          <w:color w:val="000000"/>
          <w:highlight w:val="yellow"/>
        </w:rPr>
      </w:pPr>
    </w:p>
    <w:p w:rsidR="004F4B99" w:rsidRPr="004F4B99" w:rsidP="004F4B99">
      <w:pPr>
        <w:bidi w:val="0"/>
        <w:ind w:left="708"/>
        <w:jc w:val="both"/>
        <w:rPr>
          <w:rStyle w:val="PlaceholderText"/>
          <w:color w:val="000000"/>
          <w:highlight w:val="yellow"/>
        </w:rPr>
      </w:pPr>
    </w:p>
    <w:p w:rsidR="004F4B99" w:rsidP="004F4B99">
      <w:pPr>
        <w:autoSpaceDE w:val="0"/>
        <w:autoSpaceDN w:val="0"/>
        <w:bidi w:val="0"/>
        <w:adjustRightInd w:val="0"/>
        <w:jc w:val="both"/>
        <w:rPr>
          <w:rFonts w:ascii="Times New Roman" w:hAnsi="Times New Roman"/>
          <w:b/>
        </w:rPr>
      </w:pPr>
      <w:r w:rsidRPr="0012245E">
        <w:rPr>
          <w:rFonts w:ascii="Times New Roman" w:hAnsi="Times New Roman"/>
          <w:b/>
        </w:rPr>
        <w:t>Kvantifikácia príjmov</w:t>
      </w:r>
    </w:p>
    <w:p w:rsidR="004F4B99" w:rsidRPr="0012245E" w:rsidP="004F4B99">
      <w:pPr>
        <w:autoSpaceDE w:val="0"/>
        <w:autoSpaceDN w:val="0"/>
        <w:bidi w:val="0"/>
        <w:adjustRightInd w:val="0"/>
        <w:jc w:val="both"/>
        <w:rPr>
          <w:rFonts w:ascii="Times New Roman" w:hAnsi="Times New Roman"/>
          <w:b/>
        </w:rPr>
      </w:pPr>
    </w:p>
    <w:tbl>
      <w:tblPr>
        <w:tblStyle w:val="TableNormal"/>
        <w:tblW w:w="9171"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00"/>
        <w:gridCol w:w="82"/>
        <w:gridCol w:w="4395"/>
        <w:gridCol w:w="1359"/>
        <w:gridCol w:w="1417"/>
        <w:gridCol w:w="1418"/>
      </w:tblGrid>
      <w:tr>
        <w:tblPrEx>
          <w:tblW w:w="9171"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Ex>
        <w:trPr>
          <w:trHeight w:val="345"/>
        </w:trPr>
        <w:tc>
          <w:tcPr>
            <w:tcW w:w="500" w:type="dxa"/>
            <w:tcBorders>
              <w:top w:val="single" w:sz="8" w:space="0" w:color="auto"/>
              <w:left w:val="single" w:sz="8" w:space="0" w:color="auto"/>
              <w:bottom w:val="single" w:sz="8" w:space="0" w:color="auto"/>
              <w:right w:val="single" w:sz="8" w:space="0" w:color="auto"/>
            </w:tcBorders>
            <w:shd w:val="clear" w:color="auto"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477" w:type="dxa"/>
            <w:gridSpan w:val="2"/>
            <w:vMerge w:val="restart"/>
            <w:tcBorders>
              <w:top w:val="single" w:sz="8" w:space="0" w:color="auto"/>
              <w:left w:val="single" w:sz="8" w:space="0" w:color="auto"/>
              <w:bottom w:val="single" w:sz="8" w:space="0" w:color="auto"/>
              <w:right w:val="single" w:sz="8" w:space="0" w:color="auto"/>
            </w:tcBorders>
            <w:shd w:val="clear" w:color="auto"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Štátny rozpočet (VPS) – príjmy (v tis. eur)</w:t>
            </w:r>
          </w:p>
        </w:tc>
        <w:tc>
          <w:tcPr>
            <w:tcW w:w="4194" w:type="dxa"/>
            <w:gridSpan w:val="3"/>
            <w:tcBorders>
              <w:top w:val="single" w:sz="8" w:space="0" w:color="auto"/>
              <w:left w:val="single" w:sz="8" w:space="0" w:color="auto"/>
              <w:bottom w:val="single" w:sz="8" w:space="0" w:color="auto"/>
              <w:right w:val="single" w:sz="8" w:space="0" w:color="auto"/>
            </w:tcBorders>
            <w:shd w:val="clear" w:color="auto"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Vplyv na štátny rozpočet (ESA95)</w:t>
            </w:r>
          </w:p>
        </w:tc>
      </w:tr>
      <w:tr>
        <w:tblPrEx>
          <w:tblW w:w="9171" w:type="dxa"/>
          <w:tblInd w:w="55" w:type="dxa"/>
          <w:tblCellMar>
            <w:left w:w="70" w:type="dxa"/>
            <w:right w:w="70" w:type="dxa"/>
          </w:tblCellMar>
          <w:tblLook w:val="04A0"/>
        </w:tblPrEx>
        <w:trPr>
          <w:trHeight w:val="345"/>
        </w:trPr>
        <w:tc>
          <w:tcPr>
            <w:tcW w:w="500" w:type="dxa"/>
            <w:tcBorders>
              <w:top w:val="single" w:sz="8" w:space="0" w:color="auto"/>
              <w:left w:val="single" w:sz="8" w:space="0" w:color="auto"/>
              <w:bottom w:val="single" w:sz="8" w:space="0" w:color="auto"/>
              <w:right w:val="single" w:sz="8" w:space="0" w:color="auto"/>
            </w:tcBorders>
            <w:shd w:val="clear" w:color="auto"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477" w:type="dxa"/>
            <w:gridSpan w:val="2"/>
            <w:vMerge/>
            <w:tcBorders>
              <w:top w:val="single" w:sz="8" w:space="0" w:color="auto"/>
              <w:left w:val="single" w:sz="8" w:space="0" w:color="auto"/>
              <w:bottom w:val="single" w:sz="8" w:space="0" w:color="auto"/>
              <w:right w:val="single" w:sz="8" w:space="0" w:color="auto"/>
            </w:tcBorders>
            <w:shd w:val="clear" w:color="auto" w:fill="000000"/>
            <w:textDirection w:val="lrTb"/>
            <w:vAlign w:val="center"/>
            <w:hideMark/>
          </w:tcPr>
          <w:p w:rsidR="004F4B99" w:rsidRPr="0012245E" w:rsidP="004F4B99">
            <w:pPr>
              <w:bidi w:val="0"/>
              <w:rPr>
                <w:rFonts w:ascii="Times New Roman" w:hAnsi="Times New Roman"/>
                <w:b/>
                <w:bCs/>
                <w:color w:val="FFFFFF"/>
                <w:u w:val="single"/>
              </w:rPr>
            </w:pPr>
          </w:p>
        </w:tc>
        <w:tc>
          <w:tcPr>
            <w:tcW w:w="1359" w:type="dxa"/>
            <w:tcBorders>
              <w:top w:val="single" w:sz="8" w:space="0" w:color="auto"/>
              <w:left w:val="single" w:sz="8" w:space="0" w:color="auto"/>
              <w:bottom w:val="single" w:sz="8" w:space="0" w:color="auto"/>
              <w:right w:val="single" w:sz="8" w:space="0" w:color="auto"/>
            </w:tcBorders>
            <w:shd w:val="clear" w:color="auto"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single" w:sz="8" w:space="0" w:color="auto"/>
              <w:left w:val="single" w:sz="8" w:space="0" w:color="auto"/>
              <w:bottom w:val="single" w:sz="8" w:space="0" w:color="auto"/>
              <w:right w:val="single" w:sz="8" w:space="0" w:color="auto"/>
            </w:tcBorders>
            <w:shd w:val="clear" w:color="auto"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tcBorders>
              <w:top w:val="single" w:sz="8" w:space="0" w:color="auto"/>
              <w:left w:val="single" w:sz="8" w:space="0" w:color="auto"/>
              <w:bottom w:val="single" w:sz="8" w:space="0" w:color="auto"/>
              <w:right w:val="single" w:sz="8" w:space="0" w:color="auto"/>
            </w:tcBorders>
            <w:shd w:val="clear" w:color="auto"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100</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rPr>
                <w:rFonts w:ascii="Times New Roman" w:hAnsi="Times New Roman"/>
                <w:b/>
                <w:bCs/>
                <w:color w:val="000000"/>
              </w:rPr>
            </w:pPr>
            <w:r>
              <w:rPr>
                <w:rFonts w:ascii="Times New Roman" w:hAnsi="Times New Roman"/>
                <w:b/>
                <w:bCs/>
                <w:color w:val="000000"/>
              </w:rPr>
              <w:t>Daňové príjmy</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207 437</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215 322</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215 081</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110</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Dane z príjmov a kapitálového majetku</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172 428</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168 643</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168 402</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111</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fyzickej osoby</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-50 871</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-71 564</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-71 359</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112</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právnickej osoby</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218 094</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233 267</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232 821</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113</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vyberaná zrážkou</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5 205</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130</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Dane za tovary a služby</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35 009</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46 679</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46 679</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131</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Daň z pridanej hodnoty</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35 009</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200</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rPr>
                <w:rFonts w:ascii="Times New Roman" w:hAnsi="Times New Roman"/>
                <w:b/>
                <w:bCs/>
                <w:color w:val="000000"/>
              </w:rPr>
            </w:pPr>
            <w:r>
              <w:rPr>
                <w:rFonts w:ascii="Times New Roman" w:hAnsi="Times New Roman"/>
                <w:b/>
                <w:bCs/>
                <w:color w:val="000000"/>
              </w:rPr>
              <w:t>Nedaňové príjmy</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406</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858</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889</w:t>
            </w:r>
          </w:p>
        </w:tc>
      </w:tr>
      <w:tr>
        <w:tblPrEx>
          <w:tblW w:w="9171" w:type="dxa"/>
          <w:tblInd w:w="55" w:type="dxa"/>
          <w:tblCellMar>
            <w:left w:w="70" w:type="dxa"/>
            <w:right w:w="70" w:type="dxa"/>
          </w:tblCellMar>
          <w:tblLook w:val="04A0"/>
        </w:tblPrEx>
        <w:trPr>
          <w:trHeight w:val="345"/>
        </w:trPr>
        <w:tc>
          <w:tcPr>
            <w:tcW w:w="582" w:type="dxa"/>
            <w:gridSpan w:val="2"/>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292 008</w:t>
            </w:r>
          </w:p>
        </w:tc>
        <w:tc>
          <w:tcPr>
            <w:tcW w:w="4395"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Odvody z hazardných hier</w:t>
            </w:r>
          </w:p>
        </w:tc>
        <w:tc>
          <w:tcPr>
            <w:tcW w:w="1359"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406</w:t>
            </w:r>
          </w:p>
        </w:tc>
        <w:tc>
          <w:tcPr>
            <w:tcW w:w="1417"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858</w:t>
            </w:r>
          </w:p>
        </w:tc>
        <w:tc>
          <w:tcPr>
            <w:tcW w:w="1418"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889</w:t>
            </w:r>
          </w:p>
        </w:tc>
      </w:tr>
    </w:tbl>
    <w:p w:rsidR="004F4B99" w:rsidP="004F4B99">
      <w:pPr>
        <w:autoSpaceDE w:val="0"/>
        <w:autoSpaceDN w:val="0"/>
        <w:bidi w:val="0"/>
        <w:adjustRightInd w:val="0"/>
        <w:jc w:val="both"/>
        <w:rPr>
          <w:rFonts w:ascii="Times New Roman" w:hAnsi="Times New Roman"/>
          <w:b/>
        </w:rPr>
      </w:pPr>
    </w:p>
    <w:p w:rsidR="004F4B99" w:rsidRPr="0012245E" w:rsidP="004F4B99">
      <w:pPr>
        <w:autoSpaceDE w:val="0"/>
        <w:autoSpaceDN w:val="0"/>
        <w:bidi w:val="0"/>
        <w:adjustRightInd w:val="0"/>
        <w:jc w:val="both"/>
        <w:rPr>
          <w:rFonts w:ascii="Times New Roman" w:hAnsi="Times New Roman"/>
          <w:b/>
        </w:rPr>
      </w:pPr>
    </w:p>
    <w:tbl>
      <w:tblPr>
        <w:tblStyle w:val="TableNormal"/>
        <w:tblW w:w="9253" w:type="dxa"/>
        <w:tblInd w:w="55" w:type="dxa"/>
        <w:tblLayout w:type="fixed"/>
        <w:tblCellMar>
          <w:left w:w="70" w:type="dxa"/>
          <w:right w:w="70" w:type="dxa"/>
        </w:tblCellMar>
        <w:tblLook w:val="04A0"/>
      </w:tblPr>
      <w:tblGrid>
        <w:gridCol w:w="488"/>
        <w:gridCol w:w="94"/>
        <w:gridCol w:w="4395"/>
        <w:gridCol w:w="76"/>
        <w:gridCol w:w="1166"/>
        <w:gridCol w:w="176"/>
        <w:gridCol w:w="1298"/>
        <w:gridCol w:w="119"/>
        <w:gridCol w:w="1441"/>
      </w:tblGrid>
      <w:tr>
        <w:tblPrEx>
          <w:tblW w:w="9253" w:type="dxa"/>
          <w:tblInd w:w="55" w:type="dxa"/>
          <w:tblLayout w:type="fixed"/>
          <w:tblCellMar>
            <w:left w:w="70" w:type="dxa"/>
            <w:right w:w="70" w:type="dxa"/>
          </w:tblCellMar>
          <w:tblLook w:val="04A0"/>
        </w:tblPrEx>
        <w:trPr>
          <w:trHeight w:val="345"/>
        </w:trPr>
        <w:tc>
          <w:tcPr>
            <w:tcW w:w="488"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565" w:type="dxa"/>
            <w:gridSpan w:val="3"/>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obcí - príjmy (v tis. eur)</w:t>
            </w:r>
          </w:p>
        </w:tc>
        <w:tc>
          <w:tcPr>
            <w:tcW w:w="4200" w:type="dxa"/>
            <w:gridSpan w:val="5"/>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Vplyv na rozpočet obcí (ESA95)</w:t>
            </w:r>
          </w:p>
        </w:tc>
      </w:tr>
      <w:tr>
        <w:tblPrEx>
          <w:tblW w:w="9253" w:type="dxa"/>
          <w:tblInd w:w="55" w:type="dxa"/>
          <w:tblLayout w:type="fixed"/>
          <w:tblCellMar>
            <w:left w:w="70" w:type="dxa"/>
            <w:right w:w="70" w:type="dxa"/>
          </w:tblCellMar>
          <w:tblLook w:val="04A0"/>
        </w:tblPrEx>
        <w:trPr>
          <w:trHeight w:val="345"/>
        </w:trPr>
        <w:tc>
          <w:tcPr>
            <w:tcW w:w="488" w:type="dxa"/>
            <w:tcBorders>
              <w:top w:val="nil"/>
              <w:left w:val="single" w:sz="8" w:space="0" w:color="auto"/>
              <w:bottom w:val="single" w:sz="8" w:space="0" w:color="auto"/>
              <w:right w:val="single" w:sz="8" w:space="0" w:color="auto"/>
            </w:tcBorders>
            <w:shd w:val="solid" w:color="auto" w:fill="auto"/>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565" w:type="dxa"/>
            <w:gridSpan w:val="3"/>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1166"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74" w:type="dxa"/>
            <w:gridSpan w:val="2"/>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560" w:type="dxa"/>
            <w:gridSpan w:val="2"/>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53" w:type="dxa"/>
          <w:tblInd w:w="55" w:type="dxa"/>
          <w:tblLayout w:type="fixed"/>
          <w:tblCellMar>
            <w:left w:w="70" w:type="dxa"/>
            <w:right w:w="70" w:type="dxa"/>
          </w:tblCellMar>
          <w:tblLook w:val="04A0"/>
        </w:tblPrEx>
        <w:trPr>
          <w:trHeight w:val="345"/>
        </w:trPr>
        <w:tc>
          <w:tcPr>
            <w:tcW w:w="582" w:type="dxa"/>
            <w:gridSpan w:val="2"/>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príjmy</w:t>
            </w:r>
          </w:p>
        </w:tc>
        <w:tc>
          <w:tcPr>
            <w:tcW w:w="1418" w:type="dxa"/>
            <w:gridSpan w:val="3"/>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58 893</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76 881</w:t>
            </w:r>
          </w:p>
        </w:tc>
        <w:tc>
          <w:tcPr>
            <w:tcW w:w="1441"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77 593</w:t>
            </w:r>
          </w:p>
        </w:tc>
      </w:tr>
      <w:tr>
        <w:tblPrEx>
          <w:tblW w:w="9253" w:type="dxa"/>
          <w:tblInd w:w="55" w:type="dxa"/>
          <w:tblLayout w:type="fixed"/>
          <w:tblCellMar>
            <w:left w:w="70" w:type="dxa"/>
            <w:right w:w="70" w:type="dxa"/>
          </w:tblCellMar>
          <w:tblLook w:val="04A0"/>
        </w:tblPrEx>
        <w:trPr>
          <w:trHeight w:val="345"/>
        </w:trPr>
        <w:tc>
          <w:tcPr>
            <w:tcW w:w="582" w:type="dxa"/>
            <w:gridSpan w:val="2"/>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110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418" w:type="dxa"/>
            <w:gridSpan w:val="3"/>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58 893</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76 881</w:t>
            </w:r>
          </w:p>
        </w:tc>
        <w:tc>
          <w:tcPr>
            <w:tcW w:w="1441"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77 593</w:t>
            </w:r>
          </w:p>
        </w:tc>
      </w:tr>
      <w:tr>
        <w:tblPrEx>
          <w:tblW w:w="9253" w:type="dxa"/>
          <w:tblInd w:w="55" w:type="dxa"/>
          <w:tblLayout w:type="fixed"/>
          <w:tblCellMar>
            <w:left w:w="70" w:type="dxa"/>
            <w:right w:w="70" w:type="dxa"/>
          </w:tblCellMar>
          <w:tblLook w:val="04A0"/>
        </w:tblPrEx>
        <w:trPr>
          <w:trHeight w:val="345"/>
        </w:trPr>
        <w:tc>
          <w:tcPr>
            <w:tcW w:w="582" w:type="dxa"/>
            <w:gridSpan w:val="2"/>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111003</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Daň z príjmov fyzickej osoby</w:t>
            </w:r>
          </w:p>
        </w:tc>
        <w:tc>
          <w:tcPr>
            <w:tcW w:w="1418" w:type="dxa"/>
            <w:gridSpan w:val="3"/>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58 893</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76 881</w:t>
            </w:r>
          </w:p>
        </w:tc>
        <w:tc>
          <w:tcPr>
            <w:tcW w:w="1441"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77 593</w:t>
            </w:r>
          </w:p>
        </w:tc>
      </w:tr>
    </w:tbl>
    <w:p w:rsidR="004F4B99" w:rsidP="004F4B99">
      <w:pPr>
        <w:autoSpaceDE w:val="0"/>
        <w:autoSpaceDN w:val="0"/>
        <w:bidi w:val="0"/>
        <w:adjustRightInd w:val="0"/>
        <w:jc w:val="both"/>
        <w:rPr>
          <w:rFonts w:ascii="Times New Roman" w:hAnsi="Times New Roman"/>
          <w:b/>
        </w:rPr>
      </w:pPr>
    </w:p>
    <w:p w:rsidR="004F4B99" w:rsidRPr="0012245E" w:rsidP="004F4B99">
      <w:pPr>
        <w:autoSpaceDE w:val="0"/>
        <w:autoSpaceDN w:val="0"/>
        <w:bidi w:val="0"/>
        <w:adjustRightInd w:val="0"/>
        <w:jc w:val="both"/>
        <w:rPr>
          <w:rFonts w:ascii="Times New Roman" w:hAnsi="Times New Roman"/>
          <w:b/>
        </w:rPr>
      </w:pPr>
    </w:p>
    <w:tbl>
      <w:tblPr>
        <w:tblStyle w:val="TableNormal"/>
        <w:tblW w:w="9230" w:type="dxa"/>
        <w:tblInd w:w="55" w:type="dxa"/>
        <w:tblLayout w:type="fixed"/>
        <w:tblCellMar>
          <w:left w:w="70" w:type="dxa"/>
          <w:right w:w="70" w:type="dxa"/>
        </w:tblCellMar>
        <w:tblLook w:val="04A0"/>
      </w:tblPr>
      <w:tblGrid>
        <w:gridCol w:w="582"/>
        <w:gridCol w:w="4395"/>
        <w:gridCol w:w="1418"/>
        <w:gridCol w:w="1418"/>
        <w:gridCol w:w="1417"/>
      </w:tblGrid>
      <w:tr>
        <w:tblPrEx>
          <w:tblW w:w="9230" w:type="dxa"/>
          <w:tblInd w:w="55" w:type="dxa"/>
          <w:tblLayout w:type="fixed"/>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VÚC - príjmy (v tis. eur)</w:t>
            </w:r>
          </w:p>
        </w:tc>
        <w:tc>
          <w:tcPr>
            <w:tcW w:w="4253" w:type="dxa"/>
            <w:gridSpan w:val="3"/>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Vplyv na rozpočet VÚC (ESA95)</w:t>
            </w:r>
          </w:p>
        </w:tc>
      </w:tr>
      <w:tr>
        <w:tblPrEx>
          <w:tblW w:w="9230"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30"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príjmy</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-1 466</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2 681</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1 556</w:t>
            </w:r>
          </w:p>
        </w:tc>
      </w:tr>
      <w:tr>
        <w:tblPrEx>
          <w:tblW w:w="9230"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110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-1 466</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2 681</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1 556</w:t>
            </w:r>
          </w:p>
        </w:tc>
      </w:tr>
      <w:tr>
        <w:tblPrEx>
          <w:tblW w:w="9230"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111003</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Daň z príjmov fyzickej osoby</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-1 466</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2 681</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1 556</w:t>
            </w:r>
          </w:p>
        </w:tc>
      </w:tr>
    </w:tbl>
    <w:p w:rsidR="004F4B99" w:rsidRPr="0012245E" w:rsidP="004F4B99">
      <w:pPr>
        <w:autoSpaceDE w:val="0"/>
        <w:autoSpaceDN w:val="0"/>
        <w:bidi w:val="0"/>
        <w:adjustRightInd w:val="0"/>
        <w:jc w:val="both"/>
        <w:rPr>
          <w:rFonts w:ascii="Times New Roman" w:hAnsi="Times New Roman"/>
          <w:b/>
        </w:rPr>
      </w:pPr>
    </w:p>
    <w:tbl>
      <w:tblPr>
        <w:tblStyle w:val="TableNormal"/>
        <w:tblW w:w="9230" w:type="dxa"/>
        <w:tblInd w:w="55" w:type="dxa"/>
        <w:tblCellMar>
          <w:left w:w="70" w:type="dxa"/>
          <w:right w:w="70" w:type="dxa"/>
        </w:tblCellMar>
        <w:tblLook w:val="04A0"/>
      </w:tblPr>
      <w:tblGrid>
        <w:gridCol w:w="580"/>
        <w:gridCol w:w="4397"/>
        <w:gridCol w:w="1418"/>
        <w:gridCol w:w="1417"/>
        <w:gridCol w:w="1418"/>
      </w:tblGrid>
      <w:tr>
        <w:tblPrEx>
          <w:tblW w:w="9230" w:type="dxa"/>
          <w:tblInd w:w="55" w:type="dxa"/>
          <w:tblCellMar>
            <w:left w:w="70" w:type="dxa"/>
            <w:right w:w="70" w:type="dxa"/>
          </w:tblCellMar>
          <w:tblLook w:val="04A0"/>
        </w:tblPrEx>
        <w:trPr>
          <w:trHeight w:val="330"/>
        </w:trPr>
        <w:tc>
          <w:tcPr>
            <w:tcW w:w="580" w:type="dxa"/>
            <w:tcBorders>
              <w:top w:val="single" w:sz="8" w:space="0" w:color="auto"/>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val="restart"/>
            <w:tcBorders>
              <w:top w:val="single" w:sz="8" w:space="0" w:color="auto"/>
              <w:left w:val="nil"/>
              <w:bottom w:val="single" w:sz="8" w:space="0" w:color="000000"/>
              <w:right w:val="nil"/>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Sociálnej poisťovne - príjmy (v tis. eur)</w:t>
            </w:r>
          </w:p>
        </w:tc>
        <w:tc>
          <w:tcPr>
            <w:tcW w:w="4253" w:type="dxa"/>
            <w:gridSpan w:val="3"/>
            <w:tcBorders>
              <w:top w:val="single" w:sz="8" w:space="0" w:color="auto"/>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Sociálnej poisťovne (ESA95)</w:t>
            </w:r>
          </w:p>
        </w:tc>
      </w:tr>
      <w:tr>
        <w:tblPrEx>
          <w:tblW w:w="9230" w:type="dxa"/>
          <w:tblInd w:w="55" w:type="dxa"/>
          <w:tblCellMar>
            <w:left w:w="70" w:type="dxa"/>
            <w:right w:w="70" w:type="dxa"/>
          </w:tblCellMar>
          <w:tblLook w:val="04A0"/>
        </w:tblPrEx>
        <w:trPr>
          <w:trHeight w:val="345"/>
        </w:trPr>
        <w:tc>
          <w:tcPr>
            <w:tcW w:w="580" w:type="dxa"/>
            <w:tcBorders>
              <w:top w:val="nil"/>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tcBorders>
              <w:top w:val="single" w:sz="8" w:space="0" w:color="auto"/>
              <w:left w:val="nil"/>
              <w:bottom w:val="single" w:sz="8" w:space="0" w:color="000000"/>
              <w:right w:val="nil"/>
            </w:tcBorders>
            <w:textDirection w:val="lrTb"/>
            <w:vAlign w:val="center"/>
            <w:hideMark/>
          </w:tcPr>
          <w:p w:rsidR="004F4B99" w:rsidRPr="0012245E" w:rsidP="004F4B99">
            <w:pPr>
              <w:bidi w:val="0"/>
              <w:rPr>
                <w:rFonts w:ascii="Times New Roman" w:hAnsi="Times New Roman"/>
                <w:b/>
                <w:bCs/>
                <w:color w:val="FFFFFF"/>
                <w:u w:val="single"/>
              </w:rPr>
            </w:pP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Pr>
                <w:rFonts w:ascii="Times New Roman" w:hAnsi="Times New Roman"/>
                <w:b/>
                <w:bCs/>
                <w:color w:val="FFFFFF"/>
              </w:rPr>
              <w:t>2015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30"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1 041</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1 242</w:t>
            </w:r>
          </w:p>
        </w:tc>
      </w:tr>
      <w:tr>
        <w:tblPrEx>
          <w:tblW w:w="9230"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150</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Poistné</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1 041</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1 242</w:t>
            </w:r>
          </w:p>
        </w:tc>
      </w:tr>
      <w:tr>
        <w:tblPrEx>
          <w:tblW w:w="9230" w:type="dxa"/>
          <w:tblInd w:w="55" w:type="dxa"/>
          <w:tblCellMar>
            <w:left w:w="70" w:type="dxa"/>
            <w:right w:w="70" w:type="dxa"/>
          </w:tblCellMar>
          <w:tblLook w:val="04A0"/>
        </w:tblPrEx>
        <w:trPr>
          <w:trHeight w:val="435"/>
        </w:trPr>
        <w:tc>
          <w:tcPr>
            <w:tcW w:w="580" w:type="dxa"/>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151-153, 155-158</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Sociálne poistenie</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1 041</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1 242</w:t>
            </w:r>
          </w:p>
        </w:tc>
      </w:tr>
    </w:tbl>
    <w:p w:rsidR="004F4B99" w:rsidP="004F4B99">
      <w:pPr>
        <w:autoSpaceDE w:val="0"/>
        <w:autoSpaceDN w:val="0"/>
        <w:bidi w:val="0"/>
        <w:adjustRightInd w:val="0"/>
        <w:jc w:val="both"/>
        <w:rPr>
          <w:rFonts w:ascii="Times New Roman" w:hAnsi="Times New Roman"/>
          <w:b/>
        </w:rPr>
      </w:pPr>
    </w:p>
    <w:p w:rsidR="004F4B99" w:rsidRPr="0012245E" w:rsidP="004F4B99">
      <w:pPr>
        <w:autoSpaceDE w:val="0"/>
        <w:autoSpaceDN w:val="0"/>
        <w:bidi w:val="0"/>
        <w:adjustRightInd w:val="0"/>
        <w:jc w:val="both"/>
        <w:rPr>
          <w:rFonts w:ascii="Times New Roman" w:hAnsi="Times New Roman"/>
          <w:b/>
        </w:rPr>
      </w:pPr>
    </w:p>
    <w:tbl>
      <w:tblPr>
        <w:tblStyle w:val="TableNormal"/>
        <w:tblW w:w="9230" w:type="dxa"/>
        <w:tblInd w:w="55" w:type="dxa"/>
        <w:tblCellMar>
          <w:left w:w="70" w:type="dxa"/>
          <w:right w:w="70" w:type="dxa"/>
        </w:tblCellMar>
        <w:tblLook w:val="04A0"/>
      </w:tblPr>
      <w:tblGrid>
        <w:gridCol w:w="500"/>
        <w:gridCol w:w="4477"/>
        <w:gridCol w:w="1418"/>
        <w:gridCol w:w="1417"/>
        <w:gridCol w:w="1418"/>
      </w:tblGrid>
      <w:tr>
        <w:tblPrEx>
          <w:tblW w:w="9230" w:type="dxa"/>
          <w:tblInd w:w="55" w:type="dxa"/>
          <w:tblCellMar>
            <w:left w:w="70" w:type="dxa"/>
            <w:right w:w="70" w:type="dxa"/>
          </w:tblCellMar>
          <w:tblLook w:val="04A0"/>
        </w:tblPrEx>
        <w:trPr>
          <w:trHeight w:val="330"/>
        </w:trPr>
        <w:tc>
          <w:tcPr>
            <w:tcW w:w="500" w:type="dxa"/>
            <w:tcBorders>
              <w:top w:val="single" w:sz="8" w:space="0" w:color="auto"/>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477" w:type="dxa"/>
            <w:vMerge w:val="restart"/>
            <w:tcBorders>
              <w:top w:val="single" w:sz="8" w:space="0" w:color="auto"/>
              <w:left w:val="nil"/>
              <w:bottom w:val="single" w:sz="8" w:space="0" w:color="000000"/>
              <w:right w:val="nil"/>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zdravotných poisťovní - príjmy (v tis. eur)</w:t>
            </w:r>
          </w:p>
        </w:tc>
        <w:tc>
          <w:tcPr>
            <w:tcW w:w="4253" w:type="dxa"/>
            <w:gridSpan w:val="3"/>
            <w:tcBorders>
              <w:top w:val="single" w:sz="8" w:space="0" w:color="auto"/>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zdravotných poisťovní (ESA95)</w:t>
            </w:r>
          </w:p>
        </w:tc>
      </w:tr>
      <w:tr>
        <w:tblPrEx>
          <w:tblW w:w="9230"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477" w:type="dxa"/>
            <w:vMerge/>
            <w:tcBorders>
              <w:top w:val="single" w:sz="8" w:space="0" w:color="auto"/>
              <w:left w:val="nil"/>
              <w:bottom w:val="single" w:sz="8" w:space="0" w:color="000000"/>
              <w:right w:val="nil"/>
            </w:tcBorders>
            <w:textDirection w:val="lrTb"/>
            <w:vAlign w:val="center"/>
            <w:hideMark/>
          </w:tcPr>
          <w:p w:rsidR="004F4B99" w:rsidRPr="0012245E" w:rsidP="004F4B99">
            <w:pPr>
              <w:bidi w:val="0"/>
              <w:rPr>
                <w:rFonts w:ascii="Times New Roman" w:hAnsi="Times New Roman"/>
                <w:b/>
                <w:bCs/>
                <w:color w:val="FFFFFF"/>
                <w:u w:val="single"/>
              </w:rPr>
            </w:pP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30"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47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440</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b/>
                <w:bCs/>
              </w:rPr>
            </w:pPr>
            <w:r w:rsidRPr="00322D1B">
              <w:rPr>
                <w:rFonts w:ascii="Times New Roman" w:hAnsi="Times New Roman"/>
                <w:b/>
                <w:bCs/>
              </w:rPr>
              <w:t>525</w:t>
            </w:r>
          </w:p>
        </w:tc>
      </w:tr>
      <w:tr>
        <w:tblPrEx>
          <w:tblW w:w="9230"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150</w:t>
            </w:r>
          </w:p>
        </w:tc>
        <w:tc>
          <w:tcPr>
            <w:tcW w:w="447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Poistné</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440</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i/>
                <w:iCs/>
              </w:rPr>
            </w:pPr>
            <w:r w:rsidRPr="00322D1B">
              <w:rPr>
                <w:rFonts w:ascii="Times New Roman" w:hAnsi="Times New Roman"/>
                <w:bCs/>
                <w:i/>
                <w:iCs/>
              </w:rPr>
              <w:t>525</w:t>
            </w:r>
          </w:p>
        </w:tc>
      </w:tr>
      <w:tr>
        <w:tblPrEx>
          <w:tblW w:w="9230" w:type="dxa"/>
          <w:tblInd w:w="55" w:type="dxa"/>
          <w:tblCellMar>
            <w:left w:w="70" w:type="dxa"/>
            <w:right w:w="70" w:type="dxa"/>
          </w:tblCellMar>
          <w:tblLook w:val="04A0"/>
        </w:tblPrEx>
        <w:trPr>
          <w:trHeight w:val="345"/>
        </w:trPr>
        <w:tc>
          <w:tcPr>
            <w:tcW w:w="500" w:type="dxa"/>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154</w:t>
            </w:r>
          </w:p>
        </w:tc>
        <w:tc>
          <w:tcPr>
            <w:tcW w:w="447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Zdravotné poistenie</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440</w:t>
            </w:r>
          </w:p>
        </w:tc>
        <w:tc>
          <w:tcPr>
            <w:tcW w:w="1418" w:type="dxa"/>
            <w:tcBorders>
              <w:top w:val="nil"/>
              <w:left w:val="nil"/>
              <w:bottom w:val="single" w:sz="8" w:space="0" w:color="auto"/>
              <w:right w:val="single" w:sz="8" w:space="0" w:color="auto"/>
            </w:tcBorders>
            <w:noWrap/>
            <w:textDirection w:val="lrTb"/>
            <w:vAlign w:val="center"/>
            <w:hideMark/>
          </w:tcPr>
          <w:p w:rsidR="004F4B99" w:rsidRPr="00322D1B" w:rsidP="004F4B99">
            <w:pPr>
              <w:bidi w:val="0"/>
              <w:jc w:val="right"/>
              <w:rPr>
                <w:rFonts w:ascii="Times New Roman" w:hAnsi="Times New Roman"/>
              </w:rPr>
            </w:pPr>
            <w:r w:rsidRPr="00322D1B">
              <w:rPr>
                <w:rFonts w:ascii="Times New Roman" w:hAnsi="Times New Roman"/>
                <w:bCs/>
              </w:rPr>
              <w:t>525</w:t>
            </w:r>
          </w:p>
        </w:tc>
      </w:tr>
    </w:tbl>
    <w:p w:rsidR="004F4B99" w:rsidRPr="0012245E" w:rsidP="004F4B99">
      <w:pPr>
        <w:autoSpaceDE w:val="0"/>
        <w:autoSpaceDN w:val="0"/>
        <w:bidi w:val="0"/>
        <w:adjustRightInd w:val="0"/>
        <w:jc w:val="both"/>
        <w:rPr>
          <w:rFonts w:ascii="Times New Roman" w:hAnsi="Times New Roman"/>
          <w:b/>
        </w:rPr>
      </w:pPr>
    </w:p>
    <w:tbl>
      <w:tblPr>
        <w:tblStyle w:val="TableNormal"/>
        <w:tblW w:w="9229" w:type="dxa"/>
        <w:tblInd w:w="55" w:type="dxa"/>
        <w:tblCellMar>
          <w:left w:w="70" w:type="dxa"/>
          <w:right w:w="70" w:type="dxa"/>
        </w:tblCellMar>
        <w:tblLook w:val="04A0"/>
      </w:tblPr>
      <w:tblGrid>
        <w:gridCol w:w="580"/>
        <w:gridCol w:w="4397"/>
        <w:gridCol w:w="1414"/>
        <w:gridCol w:w="1417"/>
        <w:gridCol w:w="1421"/>
      </w:tblGrid>
      <w:tr>
        <w:tblPrEx>
          <w:tblW w:w="9229" w:type="dxa"/>
          <w:tblInd w:w="55" w:type="dxa"/>
          <w:tblCellMar>
            <w:left w:w="70" w:type="dxa"/>
            <w:right w:w="70" w:type="dxa"/>
          </w:tblCellMar>
          <w:tblLook w:val="04A0"/>
        </w:tblPrEx>
        <w:trPr>
          <w:trHeight w:val="330"/>
        </w:trPr>
        <w:tc>
          <w:tcPr>
            <w:tcW w:w="580" w:type="dxa"/>
            <w:tcBorders>
              <w:top w:val="single" w:sz="8" w:space="0" w:color="auto"/>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val="restart"/>
            <w:tcBorders>
              <w:top w:val="single" w:sz="8" w:space="0" w:color="auto"/>
              <w:left w:val="nil"/>
              <w:bottom w:val="single" w:sz="8" w:space="0" w:color="000000"/>
              <w:right w:val="nil"/>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verejnej správy - (v tis. eur)</w:t>
            </w:r>
          </w:p>
        </w:tc>
        <w:tc>
          <w:tcPr>
            <w:tcW w:w="4252" w:type="dxa"/>
            <w:gridSpan w:val="3"/>
            <w:tcBorders>
              <w:top w:val="single" w:sz="8" w:space="0" w:color="auto"/>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verejnej správy (ESA95)</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tcBorders>
              <w:top w:val="single" w:sz="8" w:space="0" w:color="auto"/>
              <w:left w:val="nil"/>
              <w:bottom w:val="single" w:sz="8" w:space="0" w:color="000000"/>
              <w:right w:val="nil"/>
            </w:tcBorders>
            <w:textDirection w:val="lrTb"/>
            <w:vAlign w:val="center"/>
            <w:hideMark/>
          </w:tcPr>
          <w:p w:rsidR="004F4B99" w:rsidRPr="0012245E" w:rsidP="004F4B99">
            <w:pPr>
              <w:bidi w:val="0"/>
              <w:rPr>
                <w:rFonts w:ascii="Times New Roman" w:hAnsi="Times New Roman"/>
                <w:b/>
                <w:bCs/>
                <w:color w:val="FFFFFF"/>
                <w:u w:val="single"/>
              </w:rPr>
            </w:pPr>
          </w:p>
        </w:tc>
        <w:tc>
          <w:tcPr>
            <w:tcW w:w="1414"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21"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29"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100</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b/>
                <w:bCs/>
                <w:color w:val="000000"/>
              </w:rPr>
            </w:pPr>
            <w:r>
              <w:rPr>
                <w:rFonts w:ascii="Times New Roman" w:hAnsi="Times New Roman"/>
                <w:b/>
                <w:bCs/>
                <w:color w:val="000000"/>
              </w:rPr>
              <w:t>Daňové a odvodové príjmy</w:t>
            </w:r>
          </w:p>
        </w:tc>
        <w:tc>
          <w:tcPr>
            <w:tcW w:w="1414"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264 864</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296 365</w:t>
            </w:r>
          </w:p>
        </w:tc>
        <w:tc>
          <w:tcPr>
            <w:tcW w:w="1421"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295 997</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110</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Dane z príjmov a kapitálového majetku</w:t>
            </w:r>
          </w:p>
        </w:tc>
        <w:tc>
          <w:tcPr>
            <w:tcW w:w="1414"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229 855</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248 205</w:t>
            </w:r>
          </w:p>
        </w:tc>
        <w:tc>
          <w:tcPr>
            <w:tcW w:w="1421"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247 551</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111</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fyzickej osoby</w:t>
            </w:r>
          </w:p>
        </w:tc>
        <w:tc>
          <w:tcPr>
            <w:tcW w:w="1414"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6 556</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7 998</w:t>
            </w:r>
          </w:p>
        </w:tc>
        <w:tc>
          <w:tcPr>
            <w:tcW w:w="1421"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7 790</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112</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právnických osôb</w:t>
            </w:r>
          </w:p>
        </w:tc>
        <w:tc>
          <w:tcPr>
            <w:tcW w:w="1414"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218 094</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233 267</w:t>
            </w:r>
          </w:p>
        </w:tc>
        <w:tc>
          <w:tcPr>
            <w:tcW w:w="1421"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232 821</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113</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vyberaná zrážkou</w:t>
            </w:r>
          </w:p>
        </w:tc>
        <w:tc>
          <w:tcPr>
            <w:tcW w:w="1414"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5 205</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c>
          <w:tcPr>
            <w:tcW w:w="1421"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textDirection w:val="lrTb"/>
            <w:vAlign w:val="center"/>
          </w:tcPr>
          <w:p w:rsidR="004F4B99" w:rsidP="004F4B99">
            <w:pPr>
              <w:bidi w:val="0"/>
              <w:jc w:val="right"/>
              <w:rPr>
                <w:rFonts w:ascii="Times New Roman" w:hAnsi="Times New Roman"/>
                <w:i/>
                <w:iCs/>
                <w:color w:val="000000"/>
              </w:rPr>
            </w:pPr>
            <w:r>
              <w:rPr>
                <w:rFonts w:ascii="Times New Roman" w:hAnsi="Times New Roman"/>
                <w:i/>
                <w:iCs/>
                <w:color w:val="000000"/>
              </w:rPr>
              <w:t>130</w:t>
            </w:r>
          </w:p>
        </w:tc>
        <w:tc>
          <w:tcPr>
            <w:tcW w:w="4397" w:type="dxa"/>
            <w:tcBorders>
              <w:top w:val="nil"/>
              <w:left w:val="nil"/>
              <w:bottom w:val="single" w:sz="8" w:space="0" w:color="auto"/>
              <w:right w:val="single" w:sz="8" w:space="0" w:color="auto"/>
            </w:tcBorders>
            <w:noWrap/>
            <w:textDirection w:val="lrTb"/>
            <w:vAlign w:val="center"/>
          </w:tcPr>
          <w:p w:rsidR="004F4B99" w:rsidP="004F4B99">
            <w:pPr>
              <w:bidi w:val="0"/>
              <w:rPr>
                <w:rFonts w:ascii="Times New Roman" w:hAnsi="Times New Roman"/>
                <w:i/>
                <w:iCs/>
                <w:color w:val="000000"/>
              </w:rPr>
            </w:pPr>
            <w:r>
              <w:rPr>
                <w:rFonts w:ascii="Times New Roman" w:hAnsi="Times New Roman"/>
                <w:i/>
                <w:iCs/>
                <w:color w:val="000000"/>
              </w:rPr>
              <w:t>Dane za tovary a služby</w:t>
            </w:r>
          </w:p>
        </w:tc>
        <w:tc>
          <w:tcPr>
            <w:tcW w:w="1414"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i/>
                <w:iCs/>
              </w:rPr>
            </w:pPr>
            <w:r>
              <w:rPr>
                <w:rFonts w:ascii="Times New Roman" w:hAnsi="Times New Roman"/>
                <w:i/>
                <w:iCs/>
              </w:rPr>
              <w:t>35 009</w:t>
            </w:r>
          </w:p>
        </w:tc>
        <w:tc>
          <w:tcPr>
            <w:tcW w:w="1417"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i/>
                <w:iCs/>
              </w:rPr>
            </w:pPr>
            <w:r>
              <w:rPr>
                <w:rFonts w:ascii="Times New Roman" w:hAnsi="Times New Roman"/>
                <w:i/>
                <w:iCs/>
              </w:rPr>
              <w:t>46 679</w:t>
            </w:r>
          </w:p>
        </w:tc>
        <w:tc>
          <w:tcPr>
            <w:tcW w:w="1421"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i/>
                <w:iCs/>
              </w:rPr>
            </w:pPr>
            <w:r>
              <w:rPr>
                <w:rFonts w:ascii="Times New Roman" w:hAnsi="Times New Roman"/>
                <w:i/>
                <w:iCs/>
              </w:rPr>
              <w:t>46 679</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131</w:t>
            </w:r>
          </w:p>
        </w:tc>
        <w:tc>
          <w:tcPr>
            <w:tcW w:w="4397" w:type="dxa"/>
            <w:tcBorders>
              <w:top w:val="nil"/>
              <w:left w:val="nil"/>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Daň z pridanej hodnoty</w:t>
            </w:r>
          </w:p>
        </w:tc>
        <w:tc>
          <w:tcPr>
            <w:tcW w:w="1414"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35 009</w:t>
            </w:r>
          </w:p>
        </w:tc>
        <w:tc>
          <w:tcPr>
            <w:tcW w:w="1417"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c>
          <w:tcPr>
            <w:tcW w:w="1421"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r>
      <w:tr>
        <w:tblPrEx>
          <w:tblW w:w="9229"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150</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Poistné</w:t>
            </w:r>
          </w:p>
        </w:tc>
        <w:tc>
          <w:tcPr>
            <w:tcW w:w="1414"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0</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1481</w:t>
            </w:r>
          </w:p>
        </w:tc>
        <w:tc>
          <w:tcPr>
            <w:tcW w:w="1421"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1767</w:t>
            </w:r>
          </w:p>
        </w:tc>
      </w:tr>
      <w:tr>
        <w:tblPrEx>
          <w:tblW w:w="9229" w:type="dxa"/>
          <w:tblInd w:w="55" w:type="dxa"/>
          <w:tblCellMar>
            <w:left w:w="70" w:type="dxa"/>
            <w:right w:w="70" w:type="dxa"/>
          </w:tblCellMar>
          <w:tblLook w:val="04A0"/>
        </w:tblPrEx>
        <w:trPr>
          <w:trHeight w:val="435"/>
        </w:trPr>
        <w:tc>
          <w:tcPr>
            <w:tcW w:w="580" w:type="dxa"/>
            <w:tcBorders>
              <w:top w:val="nil"/>
              <w:left w:val="single" w:sz="8" w:space="0" w:color="auto"/>
              <w:bottom w:val="single" w:sz="4"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151-153, 155-158</w:t>
            </w:r>
          </w:p>
        </w:tc>
        <w:tc>
          <w:tcPr>
            <w:tcW w:w="4397" w:type="dxa"/>
            <w:tcBorders>
              <w:top w:val="nil"/>
              <w:left w:val="nil"/>
              <w:bottom w:val="single" w:sz="4"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Sociálne poistenie</w:t>
            </w:r>
          </w:p>
        </w:tc>
        <w:tc>
          <w:tcPr>
            <w:tcW w:w="1414"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0</w:t>
            </w:r>
          </w:p>
        </w:tc>
        <w:tc>
          <w:tcPr>
            <w:tcW w:w="1417"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1041</w:t>
            </w:r>
          </w:p>
        </w:tc>
        <w:tc>
          <w:tcPr>
            <w:tcW w:w="1421"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1242</w:t>
            </w:r>
          </w:p>
        </w:tc>
      </w:tr>
      <w:tr>
        <w:tblPrEx>
          <w:tblW w:w="9229" w:type="dxa"/>
          <w:tblInd w:w="55" w:type="dxa"/>
          <w:tblCellMar>
            <w:left w:w="70" w:type="dxa"/>
            <w:right w:w="70" w:type="dxa"/>
          </w:tblCellMar>
          <w:tblLook w:val="04A0"/>
        </w:tblPrEx>
        <w:trPr>
          <w:trHeight w:val="345"/>
        </w:trPr>
        <w:tc>
          <w:tcPr>
            <w:tcW w:w="580"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154</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Zdravotné poistenie</w:t>
            </w:r>
          </w:p>
        </w:tc>
        <w:tc>
          <w:tcPr>
            <w:tcW w:w="141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440</w:t>
            </w:r>
          </w:p>
        </w:tc>
        <w:tc>
          <w:tcPr>
            <w:tcW w:w="1421"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525</w:t>
            </w:r>
          </w:p>
        </w:tc>
      </w:tr>
      <w:tr>
        <w:tblPrEx>
          <w:tblW w:w="9229" w:type="dxa"/>
          <w:tblInd w:w="55" w:type="dxa"/>
          <w:tblCellMar>
            <w:left w:w="70" w:type="dxa"/>
            <w:right w:w="70" w:type="dxa"/>
          </w:tblCellMar>
          <w:tblLook w:val="04A0"/>
        </w:tblPrEx>
        <w:trPr>
          <w:trHeight w:val="345"/>
        </w:trPr>
        <w:tc>
          <w:tcPr>
            <w:tcW w:w="580" w:type="dxa"/>
            <w:tcBorders>
              <w:top w:val="single" w:sz="4" w:space="0" w:color="auto"/>
              <w:left w:val="single" w:sz="8" w:space="0" w:color="auto"/>
              <w:bottom w:val="single" w:sz="4" w:space="0" w:color="auto"/>
              <w:right w:val="single" w:sz="8" w:space="0" w:color="auto"/>
            </w:tcBorders>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200</w:t>
            </w:r>
          </w:p>
        </w:tc>
        <w:tc>
          <w:tcPr>
            <w:tcW w:w="4397" w:type="dxa"/>
            <w:tcBorders>
              <w:top w:val="single" w:sz="4" w:space="0" w:color="auto"/>
              <w:left w:val="nil"/>
              <w:bottom w:val="single" w:sz="4" w:space="0" w:color="auto"/>
              <w:right w:val="single" w:sz="8" w:space="0" w:color="auto"/>
            </w:tcBorders>
            <w:noWrap/>
            <w:textDirection w:val="lrTb"/>
            <w:vAlign w:val="center"/>
          </w:tcPr>
          <w:p w:rsidR="004F4B99" w:rsidP="004F4B99">
            <w:pPr>
              <w:bidi w:val="0"/>
              <w:rPr>
                <w:rFonts w:ascii="Times New Roman" w:hAnsi="Times New Roman"/>
                <w:b/>
                <w:bCs/>
                <w:color w:val="000000"/>
              </w:rPr>
            </w:pPr>
            <w:r>
              <w:rPr>
                <w:rFonts w:ascii="Times New Roman" w:hAnsi="Times New Roman"/>
                <w:b/>
                <w:bCs/>
                <w:color w:val="000000"/>
              </w:rPr>
              <w:t>Nedaňové príjmy</w:t>
            </w:r>
          </w:p>
        </w:tc>
        <w:tc>
          <w:tcPr>
            <w:tcW w:w="1414" w:type="dxa"/>
            <w:tcBorders>
              <w:top w:val="single" w:sz="4" w:space="0" w:color="auto"/>
              <w:left w:val="nil"/>
              <w:bottom w:val="single" w:sz="4"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406</w:t>
            </w:r>
          </w:p>
        </w:tc>
        <w:tc>
          <w:tcPr>
            <w:tcW w:w="1417" w:type="dxa"/>
            <w:tcBorders>
              <w:top w:val="single" w:sz="4" w:space="0" w:color="auto"/>
              <w:left w:val="nil"/>
              <w:bottom w:val="single" w:sz="4"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858</w:t>
            </w:r>
          </w:p>
        </w:tc>
        <w:tc>
          <w:tcPr>
            <w:tcW w:w="1421" w:type="dxa"/>
            <w:tcBorders>
              <w:top w:val="single" w:sz="4" w:space="0" w:color="auto"/>
              <w:left w:val="nil"/>
              <w:bottom w:val="single" w:sz="4"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889</w:t>
            </w:r>
          </w:p>
        </w:tc>
      </w:tr>
      <w:tr>
        <w:tblPrEx>
          <w:tblW w:w="9229" w:type="dxa"/>
          <w:tblInd w:w="55" w:type="dxa"/>
          <w:tblCellMar>
            <w:left w:w="70" w:type="dxa"/>
            <w:right w:w="70" w:type="dxa"/>
          </w:tblCellMar>
          <w:tblLook w:val="04A0"/>
        </w:tblPrEx>
        <w:trPr>
          <w:trHeight w:val="345"/>
        </w:trPr>
        <w:tc>
          <w:tcPr>
            <w:tcW w:w="580" w:type="dxa"/>
            <w:tcBorders>
              <w:top w:val="single" w:sz="4" w:space="0" w:color="auto"/>
              <w:left w:val="single" w:sz="8" w:space="0" w:color="auto"/>
              <w:bottom w:val="single" w:sz="8" w:space="0" w:color="auto"/>
              <w:right w:val="single" w:sz="8" w:space="0" w:color="auto"/>
            </w:tcBorders>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292 008</w:t>
            </w:r>
          </w:p>
        </w:tc>
        <w:tc>
          <w:tcPr>
            <w:tcW w:w="4397" w:type="dxa"/>
            <w:tcBorders>
              <w:top w:val="single" w:sz="4" w:space="0" w:color="auto"/>
              <w:left w:val="nil"/>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Odvody z hazardných hier</w:t>
            </w:r>
          </w:p>
        </w:tc>
        <w:tc>
          <w:tcPr>
            <w:tcW w:w="1414" w:type="dxa"/>
            <w:tcBorders>
              <w:top w:val="single" w:sz="4"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406</w:t>
            </w:r>
          </w:p>
        </w:tc>
        <w:tc>
          <w:tcPr>
            <w:tcW w:w="1417" w:type="dxa"/>
            <w:tcBorders>
              <w:top w:val="single" w:sz="4"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858</w:t>
            </w:r>
          </w:p>
        </w:tc>
        <w:tc>
          <w:tcPr>
            <w:tcW w:w="1421" w:type="dxa"/>
            <w:tcBorders>
              <w:top w:val="single" w:sz="4"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889</w:t>
            </w:r>
          </w:p>
        </w:tc>
      </w:tr>
    </w:tbl>
    <w:p w:rsidR="004F4B99" w:rsidP="004F4B99">
      <w:pPr>
        <w:autoSpaceDE w:val="0"/>
        <w:autoSpaceDN w:val="0"/>
        <w:bidi w:val="0"/>
        <w:adjustRightInd w:val="0"/>
        <w:jc w:val="both"/>
        <w:rPr>
          <w:rFonts w:ascii="Times New Roman" w:hAnsi="Times New Roman"/>
          <w:b/>
        </w:rPr>
      </w:pPr>
    </w:p>
    <w:tbl>
      <w:tblPr>
        <w:tblStyle w:val="TableNormal"/>
        <w:tblW w:w="9230" w:type="dxa"/>
        <w:tblInd w:w="55" w:type="dxa"/>
        <w:tblCellMar>
          <w:left w:w="70" w:type="dxa"/>
          <w:right w:w="70" w:type="dxa"/>
        </w:tblCellMar>
        <w:tblLook w:val="04A0"/>
      </w:tblPr>
      <w:tblGrid>
        <w:gridCol w:w="582"/>
        <w:gridCol w:w="4395"/>
        <w:gridCol w:w="1418"/>
        <w:gridCol w:w="1418"/>
        <w:gridCol w:w="284"/>
        <w:gridCol w:w="1133"/>
      </w:tblGrid>
      <w:tr>
        <w:tblPrEx>
          <w:tblW w:w="9230" w:type="dxa"/>
          <w:tblInd w:w="55" w:type="dxa"/>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Štátny rozpočet (VPS) - príjmy (v tis. eur)</w:t>
            </w:r>
          </w:p>
        </w:tc>
        <w:tc>
          <w:tcPr>
            <w:tcW w:w="4253" w:type="dxa"/>
            <w:gridSpan w:val="4"/>
            <w:tcBorders>
              <w:top w:val="single" w:sz="8" w:space="0" w:color="auto"/>
              <w:left w:val="single" w:sz="8" w:space="0" w:color="auto"/>
              <w:bottom w:val="single" w:sz="8" w:space="0" w:color="auto"/>
              <w:right w:val="single" w:sz="8" w:space="0" w:color="000000"/>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štátny rozpočet (cash)</w:t>
            </w:r>
          </w:p>
        </w:tc>
      </w:tr>
      <w:tr>
        <w:tblPrEx>
          <w:tblW w:w="9230" w:type="dxa"/>
          <w:tblInd w:w="55" w:type="dxa"/>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702" w:type="dxa"/>
            <w:gridSpan w:val="2"/>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133"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30" w:type="dxa"/>
          <w:tblInd w:w="55" w:type="dxa"/>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100</w:t>
            </w:r>
          </w:p>
        </w:tc>
        <w:tc>
          <w:tcPr>
            <w:tcW w:w="4395"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b/>
                <w:bCs/>
                <w:color w:val="000000"/>
              </w:rPr>
            </w:pPr>
            <w:r>
              <w:rPr>
                <w:rFonts w:ascii="Times New Roman" w:hAnsi="Times New Roman"/>
                <w:b/>
                <w:bCs/>
                <w:color w:val="000000"/>
              </w:rPr>
              <w:t>Daňové príjmy</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-26 665</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420 130</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224 735</w:t>
            </w:r>
          </w:p>
        </w:tc>
      </w:tr>
      <w:tr>
        <w:tblPrEx>
          <w:tblW w:w="9230" w:type="dxa"/>
          <w:tblInd w:w="55" w:type="dxa"/>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110</w:t>
            </w:r>
          </w:p>
        </w:tc>
        <w:tc>
          <w:tcPr>
            <w:tcW w:w="4395"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Dane z príjmov a kapitálového majetku</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-58 757</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373 451</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178 056</w:t>
            </w:r>
          </w:p>
        </w:tc>
      </w:tr>
      <w:tr>
        <w:tblPrEx>
          <w:tblW w:w="9230" w:type="dxa"/>
          <w:tblInd w:w="55" w:type="dxa"/>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111</w:t>
            </w:r>
          </w:p>
        </w:tc>
        <w:tc>
          <w:tcPr>
            <w:tcW w:w="4395"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fyzickej osoby</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-63 962</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-65 780</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-71 140</w:t>
            </w:r>
          </w:p>
        </w:tc>
      </w:tr>
      <w:tr>
        <w:tblPrEx>
          <w:tblW w:w="9230" w:type="dxa"/>
          <w:tblInd w:w="55" w:type="dxa"/>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112</w:t>
            </w:r>
          </w:p>
        </w:tc>
        <w:tc>
          <w:tcPr>
            <w:tcW w:w="4395"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právnickej osoby</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0</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432 291</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242 256</w:t>
            </w:r>
          </w:p>
        </w:tc>
      </w:tr>
      <w:tr>
        <w:tblPrEx>
          <w:tblW w:w="9230" w:type="dxa"/>
          <w:tblInd w:w="55" w:type="dxa"/>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113</w:t>
            </w:r>
          </w:p>
        </w:tc>
        <w:tc>
          <w:tcPr>
            <w:tcW w:w="4395"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vyberaná zrážkou</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5 205</w:t>
            </w:r>
          </w:p>
        </w:tc>
        <w:tc>
          <w:tcPr>
            <w:tcW w:w="141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c>
          <w:tcPr>
            <w:tcW w:w="1417" w:type="dxa"/>
            <w:gridSpan w:val="2"/>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r>
      <w:tr>
        <w:tblPrEx>
          <w:tblW w:w="9230" w:type="dxa"/>
          <w:tblInd w:w="55" w:type="dxa"/>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130</w:t>
            </w:r>
          </w:p>
        </w:tc>
        <w:tc>
          <w:tcPr>
            <w:tcW w:w="4395" w:type="dxa"/>
            <w:tcBorders>
              <w:top w:val="single" w:sz="8" w:space="0" w:color="auto"/>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Dane za tovary a služby</w:t>
            </w:r>
          </w:p>
        </w:tc>
        <w:tc>
          <w:tcPr>
            <w:tcW w:w="1418" w:type="dxa"/>
            <w:tcBorders>
              <w:top w:val="single" w:sz="8" w:space="0" w:color="auto"/>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32 092</w:t>
            </w:r>
          </w:p>
        </w:tc>
        <w:tc>
          <w:tcPr>
            <w:tcW w:w="1418" w:type="dxa"/>
            <w:tcBorders>
              <w:top w:val="single" w:sz="8" w:space="0" w:color="auto"/>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46 679</w:t>
            </w:r>
          </w:p>
        </w:tc>
        <w:tc>
          <w:tcPr>
            <w:tcW w:w="1417" w:type="dxa"/>
            <w:gridSpan w:val="2"/>
            <w:tcBorders>
              <w:top w:val="single" w:sz="8" w:space="0" w:color="auto"/>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46 679</w:t>
            </w:r>
          </w:p>
        </w:tc>
      </w:tr>
      <w:tr>
        <w:tblPrEx>
          <w:tblW w:w="9230" w:type="dxa"/>
          <w:tblInd w:w="55" w:type="dxa"/>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131</w:t>
            </w:r>
          </w:p>
        </w:tc>
        <w:tc>
          <w:tcPr>
            <w:tcW w:w="4395" w:type="dxa"/>
            <w:tcBorders>
              <w:top w:val="single" w:sz="8" w:space="0" w:color="auto"/>
              <w:left w:val="nil"/>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Daň z pridanej hodnoty</w:t>
            </w:r>
          </w:p>
        </w:tc>
        <w:tc>
          <w:tcPr>
            <w:tcW w:w="1418" w:type="dxa"/>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32 092</w:t>
            </w:r>
          </w:p>
        </w:tc>
        <w:tc>
          <w:tcPr>
            <w:tcW w:w="1418" w:type="dxa"/>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c>
          <w:tcPr>
            <w:tcW w:w="1417" w:type="dxa"/>
            <w:gridSpan w:val="2"/>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r>
      <w:tr>
        <w:tblPrEx>
          <w:tblW w:w="9230" w:type="dxa"/>
          <w:tblInd w:w="55" w:type="dxa"/>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200</w:t>
            </w:r>
          </w:p>
        </w:tc>
        <w:tc>
          <w:tcPr>
            <w:tcW w:w="4395" w:type="dxa"/>
            <w:tcBorders>
              <w:top w:val="single" w:sz="8" w:space="0" w:color="auto"/>
              <w:left w:val="nil"/>
              <w:bottom w:val="single" w:sz="8" w:space="0" w:color="auto"/>
              <w:right w:val="single" w:sz="8" w:space="0" w:color="auto"/>
            </w:tcBorders>
            <w:noWrap/>
            <w:textDirection w:val="lrTb"/>
            <w:vAlign w:val="center"/>
          </w:tcPr>
          <w:p w:rsidR="004F4B99" w:rsidP="004F4B99">
            <w:pPr>
              <w:bidi w:val="0"/>
              <w:rPr>
                <w:rFonts w:ascii="Times New Roman" w:hAnsi="Times New Roman"/>
                <w:b/>
                <w:bCs/>
                <w:color w:val="000000"/>
              </w:rPr>
            </w:pPr>
            <w:r>
              <w:rPr>
                <w:rFonts w:ascii="Times New Roman" w:hAnsi="Times New Roman"/>
                <w:b/>
                <w:bCs/>
                <w:color w:val="000000"/>
              </w:rPr>
              <w:t>Nedaňové príjmy</w:t>
            </w:r>
          </w:p>
        </w:tc>
        <w:tc>
          <w:tcPr>
            <w:tcW w:w="1418" w:type="dxa"/>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406</w:t>
            </w:r>
          </w:p>
        </w:tc>
        <w:tc>
          <w:tcPr>
            <w:tcW w:w="1418" w:type="dxa"/>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858</w:t>
            </w:r>
          </w:p>
        </w:tc>
        <w:tc>
          <w:tcPr>
            <w:tcW w:w="1417" w:type="dxa"/>
            <w:gridSpan w:val="2"/>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889</w:t>
            </w:r>
          </w:p>
        </w:tc>
      </w:tr>
      <w:tr>
        <w:tblPrEx>
          <w:tblW w:w="9230" w:type="dxa"/>
          <w:tblInd w:w="55" w:type="dxa"/>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292 008</w:t>
            </w:r>
          </w:p>
        </w:tc>
        <w:tc>
          <w:tcPr>
            <w:tcW w:w="4395" w:type="dxa"/>
            <w:tcBorders>
              <w:top w:val="single" w:sz="8" w:space="0" w:color="auto"/>
              <w:left w:val="nil"/>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Odvody z hazardných hier</w:t>
            </w:r>
          </w:p>
        </w:tc>
        <w:tc>
          <w:tcPr>
            <w:tcW w:w="1418" w:type="dxa"/>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406</w:t>
            </w:r>
          </w:p>
        </w:tc>
        <w:tc>
          <w:tcPr>
            <w:tcW w:w="1418" w:type="dxa"/>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858</w:t>
            </w:r>
          </w:p>
        </w:tc>
        <w:tc>
          <w:tcPr>
            <w:tcW w:w="1417" w:type="dxa"/>
            <w:gridSpan w:val="2"/>
            <w:tcBorders>
              <w:top w:val="single" w:sz="8"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889</w:t>
            </w:r>
          </w:p>
        </w:tc>
      </w:tr>
    </w:tbl>
    <w:p w:rsidR="004F4B99" w:rsidP="004F4B99">
      <w:pPr>
        <w:autoSpaceDE w:val="0"/>
        <w:autoSpaceDN w:val="0"/>
        <w:bidi w:val="0"/>
        <w:adjustRightInd w:val="0"/>
        <w:jc w:val="both"/>
        <w:rPr>
          <w:rFonts w:ascii="Times New Roman" w:hAnsi="Times New Roman"/>
          <w:b/>
        </w:rPr>
      </w:pPr>
    </w:p>
    <w:p w:rsidR="004F4B99" w:rsidRPr="0012245E" w:rsidP="004F4B99">
      <w:pPr>
        <w:autoSpaceDE w:val="0"/>
        <w:autoSpaceDN w:val="0"/>
        <w:bidi w:val="0"/>
        <w:adjustRightInd w:val="0"/>
        <w:jc w:val="both"/>
        <w:rPr>
          <w:rFonts w:ascii="Times New Roman" w:hAnsi="Times New Roman"/>
          <w:b/>
        </w:rPr>
      </w:pPr>
    </w:p>
    <w:tbl>
      <w:tblPr>
        <w:tblStyle w:val="TableNormal"/>
        <w:tblW w:w="9229" w:type="dxa"/>
        <w:tblInd w:w="55" w:type="dxa"/>
        <w:tblLayout w:type="fixed"/>
        <w:tblCellMar>
          <w:left w:w="70" w:type="dxa"/>
          <w:right w:w="70" w:type="dxa"/>
        </w:tblCellMar>
        <w:tblLook w:val="04A0"/>
      </w:tblPr>
      <w:tblGrid>
        <w:gridCol w:w="582"/>
        <w:gridCol w:w="4395"/>
        <w:gridCol w:w="1418"/>
        <w:gridCol w:w="1417"/>
        <w:gridCol w:w="1417"/>
      </w:tblGrid>
      <w:tr>
        <w:tblPrEx>
          <w:tblW w:w="9229" w:type="dxa"/>
          <w:tblInd w:w="55" w:type="dxa"/>
          <w:tblLayout w:type="fixed"/>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obcí - príjmy (v tis. eur)</w:t>
            </w:r>
          </w:p>
        </w:tc>
        <w:tc>
          <w:tcPr>
            <w:tcW w:w="2835" w:type="dxa"/>
            <w:gridSpan w:val="2"/>
            <w:tcBorders>
              <w:top w:val="single" w:sz="8" w:space="0" w:color="auto"/>
              <w:left w:val="single" w:sz="8" w:space="0" w:color="auto"/>
              <w:bottom w:val="single" w:sz="8" w:space="0" w:color="auto"/>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obcí (cash)</w:t>
            </w:r>
          </w:p>
        </w:tc>
        <w:tc>
          <w:tcPr>
            <w:tcW w:w="1417" w:type="dxa"/>
            <w:tcBorders>
              <w:top w:val="single" w:sz="8" w:space="0" w:color="auto"/>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príjmy</w:t>
            </w:r>
          </w:p>
        </w:tc>
        <w:tc>
          <w:tcPr>
            <w:tcW w:w="141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58 893</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76 881</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77 593</w:t>
            </w: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110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41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58 893</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76 881</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77 593</w:t>
            </w: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111003</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Daň z príjmov fyzickej osoby</w:t>
            </w:r>
          </w:p>
        </w:tc>
        <w:tc>
          <w:tcPr>
            <w:tcW w:w="141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58 893</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76 881</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77 593</w:t>
            </w:r>
          </w:p>
        </w:tc>
      </w:tr>
    </w:tbl>
    <w:p w:rsidR="004F4B99" w:rsidP="004F4B99">
      <w:pPr>
        <w:autoSpaceDE w:val="0"/>
        <w:autoSpaceDN w:val="0"/>
        <w:bidi w:val="0"/>
        <w:adjustRightInd w:val="0"/>
        <w:jc w:val="both"/>
        <w:rPr>
          <w:rFonts w:ascii="Times New Roman" w:hAnsi="Times New Roman"/>
          <w:b/>
        </w:rPr>
      </w:pPr>
    </w:p>
    <w:tbl>
      <w:tblPr>
        <w:tblStyle w:val="TableNormal"/>
        <w:tblW w:w="9229" w:type="dxa"/>
        <w:tblInd w:w="55" w:type="dxa"/>
        <w:tblLayout w:type="fixed"/>
        <w:tblCellMar>
          <w:left w:w="70" w:type="dxa"/>
          <w:right w:w="70" w:type="dxa"/>
        </w:tblCellMar>
        <w:tblLook w:val="04A0"/>
      </w:tblPr>
      <w:tblGrid>
        <w:gridCol w:w="582"/>
        <w:gridCol w:w="4395"/>
        <w:gridCol w:w="1418"/>
        <w:gridCol w:w="1417"/>
        <w:gridCol w:w="1417"/>
      </w:tblGrid>
      <w:tr>
        <w:tblPrEx>
          <w:tblW w:w="9229" w:type="dxa"/>
          <w:tblInd w:w="55" w:type="dxa"/>
          <w:tblLayout w:type="fixed"/>
          <w:tblCellMar>
            <w:left w:w="70" w:type="dxa"/>
            <w:right w:w="70" w:type="dxa"/>
          </w:tblCellMar>
          <w:tblLook w:val="04A0"/>
        </w:tblPrEx>
        <w:trPr>
          <w:trHeight w:val="345"/>
        </w:trPr>
        <w:tc>
          <w:tcPr>
            <w:tcW w:w="582" w:type="dxa"/>
            <w:tcBorders>
              <w:top w:val="single" w:sz="8" w:space="0" w:color="auto"/>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jc w:val="both"/>
              <w:rPr>
                <w:rFonts w:ascii="Times New Roman" w:hAnsi="Times New Roman"/>
                <w:b/>
                <w:bCs/>
                <w:color w:val="FFFFFF"/>
              </w:rPr>
            </w:pPr>
          </w:p>
        </w:tc>
        <w:tc>
          <w:tcPr>
            <w:tcW w:w="4395" w:type="dxa"/>
            <w:vMerge w:val="restart"/>
            <w:tcBorders>
              <w:top w:val="single" w:sz="8" w:space="0" w:color="auto"/>
              <w:left w:val="single" w:sz="8" w:space="0" w:color="auto"/>
              <w:bottom w:val="single" w:sz="8" w:space="0" w:color="000000"/>
              <w:right w:val="single" w:sz="8" w:space="0" w:color="auto"/>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VÚC - príjmy (v tis. eur)</w:t>
            </w:r>
          </w:p>
        </w:tc>
        <w:tc>
          <w:tcPr>
            <w:tcW w:w="2835" w:type="dxa"/>
            <w:gridSpan w:val="2"/>
            <w:tcBorders>
              <w:top w:val="single" w:sz="8" w:space="0" w:color="auto"/>
              <w:left w:val="single" w:sz="8" w:space="0" w:color="auto"/>
              <w:bottom w:val="single" w:sz="8" w:space="0" w:color="auto"/>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VÚC (cash)</w:t>
            </w:r>
          </w:p>
        </w:tc>
        <w:tc>
          <w:tcPr>
            <w:tcW w:w="1417" w:type="dxa"/>
            <w:tcBorders>
              <w:top w:val="single" w:sz="8" w:space="0" w:color="auto"/>
              <w:left w:val="nil"/>
              <w:bottom w:val="single" w:sz="8" w:space="0" w:color="auto"/>
              <w:right w:val="single" w:sz="8" w:space="0" w:color="000000"/>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5" w:type="dxa"/>
            <w:vMerge/>
            <w:tcBorders>
              <w:top w:val="single" w:sz="8" w:space="0" w:color="auto"/>
              <w:left w:val="single" w:sz="8" w:space="0" w:color="auto"/>
              <w:bottom w:val="single" w:sz="8" w:space="0" w:color="000000"/>
              <w:right w:val="single" w:sz="8"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1418"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17" w:type="dxa"/>
            <w:tcBorders>
              <w:top w:val="nil"/>
              <w:left w:val="nil"/>
              <w:bottom w:val="single" w:sz="8" w:space="0" w:color="auto"/>
              <w:right w:val="single" w:sz="8"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príjmy</w:t>
            </w:r>
          </w:p>
        </w:tc>
        <w:tc>
          <w:tcPr>
            <w:tcW w:w="141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iCs/>
              </w:rPr>
              <w:t>-1 466</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iCs/>
              </w:rPr>
              <w:t>2 681</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iCs/>
              </w:rPr>
              <w:t>1 556</w:t>
            </w: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110</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Dane z príjmov a kapitálového majetku</w:t>
            </w:r>
          </w:p>
        </w:tc>
        <w:tc>
          <w:tcPr>
            <w:tcW w:w="141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-1 466</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2 681</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1 556</w:t>
            </w:r>
          </w:p>
        </w:tc>
      </w:tr>
      <w:tr>
        <w:tblPrEx>
          <w:tblW w:w="9229" w:type="dxa"/>
          <w:tblInd w:w="55" w:type="dxa"/>
          <w:tblLayout w:type="fixed"/>
          <w:tblCellMar>
            <w:left w:w="70" w:type="dxa"/>
            <w:right w:w="70" w:type="dxa"/>
          </w:tblCellMar>
          <w:tblLook w:val="04A0"/>
        </w:tblPrEx>
        <w:trPr>
          <w:trHeight w:val="345"/>
        </w:trPr>
        <w:tc>
          <w:tcPr>
            <w:tcW w:w="582" w:type="dxa"/>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111003</w:t>
            </w:r>
          </w:p>
        </w:tc>
        <w:tc>
          <w:tcPr>
            <w:tcW w:w="4395"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Daň z príjmov fyzickej osoby</w:t>
            </w:r>
          </w:p>
        </w:tc>
        <w:tc>
          <w:tcPr>
            <w:tcW w:w="141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-1 466</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2 681</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1 556</w:t>
            </w:r>
          </w:p>
        </w:tc>
      </w:tr>
    </w:tbl>
    <w:p w:rsidR="004F4B99" w:rsidRPr="0012245E" w:rsidP="004F4B99">
      <w:pPr>
        <w:autoSpaceDE w:val="0"/>
        <w:autoSpaceDN w:val="0"/>
        <w:bidi w:val="0"/>
        <w:adjustRightInd w:val="0"/>
        <w:jc w:val="both"/>
        <w:rPr>
          <w:rFonts w:ascii="Times New Roman" w:hAnsi="Times New Roman"/>
          <w:b/>
        </w:rPr>
      </w:pPr>
    </w:p>
    <w:tbl>
      <w:tblPr>
        <w:tblStyle w:val="TableNormal"/>
        <w:tblW w:w="9258" w:type="dxa"/>
        <w:tblInd w:w="55" w:type="dxa"/>
        <w:tblCellMar>
          <w:left w:w="70" w:type="dxa"/>
          <w:right w:w="70" w:type="dxa"/>
        </w:tblCellMar>
        <w:tblLook w:val="04A0"/>
      </w:tblPr>
      <w:tblGrid>
        <w:gridCol w:w="580"/>
        <w:gridCol w:w="4397"/>
        <w:gridCol w:w="1458"/>
        <w:gridCol w:w="1417"/>
        <w:gridCol w:w="1406"/>
      </w:tblGrid>
      <w:tr>
        <w:tblPrEx>
          <w:tblW w:w="9258" w:type="dxa"/>
          <w:tblInd w:w="55" w:type="dxa"/>
          <w:tblCellMar>
            <w:left w:w="70" w:type="dxa"/>
            <w:right w:w="70" w:type="dxa"/>
          </w:tblCellMar>
          <w:tblLook w:val="04A0"/>
        </w:tblPrEx>
        <w:trPr>
          <w:trHeight w:val="330"/>
        </w:trPr>
        <w:tc>
          <w:tcPr>
            <w:tcW w:w="580" w:type="dxa"/>
            <w:tcBorders>
              <w:top w:val="single" w:sz="8" w:space="0" w:color="auto"/>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val="restart"/>
            <w:tcBorders>
              <w:top w:val="single" w:sz="8" w:space="0" w:color="auto"/>
              <w:left w:val="nil"/>
              <w:bottom w:val="single" w:sz="8" w:space="0" w:color="000000"/>
              <w:right w:val="nil"/>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Sociálnej poisťovne - príjmy (v tis. eur)</w:t>
            </w:r>
          </w:p>
        </w:tc>
        <w:tc>
          <w:tcPr>
            <w:tcW w:w="4281" w:type="dxa"/>
            <w:gridSpan w:val="3"/>
            <w:tcBorders>
              <w:top w:val="single" w:sz="8" w:space="0" w:color="auto"/>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Sociálnej poisťovne (cash)</w:t>
            </w:r>
          </w:p>
        </w:tc>
      </w:tr>
      <w:tr>
        <w:tblPrEx>
          <w:tblW w:w="9258" w:type="dxa"/>
          <w:tblInd w:w="55" w:type="dxa"/>
          <w:tblCellMar>
            <w:left w:w="70" w:type="dxa"/>
            <w:right w:w="70" w:type="dxa"/>
          </w:tblCellMar>
          <w:tblLook w:val="04A0"/>
        </w:tblPrEx>
        <w:trPr>
          <w:trHeight w:val="345"/>
        </w:trPr>
        <w:tc>
          <w:tcPr>
            <w:tcW w:w="580" w:type="dxa"/>
            <w:tcBorders>
              <w:top w:val="nil"/>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tcBorders>
              <w:top w:val="single" w:sz="8" w:space="0" w:color="auto"/>
              <w:left w:val="nil"/>
              <w:bottom w:val="single" w:sz="8" w:space="0" w:color="000000"/>
              <w:right w:val="nil"/>
            </w:tcBorders>
            <w:textDirection w:val="lrTb"/>
            <w:vAlign w:val="center"/>
            <w:hideMark/>
          </w:tcPr>
          <w:p w:rsidR="004F4B99" w:rsidRPr="0012245E" w:rsidP="004F4B99">
            <w:pPr>
              <w:bidi w:val="0"/>
              <w:rPr>
                <w:rFonts w:ascii="Times New Roman" w:hAnsi="Times New Roman"/>
                <w:b/>
                <w:bCs/>
                <w:color w:val="FFFFFF"/>
                <w:u w:val="single"/>
              </w:rPr>
            </w:pPr>
          </w:p>
        </w:tc>
        <w:tc>
          <w:tcPr>
            <w:tcW w:w="1458" w:type="dxa"/>
            <w:tcBorders>
              <w:top w:val="nil"/>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nil"/>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06" w:type="dxa"/>
            <w:tcBorders>
              <w:top w:val="nil"/>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58" w:type="dxa"/>
          <w:tblInd w:w="55"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458"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1041</w:t>
            </w:r>
          </w:p>
        </w:tc>
        <w:tc>
          <w:tcPr>
            <w:tcW w:w="1406"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1242</w:t>
            </w:r>
          </w:p>
        </w:tc>
      </w:tr>
      <w:tr>
        <w:tblPrEx>
          <w:tblW w:w="9258" w:type="dxa"/>
          <w:tblInd w:w="55"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150</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Poistné</w:t>
            </w:r>
          </w:p>
        </w:tc>
        <w:tc>
          <w:tcPr>
            <w:tcW w:w="145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1041</w:t>
            </w:r>
          </w:p>
        </w:tc>
        <w:tc>
          <w:tcPr>
            <w:tcW w:w="1406"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1242</w:t>
            </w:r>
          </w:p>
        </w:tc>
      </w:tr>
      <w:tr>
        <w:tblPrEx>
          <w:tblW w:w="9258" w:type="dxa"/>
          <w:tblInd w:w="55" w:type="dxa"/>
          <w:tblCellMar>
            <w:left w:w="70" w:type="dxa"/>
            <w:right w:w="70" w:type="dxa"/>
          </w:tblCellMar>
          <w:tblLook w:val="04A0"/>
        </w:tblPrEx>
        <w:trPr>
          <w:trHeight w:val="435"/>
        </w:trPr>
        <w:tc>
          <w:tcPr>
            <w:tcW w:w="580" w:type="dxa"/>
            <w:tcBorders>
              <w:top w:val="nil"/>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151-153, 155-158</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Sociálne poistenie</w:t>
            </w:r>
          </w:p>
        </w:tc>
        <w:tc>
          <w:tcPr>
            <w:tcW w:w="145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1 041</w:t>
            </w:r>
          </w:p>
        </w:tc>
        <w:tc>
          <w:tcPr>
            <w:tcW w:w="1406"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1 242</w:t>
            </w:r>
          </w:p>
        </w:tc>
      </w:tr>
    </w:tbl>
    <w:p w:rsidR="004F4B99" w:rsidRPr="0012245E" w:rsidP="004F4B99">
      <w:pPr>
        <w:autoSpaceDE w:val="0"/>
        <w:autoSpaceDN w:val="0"/>
        <w:bidi w:val="0"/>
        <w:adjustRightInd w:val="0"/>
        <w:jc w:val="both"/>
        <w:rPr>
          <w:rFonts w:ascii="Times New Roman" w:hAnsi="Times New Roman"/>
          <w:b/>
        </w:rPr>
      </w:pPr>
    </w:p>
    <w:tbl>
      <w:tblPr>
        <w:tblStyle w:val="TableNormal"/>
        <w:tblW w:w="9258" w:type="dxa"/>
        <w:tblInd w:w="50" w:type="dxa"/>
        <w:tblCellMar>
          <w:left w:w="70" w:type="dxa"/>
          <w:right w:w="70" w:type="dxa"/>
        </w:tblCellMar>
        <w:tblLook w:val="04A0"/>
      </w:tblPr>
      <w:tblGrid>
        <w:gridCol w:w="580"/>
        <w:gridCol w:w="4397"/>
        <w:gridCol w:w="1458"/>
        <w:gridCol w:w="1417"/>
        <w:gridCol w:w="1406"/>
      </w:tblGrid>
      <w:tr>
        <w:tblPrEx>
          <w:tblW w:w="9258" w:type="dxa"/>
          <w:tblInd w:w="50" w:type="dxa"/>
          <w:tblCellMar>
            <w:left w:w="70" w:type="dxa"/>
            <w:right w:w="70" w:type="dxa"/>
          </w:tblCellMar>
          <w:tblLook w:val="04A0"/>
        </w:tblPrEx>
        <w:trPr>
          <w:trHeight w:val="330"/>
        </w:trPr>
        <w:tc>
          <w:tcPr>
            <w:tcW w:w="580" w:type="dxa"/>
            <w:tcBorders>
              <w:top w:val="single" w:sz="8" w:space="0" w:color="auto"/>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val="restart"/>
            <w:tcBorders>
              <w:top w:val="single" w:sz="8" w:space="0" w:color="auto"/>
              <w:left w:val="nil"/>
              <w:bottom w:val="single" w:sz="8" w:space="0" w:color="000000"/>
              <w:right w:val="nil"/>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zdravotných poisťovní - príjmy (v tis. eur)</w:t>
            </w:r>
          </w:p>
        </w:tc>
        <w:tc>
          <w:tcPr>
            <w:tcW w:w="4281" w:type="dxa"/>
            <w:gridSpan w:val="3"/>
            <w:tcBorders>
              <w:top w:val="single" w:sz="8" w:space="0" w:color="auto"/>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zdravotných poisťovní (cash)</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nil"/>
              <w:right w:val="nil"/>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tcBorders>
              <w:top w:val="single" w:sz="8" w:space="0" w:color="auto"/>
              <w:left w:val="nil"/>
              <w:bottom w:val="single" w:sz="8" w:space="0" w:color="000000"/>
              <w:right w:val="nil"/>
            </w:tcBorders>
            <w:textDirection w:val="lrTb"/>
            <w:vAlign w:val="center"/>
            <w:hideMark/>
          </w:tcPr>
          <w:p w:rsidR="004F4B99" w:rsidRPr="0012245E" w:rsidP="004F4B99">
            <w:pPr>
              <w:bidi w:val="0"/>
              <w:rPr>
                <w:rFonts w:ascii="Times New Roman" w:hAnsi="Times New Roman"/>
                <w:b/>
                <w:bCs/>
                <w:color w:val="FFFFFF"/>
                <w:u w:val="single"/>
              </w:rPr>
            </w:pPr>
          </w:p>
        </w:tc>
        <w:tc>
          <w:tcPr>
            <w:tcW w:w="1458" w:type="dxa"/>
            <w:tcBorders>
              <w:top w:val="nil"/>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nil"/>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06" w:type="dxa"/>
            <w:tcBorders>
              <w:top w:val="nil"/>
              <w:left w:val="nil"/>
              <w:bottom w:val="nil"/>
              <w:right w:val="nil"/>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58" w:type="dxa"/>
          <w:tblInd w:w="50"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b/>
                <w:bCs/>
                <w:color w:val="000000"/>
              </w:rPr>
            </w:pPr>
            <w:r w:rsidRPr="0012245E">
              <w:rPr>
                <w:rFonts w:ascii="Times New Roman" w:hAnsi="Times New Roman"/>
                <w:b/>
                <w:bCs/>
                <w:color w:val="000000"/>
              </w:rPr>
              <w:t>100</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b/>
                <w:bCs/>
                <w:color w:val="000000"/>
              </w:rPr>
            </w:pPr>
            <w:r w:rsidRPr="0012245E">
              <w:rPr>
                <w:rFonts w:ascii="Times New Roman" w:hAnsi="Times New Roman"/>
                <w:b/>
                <w:bCs/>
                <w:color w:val="000000"/>
              </w:rPr>
              <w:t>Daňové a odvodové príjmy</w:t>
            </w:r>
          </w:p>
        </w:tc>
        <w:tc>
          <w:tcPr>
            <w:tcW w:w="1458"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440</w:t>
            </w:r>
          </w:p>
        </w:tc>
        <w:tc>
          <w:tcPr>
            <w:tcW w:w="1406"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b/>
                <w:bCs/>
              </w:rPr>
            </w:pPr>
            <w:r w:rsidRPr="00B81C04">
              <w:rPr>
                <w:rFonts w:ascii="Times New Roman" w:hAnsi="Times New Roman"/>
                <w:b/>
                <w:bCs/>
              </w:rPr>
              <w:t>525</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RPr="0012245E" w:rsidP="004F4B99">
            <w:pPr>
              <w:bidi w:val="0"/>
              <w:jc w:val="right"/>
              <w:rPr>
                <w:rFonts w:ascii="Times New Roman" w:hAnsi="Times New Roman"/>
                <w:i/>
                <w:iCs/>
                <w:color w:val="000000"/>
              </w:rPr>
            </w:pPr>
            <w:r w:rsidRPr="0012245E">
              <w:rPr>
                <w:rFonts w:ascii="Times New Roman" w:hAnsi="Times New Roman"/>
                <w:i/>
                <w:iCs/>
                <w:color w:val="000000"/>
              </w:rPr>
              <w:t>150</w:t>
            </w:r>
          </w:p>
        </w:tc>
        <w:tc>
          <w:tcPr>
            <w:tcW w:w="4397" w:type="dxa"/>
            <w:tcBorders>
              <w:top w:val="nil"/>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i/>
                <w:iCs/>
                <w:color w:val="000000"/>
              </w:rPr>
            </w:pPr>
            <w:r w:rsidRPr="0012245E">
              <w:rPr>
                <w:rFonts w:ascii="Times New Roman" w:hAnsi="Times New Roman"/>
                <w:i/>
                <w:iCs/>
                <w:color w:val="000000"/>
              </w:rPr>
              <w:t>Poistné</w:t>
            </w:r>
          </w:p>
        </w:tc>
        <w:tc>
          <w:tcPr>
            <w:tcW w:w="1458"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0</w:t>
            </w:r>
          </w:p>
        </w:tc>
        <w:tc>
          <w:tcPr>
            <w:tcW w:w="1417"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440</w:t>
            </w:r>
          </w:p>
        </w:tc>
        <w:tc>
          <w:tcPr>
            <w:tcW w:w="1406" w:type="dxa"/>
            <w:tcBorders>
              <w:top w:val="nil"/>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i/>
                <w:iCs/>
              </w:rPr>
            </w:pPr>
            <w:r w:rsidRPr="00B81C04">
              <w:rPr>
                <w:rFonts w:ascii="Times New Roman" w:hAnsi="Times New Roman"/>
                <w:i/>
                <w:iCs/>
              </w:rPr>
              <w:t>525</w:t>
            </w:r>
          </w:p>
        </w:tc>
      </w:tr>
      <w:tr>
        <w:tblPrEx>
          <w:tblW w:w="9258" w:type="dxa"/>
          <w:tblInd w:w="50"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8" w:space="0" w:color="auto"/>
            </w:tcBorders>
            <w:textDirection w:val="lrTb"/>
            <w:vAlign w:val="center"/>
            <w:hideMark/>
          </w:tcPr>
          <w:p w:rsidR="004F4B99" w:rsidRPr="0012245E" w:rsidP="004F4B99">
            <w:pPr>
              <w:bidi w:val="0"/>
              <w:jc w:val="right"/>
              <w:rPr>
                <w:rFonts w:ascii="Times New Roman" w:hAnsi="Times New Roman"/>
                <w:color w:val="000000"/>
              </w:rPr>
            </w:pPr>
            <w:r w:rsidRPr="0012245E">
              <w:rPr>
                <w:rFonts w:ascii="Times New Roman" w:hAnsi="Times New Roman"/>
                <w:color w:val="000000"/>
              </w:rPr>
              <w:t>154</w:t>
            </w:r>
          </w:p>
        </w:tc>
        <w:tc>
          <w:tcPr>
            <w:tcW w:w="4397" w:type="dxa"/>
            <w:tcBorders>
              <w:top w:val="single" w:sz="8" w:space="0" w:color="auto"/>
              <w:left w:val="nil"/>
              <w:bottom w:val="single" w:sz="8" w:space="0" w:color="auto"/>
              <w:right w:val="single" w:sz="8" w:space="0" w:color="auto"/>
            </w:tcBorders>
            <w:noWrap/>
            <w:textDirection w:val="lrTb"/>
            <w:vAlign w:val="center"/>
            <w:hideMark/>
          </w:tcPr>
          <w:p w:rsidR="004F4B99" w:rsidRPr="0012245E" w:rsidP="004F4B99">
            <w:pPr>
              <w:bidi w:val="0"/>
              <w:rPr>
                <w:rFonts w:ascii="Times New Roman" w:hAnsi="Times New Roman"/>
                <w:color w:val="000000"/>
              </w:rPr>
            </w:pPr>
            <w:r w:rsidRPr="0012245E">
              <w:rPr>
                <w:rFonts w:ascii="Times New Roman" w:hAnsi="Times New Roman"/>
                <w:color w:val="000000"/>
              </w:rPr>
              <w:t>Zdravotné poistenie</w:t>
            </w:r>
          </w:p>
        </w:tc>
        <w:tc>
          <w:tcPr>
            <w:tcW w:w="1458"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0</w:t>
            </w:r>
          </w:p>
        </w:tc>
        <w:tc>
          <w:tcPr>
            <w:tcW w:w="1417"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440</w:t>
            </w:r>
          </w:p>
        </w:tc>
        <w:tc>
          <w:tcPr>
            <w:tcW w:w="1406" w:type="dxa"/>
            <w:tcBorders>
              <w:top w:val="single" w:sz="8" w:space="0" w:color="auto"/>
              <w:left w:val="nil"/>
              <w:bottom w:val="single" w:sz="8" w:space="0" w:color="auto"/>
              <w:right w:val="single" w:sz="8" w:space="0" w:color="auto"/>
            </w:tcBorders>
            <w:noWrap/>
            <w:textDirection w:val="lrTb"/>
            <w:vAlign w:val="center"/>
            <w:hideMark/>
          </w:tcPr>
          <w:p w:rsidR="004F4B99" w:rsidRPr="00B81C04" w:rsidP="004F4B99">
            <w:pPr>
              <w:bidi w:val="0"/>
              <w:jc w:val="right"/>
              <w:rPr>
                <w:rFonts w:ascii="Times New Roman" w:hAnsi="Times New Roman"/>
              </w:rPr>
            </w:pPr>
            <w:r w:rsidRPr="00B81C04">
              <w:rPr>
                <w:rFonts w:ascii="Times New Roman" w:hAnsi="Times New Roman"/>
                <w:bCs/>
              </w:rPr>
              <w:t>525</w:t>
            </w:r>
          </w:p>
        </w:tc>
      </w:tr>
      <w:tr>
        <w:tblPrEx>
          <w:tblW w:w="9258" w:type="dxa"/>
          <w:tblInd w:w="50" w:type="dxa"/>
          <w:tblCellMar>
            <w:left w:w="70" w:type="dxa"/>
            <w:right w:w="70" w:type="dxa"/>
          </w:tblCellMar>
          <w:tblLook w:val="04A0"/>
        </w:tblPrEx>
        <w:trPr>
          <w:trHeight w:val="345"/>
        </w:trPr>
        <w:tc>
          <w:tcPr>
            <w:tcW w:w="9258" w:type="dxa"/>
            <w:gridSpan w:val="5"/>
            <w:tcBorders>
              <w:top w:val="single" w:sz="8" w:space="0" w:color="auto"/>
              <w:left w:val="none" w:sz="0" w:space="0" w:color="auto"/>
              <w:bottom w:val="single" w:sz="8" w:space="0" w:color="auto"/>
              <w:right w:val="none" w:sz="0" w:space="0" w:color="auto"/>
            </w:tcBorders>
            <w:textDirection w:val="lrTb"/>
            <w:vAlign w:val="center"/>
          </w:tcPr>
          <w:p w:rsidR="004F4B99" w:rsidRPr="00F126E3" w:rsidP="004F4B99">
            <w:pPr>
              <w:bidi w:val="0"/>
              <w:jc w:val="right"/>
              <w:rPr>
                <w:rFonts w:ascii="Times New Roman" w:hAnsi="Times New Roman"/>
                <w:color w:val="000000"/>
              </w:rPr>
            </w:pPr>
          </w:p>
        </w:tc>
      </w:tr>
      <w:tr>
        <w:tblPrEx>
          <w:tblW w:w="9258" w:type="dxa"/>
          <w:tblInd w:w="50" w:type="dxa"/>
          <w:tblCellMar>
            <w:left w:w="70" w:type="dxa"/>
            <w:right w:w="70" w:type="dxa"/>
          </w:tblCellMar>
          <w:tblLook w:val="04A0"/>
        </w:tblPrEx>
        <w:trPr>
          <w:trHeight w:val="698"/>
        </w:trPr>
        <w:tc>
          <w:tcPr>
            <w:tcW w:w="580" w:type="dxa"/>
            <w:tcBorders>
              <w:top w:val="single" w:sz="8" w:space="0" w:color="auto"/>
              <w:left w:val="single" w:sz="8" w:space="0" w:color="auto"/>
              <w:bottom w:val="nil"/>
              <w:right w:val="single" w:sz="4"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p>
          <w:p w:rsidR="004F4B99" w:rsidRPr="0012245E" w:rsidP="004F4B99">
            <w:pPr>
              <w:bidi w:val="0"/>
              <w:rPr>
                <w:rFonts w:ascii="Times New Roman" w:hAnsi="Times New Roman"/>
                <w:b/>
                <w:bCs/>
                <w:color w:val="FFFFFF"/>
              </w:rPr>
            </w:pPr>
          </w:p>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val="restart"/>
            <w:tcBorders>
              <w:top w:val="single" w:sz="4" w:space="0" w:color="auto"/>
              <w:left w:val="single" w:sz="4" w:space="0" w:color="auto"/>
              <w:bottom w:val="single" w:sz="4" w:space="0" w:color="auto"/>
              <w:right w:val="single" w:sz="4" w:space="0" w:color="auto"/>
            </w:tcBorders>
            <w:shd w:val="clear" w:color="000000" w:fill="000000"/>
            <w:textDirection w:val="lrTb"/>
            <w:vAlign w:val="center"/>
            <w:hideMark/>
          </w:tcPr>
          <w:p w:rsidR="004F4B99" w:rsidRPr="0012245E" w:rsidP="004F4B99">
            <w:pPr>
              <w:bidi w:val="0"/>
              <w:rPr>
                <w:rFonts w:ascii="Times New Roman" w:hAnsi="Times New Roman"/>
                <w:b/>
                <w:bCs/>
                <w:color w:val="FFFFFF"/>
                <w:u w:val="single"/>
              </w:rPr>
            </w:pPr>
            <w:r w:rsidRPr="0012245E">
              <w:rPr>
                <w:rFonts w:ascii="Times New Roman" w:hAnsi="Times New Roman"/>
                <w:b/>
                <w:bCs/>
                <w:color w:val="FFFFFF"/>
                <w:u w:val="single"/>
              </w:rPr>
              <w:t>Rozpočet verejnej správy - (v tis. eur)</w:t>
            </w:r>
          </w:p>
        </w:tc>
        <w:tc>
          <w:tcPr>
            <w:tcW w:w="4281" w:type="dxa"/>
            <w:gridSpan w:val="3"/>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 na rozpočet verejnej správy (cash)</w:t>
            </w:r>
          </w:p>
        </w:tc>
      </w:tr>
      <w:tr>
        <w:tblPrEx>
          <w:tblW w:w="9258" w:type="dxa"/>
          <w:tblInd w:w="50" w:type="dxa"/>
          <w:tblCellMar>
            <w:left w:w="70" w:type="dxa"/>
            <w:right w:w="70" w:type="dxa"/>
          </w:tblCellMar>
          <w:tblLook w:val="04A0"/>
        </w:tblPrEx>
        <w:trPr>
          <w:trHeight w:val="417"/>
        </w:trPr>
        <w:tc>
          <w:tcPr>
            <w:tcW w:w="580" w:type="dxa"/>
            <w:tcBorders>
              <w:top w:val="nil"/>
              <w:left w:val="single" w:sz="8" w:space="0" w:color="auto"/>
              <w:bottom w:val="nil"/>
              <w:right w:val="single" w:sz="4" w:space="0" w:color="auto"/>
            </w:tcBorders>
            <w:shd w:val="clear" w:color="000000" w:fill="000000"/>
            <w:noWrap/>
            <w:textDirection w:val="lrTb"/>
            <w:vAlign w:val="center"/>
            <w:hideMark/>
          </w:tcPr>
          <w:p w:rsidR="004F4B99" w:rsidRPr="0012245E" w:rsidP="004F4B99">
            <w:pPr>
              <w:bidi w:val="0"/>
              <w:rPr>
                <w:rFonts w:ascii="Times New Roman" w:hAnsi="Times New Roman"/>
                <w:b/>
                <w:bCs/>
                <w:color w:val="FFFFFF"/>
              </w:rPr>
            </w:pPr>
            <w:r w:rsidRPr="0012245E">
              <w:rPr>
                <w:rFonts w:ascii="Times New Roman" w:hAnsi="Times New Roman"/>
                <w:b/>
                <w:bCs/>
                <w:color w:val="FFFFFF"/>
              </w:rPr>
              <w:t> </w:t>
            </w:r>
          </w:p>
        </w:tc>
        <w:tc>
          <w:tcPr>
            <w:tcW w:w="4397" w:type="dxa"/>
            <w:vMerge/>
            <w:tcBorders>
              <w:top w:val="single" w:sz="4" w:space="0" w:color="auto"/>
              <w:left w:val="single" w:sz="4" w:space="0" w:color="auto"/>
              <w:bottom w:val="single" w:sz="4" w:space="0" w:color="auto"/>
              <w:right w:val="single" w:sz="4" w:space="0" w:color="auto"/>
            </w:tcBorders>
            <w:textDirection w:val="lrTb"/>
            <w:vAlign w:val="center"/>
            <w:hideMark/>
          </w:tcPr>
          <w:p w:rsidR="004F4B99" w:rsidRPr="0012245E" w:rsidP="004F4B99">
            <w:pPr>
              <w:bidi w:val="0"/>
              <w:rPr>
                <w:rFonts w:ascii="Times New Roman" w:hAnsi="Times New Roman"/>
                <w:b/>
                <w:bCs/>
                <w:color w:val="FFFFFF"/>
                <w:u w:val="single"/>
              </w:rPr>
            </w:pPr>
          </w:p>
        </w:tc>
        <w:tc>
          <w:tcPr>
            <w:tcW w:w="1458"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5</w:t>
            </w:r>
          </w:p>
        </w:tc>
        <w:tc>
          <w:tcPr>
            <w:tcW w:w="1417"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6</w:t>
            </w:r>
          </w:p>
        </w:tc>
        <w:tc>
          <w:tcPr>
            <w:tcW w:w="1406"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201</w:t>
            </w:r>
            <w:r>
              <w:rPr>
                <w:rFonts w:ascii="Times New Roman" w:hAnsi="Times New Roman"/>
                <w:b/>
                <w:bCs/>
                <w:color w:val="FFFFFF"/>
              </w:rPr>
              <w:t>7</w:t>
            </w:r>
          </w:p>
        </w:tc>
      </w:tr>
      <w:tr>
        <w:tblPrEx>
          <w:tblW w:w="9258" w:type="dxa"/>
          <w:tblInd w:w="50" w:type="dxa"/>
          <w:tblCellMar>
            <w:left w:w="70" w:type="dxa"/>
            <w:right w:w="70" w:type="dxa"/>
          </w:tblCellMar>
          <w:tblLook w:val="04A0"/>
        </w:tblPrEx>
        <w:trPr>
          <w:trHeight w:val="345"/>
        </w:trPr>
        <w:tc>
          <w:tcPr>
            <w:tcW w:w="580" w:type="dxa"/>
            <w:tcBorders>
              <w:top w:val="single" w:sz="8" w:space="0" w:color="auto"/>
              <w:left w:val="single" w:sz="8" w:space="0" w:color="auto"/>
              <w:bottom w:val="single" w:sz="8" w:space="0" w:color="auto"/>
              <w:right w:val="single" w:sz="4" w:space="0" w:color="auto"/>
            </w:tcBorders>
            <w:noWrap/>
            <w:textDirection w:val="lrTb"/>
            <w:vAlign w:val="center"/>
            <w:hideMark/>
          </w:tcPr>
          <w:p w:rsidR="004F4B99" w:rsidP="004F4B99">
            <w:pPr>
              <w:bidi w:val="0"/>
              <w:jc w:val="right"/>
              <w:rPr>
                <w:rFonts w:ascii="Times New Roman" w:hAnsi="Times New Roman"/>
                <w:b/>
                <w:bCs/>
                <w:color w:val="000000"/>
              </w:rPr>
            </w:pPr>
            <w:r>
              <w:rPr>
                <w:rFonts w:ascii="Times New Roman" w:hAnsi="Times New Roman"/>
                <w:b/>
                <w:bCs/>
                <w:color w:val="000000"/>
              </w:rPr>
              <w:t>100</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rPr>
                <w:rFonts w:ascii="Times New Roman" w:hAnsi="Times New Roman"/>
                <w:b/>
                <w:bCs/>
                <w:color w:val="000000"/>
              </w:rPr>
            </w:pPr>
            <w:r>
              <w:rPr>
                <w:rFonts w:ascii="Times New Roman" w:hAnsi="Times New Roman"/>
                <w:b/>
                <w:bCs/>
                <w:color w:val="000000"/>
              </w:rPr>
              <w:t>Daňové príjmy</w:t>
            </w:r>
          </w:p>
        </w:tc>
        <w:tc>
          <w:tcPr>
            <w:tcW w:w="145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30 762</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501 173</w:t>
            </w:r>
          </w:p>
        </w:tc>
        <w:tc>
          <w:tcPr>
            <w:tcW w:w="140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b/>
                <w:bCs/>
              </w:rPr>
            </w:pPr>
            <w:r>
              <w:rPr>
                <w:rFonts w:ascii="Times New Roman" w:hAnsi="Times New Roman"/>
                <w:b/>
                <w:bCs/>
              </w:rPr>
              <w:t>305 651</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4" w:space="0" w:color="auto"/>
            </w:tcBorders>
            <w:noWrap/>
            <w:textDirection w:val="lrTb"/>
            <w:vAlign w:val="center"/>
            <w:hideMark/>
          </w:tcPr>
          <w:p w:rsidR="004F4B99" w:rsidP="004F4B99">
            <w:pPr>
              <w:bidi w:val="0"/>
              <w:jc w:val="right"/>
              <w:rPr>
                <w:rFonts w:ascii="Times New Roman" w:hAnsi="Times New Roman"/>
                <w:i/>
                <w:iCs/>
                <w:color w:val="000000"/>
              </w:rPr>
            </w:pPr>
            <w:r>
              <w:rPr>
                <w:rFonts w:ascii="Times New Roman" w:hAnsi="Times New Roman"/>
                <w:i/>
                <w:iCs/>
                <w:color w:val="000000"/>
              </w:rPr>
              <w:t>110</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rPr>
                <w:rFonts w:ascii="Times New Roman" w:hAnsi="Times New Roman"/>
                <w:i/>
                <w:iCs/>
                <w:color w:val="000000"/>
              </w:rPr>
            </w:pPr>
            <w:r>
              <w:rPr>
                <w:rFonts w:ascii="Times New Roman" w:hAnsi="Times New Roman"/>
                <w:i/>
                <w:iCs/>
                <w:color w:val="000000"/>
              </w:rPr>
              <w:t>Dane z príjmov a kapitálového majetku</w:t>
            </w:r>
          </w:p>
        </w:tc>
        <w:tc>
          <w:tcPr>
            <w:tcW w:w="145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-1 330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453 013</w:t>
            </w:r>
          </w:p>
        </w:tc>
        <w:tc>
          <w:tcPr>
            <w:tcW w:w="140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257 205</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111</w:t>
            </w:r>
          </w:p>
        </w:tc>
        <w:tc>
          <w:tcPr>
            <w:tcW w:w="4397" w:type="dxa"/>
            <w:tcBorders>
              <w:top w:val="single" w:sz="4" w:space="0" w:color="auto"/>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fyzickej osoby</w:t>
            </w:r>
          </w:p>
        </w:tc>
        <w:tc>
          <w:tcPr>
            <w:tcW w:w="1458" w:type="dxa"/>
            <w:tcBorders>
              <w:top w:val="single" w:sz="4" w:space="0" w:color="auto"/>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-6 535</w:t>
            </w:r>
          </w:p>
        </w:tc>
        <w:tc>
          <w:tcPr>
            <w:tcW w:w="1417" w:type="dxa"/>
            <w:tcBorders>
              <w:top w:val="single" w:sz="4" w:space="0" w:color="auto"/>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13 782</w:t>
            </w:r>
          </w:p>
        </w:tc>
        <w:tc>
          <w:tcPr>
            <w:tcW w:w="1406" w:type="dxa"/>
            <w:tcBorders>
              <w:top w:val="single" w:sz="4" w:space="0" w:color="auto"/>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8 009</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112</w:t>
            </w:r>
          </w:p>
        </w:tc>
        <w:tc>
          <w:tcPr>
            <w:tcW w:w="4397" w:type="dxa"/>
            <w:tcBorders>
              <w:top w:val="nil"/>
              <w:left w:val="nil"/>
              <w:bottom w:val="single" w:sz="4"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právnických osôb</w:t>
            </w:r>
          </w:p>
        </w:tc>
        <w:tc>
          <w:tcPr>
            <w:tcW w:w="1458"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0</w:t>
            </w:r>
          </w:p>
        </w:tc>
        <w:tc>
          <w:tcPr>
            <w:tcW w:w="1417"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432 291</w:t>
            </w:r>
          </w:p>
        </w:tc>
        <w:tc>
          <w:tcPr>
            <w:tcW w:w="1406"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242 256</w:t>
            </w:r>
          </w:p>
        </w:tc>
      </w:tr>
      <w:tr>
        <w:tblPrEx>
          <w:tblW w:w="9258" w:type="dxa"/>
          <w:tblInd w:w="50" w:type="dxa"/>
          <w:tblCellMar>
            <w:left w:w="70" w:type="dxa"/>
            <w:right w:w="70" w:type="dxa"/>
          </w:tblCellMar>
          <w:tblLook w:val="04A0"/>
        </w:tblPrEx>
        <w:trPr>
          <w:trHeight w:val="345"/>
        </w:trPr>
        <w:tc>
          <w:tcPr>
            <w:tcW w:w="580"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113</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Daň z príjmov vyberaná zrážkou</w:t>
            </w:r>
          </w:p>
        </w:tc>
        <w:tc>
          <w:tcPr>
            <w:tcW w:w="145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5 205</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c>
          <w:tcPr>
            <w:tcW w:w="140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6 940</w:t>
            </w:r>
          </w:p>
        </w:tc>
      </w:tr>
      <w:tr>
        <w:tblPrEx>
          <w:tblW w:w="9258" w:type="dxa"/>
          <w:tblInd w:w="50" w:type="dxa"/>
          <w:tblCellMar>
            <w:left w:w="70" w:type="dxa"/>
            <w:right w:w="70" w:type="dxa"/>
          </w:tblCellMar>
          <w:tblLook w:val="04A0"/>
        </w:tblPrEx>
        <w:trPr>
          <w:trHeight w:val="345"/>
        </w:trPr>
        <w:tc>
          <w:tcPr>
            <w:tcW w:w="580" w:type="dxa"/>
            <w:tcBorders>
              <w:top w:val="single" w:sz="4" w:space="0" w:color="auto"/>
              <w:left w:val="single" w:sz="8" w:space="0" w:color="auto"/>
              <w:bottom w:val="single" w:sz="8" w:space="0" w:color="auto"/>
              <w:right w:val="single" w:sz="8" w:space="0" w:color="auto"/>
            </w:tcBorders>
            <w:textDirection w:val="lrTb"/>
            <w:vAlign w:val="center"/>
          </w:tcPr>
          <w:p w:rsidR="004F4B99" w:rsidP="004F4B99">
            <w:pPr>
              <w:bidi w:val="0"/>
              <w:jc w:val="right"/>
              <w:rPr>
                <w:rFonts w:ascii="Times New Roman" w:hAnsi="Times New Roman"/>
                <w:i/>
                <w:iCs/>
                <w:color w:val="000000"/>
              </w:rPr>
            </w:pPr>
            <w:r>
              <w:rPr>
                <w:rFonts w:ascii="Times New Roman" w:hAnsi="Times New Roman"/>
                <w:i/>
                <w:iCs/>
                <w:color w:val="000000"/>
              </w:rPr>
              <w:t>130</w:t>
            </w:r>
          </w:p>
        </w:tc>
        <w:tc>
          <w:tcPr>
            <w:tcW w:w="4397" w:type="dxa"/>
            <w:tcBorders>
              <w:top w:val="single" w:sz="4" w:space="0" w:color="auto"/>
              <w:left w:val="nil"/>
              <w:bottom w:val="single" w:sz="8" w:space="0" w:color="auto"/>
              <w:right w:val="single" w:sz="8" w:space="0" w:color="auto"/>
            </w:tcBorders>
            <w:noWrap/>
            <w:textDirection w:val="lrTb"/>
            <w:vAlign w:val="center"/>
          </w:tcPr>
          <w:p w:rsidR="004F4B99" w:rsidP="004F4B99">
            <w:pPr>
              <w:bidi w:val="0"/>
              <w:rPr>
                <w:rFonts w:ascii="Times New Roman" w:hAnsi="Times New Roman"/>
                <w:i/>
                <w:iCs/>
                <w:color w:val="000000"/>
              </w:rPr>
            </w:pPr>
            <w:r>
              <w:rPr>
                <w:rFonts w:ascii="Times New Roman" w:hAnsi="Times New Roman"/>
                <w:i/>
                <w:iCs/>
                <w:color w:val="000000"/>
              </w:rPr>
              <w:t>Dane za tovary a služby</w:t>
            </w:r>
          </w:p>
        </w:tc>
        <w:tc>
          <w:tcPr>
            <w:tcW w:w="1458" w:type="dxa"/>
            <w:tcBorders>
              <w:top w:val="single" w:sz="4"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i/>
                <w:iCs/>
              </w:rPr>
            </w:pPr>
            <w:r>
              <w:rPr>
                <w:rFonts w:ascii="Times New Roman" w:hAnsi="Times New Roman"/>
                <w:i/>
                <w:iCs/>
              </w:rPr>
              <w:t>32 092</w:t>
            </w:r>
          </w:p>
        </w:tc>
        <w:tc>
          <w:tcPr>
            <w:tcW w:w="1417" w:type="dxa"/>
            <w:tcBorders>
              <w:top w:val="single" w:sz="4"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i/>
                <w:iCs/>
              </w:rPr>
            </w:pPr>
            <w:r>
              <w:rPr>
                <w:rFonts w:ascii="Times New Roman" w:hAnsi="Times New Roman"/>
                <w:i/>
                <w:iCs/>
              </w:rPr>
              <w:t>46 679</w:t>
            </w:r>
          </w:p>
        </w:tc>
        <w:tc>
          <w:tcPr>
            <w:tcW w:w="1406" w:type="dxa"/>
            <w:tcBorders>
              <w:top w:val="single" w:sz="4" w:space="0" w:color="auto"/>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i/>
                <w:iCs/>
              </w:rPr>
            </w:pPr>
            <w:r>
              <w:rPr>
                <w:rFonts w:ascii="Times New Roman" w:hAnsi="Times New Roman"/>
                <w:i/>
                <w:iCs/>
              </w:rPr>
              <w:t>46 679</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131</w:t>
            </w:r>
          </w:p>
        </w:tc>
        <w:tc>
          <w:tcPr>
            <w:tcW w:w="4397" w:type="dxa"/>
            <w:tcBorders>
              <w:top w:val="nil"/>
              <w:left w:val="nil"/>
              <w:bottom w:val="single" w:sz="8" w:space="0" w:color="auto"/>
              <w:right w:val="single" w:sz="8"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Daň z pridanej hodnoty</w:t>
            </w:r>
          </w:p>
        </w:tc>
        <w:tc>
          <w:tcPr>
            <w:tcW w:w="1458"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32 092</w:t>
            </w:r>
          </w:p>
        </w:tc>
        <w:tc>
          <w:tcPr>
            <w:tcW w:w="1417"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c>
          <w:tcPr>
            <w:tcW w:w="1406" w:type="dxa"/>
            <w:tcBorders>
              <w:top w:val="nil"/>
              <w:left w:val="nil"/>
              <w:bottom w:val="single" w:sz="8" w:space="0" w:color="auto"/>
              <w:right w:val="single" w:sz="8" w:space="0" w:color="auto"/>
            </w:tcBorders>
            <w:noWrap/>
            <w:textDirection w:val="lrTb"/>
            <w:vAlign w:val="center"/>
          </w:tcPr>
          <w:p w:rsidR="004F4B99" w:rsidP="004F4B99">
            <w:pPr>
              <w:bidi w:val="0"/>
              <w:jc w:val="right"/>
              <w:rPr>
                <w:rFonts w:ascii="Times New Roman" w:hAnsi="Times New Roman"/>
              </w:rPr>
            </w:pPr>
            <w:r>
              <w:rPr>
                <w:rFonts w:ascii="Times New Roman" w:hAnsi="Times New Roman"/>
              </w:rPr>
              <w:t>46 679</w:t>
            </w:r>
          </w:p>
        </w:tc>
      </w:tr>
      <w:tr>
        <w:tblPrEx>
          <w:tblW w:w="9258" w:type="dxa"/>
          <w:tblInd w:w="50" w:type="dxa"/>
          <w:tblCellMar>
            <w:left w:w="70" w:type="dxa"/>
            <w:right w:w="70" w:type="dxa"/>
          </w:tblCellMar>
          <w:tblLook w:val="04A0"/>
        </w:tblPrEx>
        <w:trPr>
          <w:trHeight w:val="345"/>
        </w:trPr>
        <w:tc>
          <w:tcPr>
            <w:tcW w:w="580" w:type="dxa"/>
            <w:tcBorders>
              <w:top w:val="nil"/>
              <w:left w:val="single" w:sz="8" w:space="0" w:color="auto"/>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150</w:t>
            </w:r>
          </w:p>
        </w:tc>
        <w:tc>
          <w:tcPr>
            <w:tcW w:w="4397" w:type="dxa"/>
            <w:tcBorders>
              <w:top w:val="nil"/>
              <w:left w:val="nil"/>
              <w:bottom w:val="single" w:sz="8"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Poistné</w:t>
            </w:r>
          </w:p>
        </w:tc>
        <w:tc>
          <w:tcPr>
            <w:tcW w:w="1458"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0</w:t>
            </w:r>
          </w:p>
        </w:tc>
        <w:tc>
          <w:tcPr>
            <w:tcW w:w="1417"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1481</w:t>
            </w:r>
          </w:p>
        </w:tc>
        <w:tc>
          <w:tcPr>
            <w:tcW w:w="1406" w:type="dxa"/>
            <w:tcBorders>
              <w:top w:val="nil"/>
              <w:left w:val="nil"/>
              <w:bottom w:val="single" w:sz="8" w:space="0" w:color="auto"/>
              <w:right w:val="single" w:sz="8" w:space="0" w:color="auto"/>
            </w:tcBorders>
            <w:noWrap/>
            <w:textDirection w:val="lrTb"/>
            <w:vAlign w:val="center"/>
            <w:hideMark/>
          </w:tcPr>
          <w:p w:rsidR="004F4B99" w:rsidP="004F4B99">
            <w:pPr>
              <w:bidi w:val="0"/>
              <w:jc w:val="right"/>
              <w:rPr>
                <w:rFonts w:ascii="Times New Roman" w:hAnsi="Times New Roman"/>
                <w:i/>
                <w:iCs/>
              </w:rPr>
            </w:pPr>
            <w:r>
              <w:rPr>
                <w:rFonts w:ascii="Times New Roman" w:hAnsi="Times New Roman"/>
                <w:i/>
                <w:iCs/>
              </w:rPr>
              <w:t>1767</w:t>
            </w:r>
          </w:p>
        </w:tc>
      </w:tr>
      <w:tr>
        <w:tblPrEx>
          <w:tblW w:w="9258" w:type="dxa"/>
          <w:tblInd w:w="50" w:type="dxa"/>
          <w:tblCellMar>
            <w:left w:w="70" w:type="dxa"/>
            <w:right w:w="70" w:type="dxa"/>
          </w:tblCellMar>
          <w:tblLook w:val="04A0"/>
        </w:tblPrEx>
        <w:trPr>
          <w:trHeight w:val="435"/>
        </w:trPr>
        <w:tc>
          <w:tcPr>
            <w:tcW w:w="580" w:type="dxa"/>
            <w:tcBorders>
              <w:top w:val="nil"/>
              <w:left w:val="single" w:sz="8" w:space="0" w:color="auto"/>
              <w:bottom w:val="single" w:sz="4" w:space="0" w:color="auto"/>
              <w:right w:val="single" w:sz="8"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151-153, 155-158</w:t>
            </w:r>
          </w:p>
        </w:tc>
        <w:tc>
          <w:tcPr>
            <w:tcW w:w="4397" w:type="dxa"/>
            <w:tcBorders>
              <w:top w:val="nil"/>
              <w:left w:val="nil"/>
              <w:bottom w:val="single" w:sz="4" w:space="0" w:color="auto"/>
              <w:right w:val="single" w:sz="8"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Sociálne poistenie</w:t>
            </w:r>
          </w:p>
        </w:tc>
        <w:tc>
          <w:tcPr>
            <w:tcW w:w="1458"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0</w:t>
            </w:r>
          </w:p>
        </w:tc>
        <w:tc>
          <w:tcPr>
            <w:tcW w:w="1417"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1041</w:t>
            </w:r>
          </w:p>
        </w:tc>
        <w:tc>
          <w:tcPr>
            <w:tcW w:w="1406" w:type="dxa"/>
            <w:tcBorders>
              <w:top w:val="nil"/>
              <w:left w:val="nil"/>
              <w:bottom w:val="single" w:sz="4" w:space="0" w:color="auto"/>
              <w:right w:val="single" w:sz="8"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1242</w:t>
            </w:r>
          </w:p>
        </w:tc>
      </w:tr>
      <w:tr>
        <w:tblPrEx>
          <w:tblW w:w="9258" w:type="dxa"/>
          <w:tblInd w:w="50" w:type="dxa"/>
          <w:tblCellMar>
            <w:left w:w="70" w:type="dxa"/>
            <w:right w:w="70" w:type="dxa"/>
          </w:tblCellMar>
          <w:tblLook w:val="04A0"/>
        </w:tblPrEx>
        <w:trPr>
          <w:trHeight w:val="345"/>
        </w:trPr>
        <w:tc>
          <w:tcPr>
            <w:tcW w:w="580"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P="004F4B99">
            <w:pPr>
              <w:bidi w:val="0"/>
              <w:jc w:val="right"/>
              <w:rPr>
                <w:rFonts w:ascii="Times New Roman" w:hAnsi="Times New Roman"/>
                <w:color w:val="000000"/>
              </w:rPr>
            </w:pPr>
            <w:r>
              <w:rPr>
                <w:rFonts w:ascii="Times New Roman" w:hAnsi="Times New Roman"/>
                <w:color w:val="000000"/>
              </w:rPr>
              <w:t>154</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rPr>
                <w:rFonts w:ascii="Times New Roman" w:hAnsi="Times New Roman"/>
                <w:color w:val="000000"/>
              </w:rPr>
            </w:pPr>
            <w:r>
              <w:rPr>
                <w:rFonts w:ascii="Times New Roman" w:hAnsi="Times New Roman"/>
                <w:color w:val="000000"/>
              </w:rPr>
              <w:t>Zdravotné poistenie</w:t>
            </w:r>
          </w:p>
        </w:tc>
        <w:tc>
          <w:tcPr>
            <w:tcW w:w="145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440</w:t>
            </w:r>
          </w:p>
        </w:tc>
        <w:tc>
          <w:tcPr>
            <w:tcW w:w="140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P="004F4B99">
            <w:pPr>
              <w:bidi w:val="0"/>
              <w:jc w:val="right"/>
              <w:rPr>
                <w:rFonts w:ascii="Times New Roman" w:hAnsi="Times New Roman"/>
              </w:rPr>
            </w:pPr>
            <w:r>
              <w:rPr>
                <w:rFonts w:ascii="Times New Roman" w:hAnsi="Times New Roman"/>
              </w:rPr>
              <w:t>525</w:t>
            </w:r>
          </w:p>
        </w:tc>
      </w:tr>
      <w:tr>
        <w:tblPrEx>
          <w:tblW w:w="9258" w:type="dxa"/>
          <w:tblInd w:w="50" w:type="dxa"/>
          <w:tblCellMar>
            <w:left w:w="70" w:type="dxa"/>
            <w:right w:w="70" w:type="dxa"/>
          </w:tblCellMar>
          <w:tblLook w:val="04A0"/>
        </w:tblPrEx>
        <w:trPr>
          <w:trHeight w:val="345"/>
        </w:trPr>
        <w:tc>
          <w:tcPr>
            <w:tcW w:w="580" w:type="dxa"/>
            <w:tcBorders>
              <w:top w:val="single" w:sz="4" w:space="0" w:color="auto"/>
              <w:left w:val="single" w:sz="4" w:space="0" w:color="auto"/>
              <w:bottom w:val="single" w:sz="4" w:space="0" w:color="auto"/>
              <w:right w:val="single" w:sz="4" w:space="0" w:color="auto"/>
            </w:tcBorders>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200</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rPr>
                <w:rFonts w:ascii="Times New Roman" w:hAnsi="Times New Roman"/>
                <w:b/>
                <w:bCs/>
                <w:color w:val="000000"/>
              </w:rPr>
            </w:pPr>
            <w:r>
              <w:rPr>
                <w:rFonts w:ascii="Times New Roman" w:hAnsi="Times New Roman"/>
                <w:b/>
                <w:bCs/>
                <w:color w:val="000000"/>
              </w:rPr>
              <w:t>Nedaňové príjmy</w:t>
            </w:r>
          </w:p>
        </w:tc>
        <w:tc>
          <w:tcPr>
            <w:tcW w:w="1458"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406</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858</w:t>
            </w:r>
          </w:p>
        </w:tc>
        <w:tc>
          <w:tcPr>
            <w:tcW w:w="1406"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jc w:val="right"/>
              <w:rPr>
                <w:rFonts w:ascii="Times New Roman" w:hAnsi="Times New Roman"/>
                <w:b/>
                <w:bCs/>
                <w:color w:val="000000"/>
              </w:rPr>
            </w:pPr>
            <w:r>
              <w:rPr>
                <w:rFonts w:ascii="Times New Roman" w:hAnsi="Times New Roman"/>
                <w:b/>
                <w:bCs/>
                <w:color w:val="000000"/>
              </w:rPr>
              <w:t>889</w:t>
            </w:r>
          </w:p>
        </w:tc>
      </w:tr>
      <w:tr>
        <w:tblPrEx>
          <w:tblW w:w="9258" w:type="dxa"/>
          <w:tblInd w:w="50" w:type="dxa"/>
          <w:tblCellMar>
            <w:left w:w="70" w:type="dxa"/>
            <w:right w:w="70" w:type="dxa"/>
          </w:tblCellMar>
          <w:tblLook w:val="04A0"/>
        </w:tblPrEx>
        <w:trPr>
          <w:trHeight w:val="345"/>
        </w:trPr>
        <w:tc>
          <w:tcPr>
            <w:tcW w:w="580" w:type="dxa"/>
            <w:tcBorders>
              <w:top w:val="single" w:sz="4" w:space="0" w:color="auto"/>
              <w:left w:val="single" w:sz="4" w:space="0" w:color="auto"/>
              <w:bottom w:val="single" w:sz="4" w:space="0" w:color="auto"/>
              <w:right w:val="single" w:sz="4" w:space="0" w:color="auto"/>
            </w:tcBorders>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292 008</w:t>
            </w:r>
          </w:p>
        </w:tc>
        <w:tc>
          <w:tcPr>
            <w:tcW w:w="4397"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rPr>
                <w:rFonts w:ascii="Times New Roman" w:hAnsi="Times New Roman"/>
                <w:color w:val="000000"/>
              </w:rPr>
            </w:pPr>
            <w:r>
              <w:rPr>
                <w:rFonts w:ascii="Times New Roman" w:hAnsi="Times New Roman"/>
                <w:color w:val="000000"/>
              </w:rPr>
              <w:t>Odvody z hazardných hier</w:t>
            </w:r>
          </w:p>
        </w:tc>
        <w:tc>
          <w:tcPr>
            <w:tcW w:w="1458"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406</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858</w:t>
            </w:r>
          </w:p>
        </w:tc>
        <w:tc>
          <w:tcPr>
            <w:tcW w:w="1406" w:type="dxa"/>
            <w:tcBorders>
              <w:top w:val="single" w:sz="4" w:space="0" w:color="auto"/>
              <w:left w:val="single" w:sz="4" w:space="0" w:color="auto"/>
              <w:bottom w:val="single" w:sz="4" w:space="0" w:color="auto"/>
              <w:right w:val="single" w:sz="4" w:space="0" w:color="auto"/>
            </w:tcBorders>
            <w:noWrap/>
            <w:textDirection w:val="lrTb"/>
            <w:vAlign w:val="center"/>
          </w:tcPr>
          <w:p w:rsidR="004F4B99" w:rsidP="004F4B99">
            <w:pPr>
              <w:bidi w:val="0"/>
              <w:jc w:val="right"/>
              <w:rPr>
                <w:rFonts w:ascii="Times New Roman" w:hAnsi="Times New Roman"/>
                <w:color w:val="000000"/>
              </w:rPr>
            </w:pPr>
            <w:r>
              <w:rPr>
                <w:rFonts w:ascii="Times New Roman" w:hAnsi="Times New Roman"/>
                <w:color w:val="000000"/>
              </w:rPr>
              <w:t>889</w:t>
            </w:r>
          </w:p>
        </w:tc>
      </w:tr>
    </w:tbl>
    <w:p w:rsidR="004F4B99" w:rsidRPr="0012245E" w:rsidP="004F4B99">
      <w:pPr>
        <w:autoSpaceDE w:val="0"/>
        <w:autoSpaceDN w:val="0"/>
        <w:bidi w:val="0"/>
        <w:adjustRightInd w:val="0"/>
        <w:jc w:val="both"/>
        <w:rPr>
          <w:rFonts w:ascii="Times New Roman" w:hAnsi="Times New Roman"/>
          <w:b/>
        </w:rPr>
      </w:pPr>
    </w:p>
    <w:p w:rsidR="004F4B99" w:rsidRPr="0012245E" w:rsidP="004F4B99">
      <w:pPr>
        <w:autoSpaceDE w:val="0"/>
        <w:autoSpaceDN w:val="0"/>
        <w:bidi w:val="0"/>
        <w:adjustRightInd w:val="0"/>
        <w:jc w:val="both"/>
        <w:rPr>
          <w:rFonts w:ascii="Times New Roman" w:hAnsi="Times New Roman"/>
          <w:b/>
        </w:rPr>
      </w:pPr>
      <w:r w:rsidRPr="0012245E">
        <w:rPr>
          <w:rFonts w:ascii="Times New Roman" w:hAnsi="Times New Roman"/>
          <w:b/>
        </w:rPr>
        <w:t>Kvantifikácia výdavkov</w:t>
      </w:r>
    </w:p>
    <w:p w:rsidR="004F4B99" w:rsidRPr="0012245E" w:rsidP="004F4B99">
      <w:pPr>
        <w:autoSpaceDE w:val="0"/>
        <w:autoSpaceDN w:val="0"/>
        <w:bidi w:val="0"/>
        <w:adjustRightInd w:val="0"/>
        <w:jc w:val="both"/>
        <w:rPr>
          <w:rFonts w:ascii="Times New Roman" w:hAnsi="Times New Roman"/>
          <w:bCs/>
        </w:rPr>
      </w:pPr>
    </w:p>
    <w:tbl>
      <w:tblPr>
        <w:tblStyle w:val="TableNormal"/>
        <w:tblW w:w="0" w:type="auto"/>
        <w:tblInd w:w="150" w:type="dxa"/>
        <w:tblCellMar>
          <w:left w:w="70" w:type="dxa"/>
          <w:right w:w="70" w:type="dxa"/>
        </w:tblCellMar>
        <w:tblLook w:val="04A0"/>
      </w:tblPr>
      <w:tblGrid>
        <w:gridCol w:w="500"/>
        <w:gridCol w:w="3623"/>
        <w:gridCol w:w="1539"/>
        <w:gridCol w:w="1244"/>
        <w:gridCol w:w="1005"/>
        <w:gridCol w:w="1006"/>
      </w:tblGrid>
      <w:tr>
        <w:tblPrEx>
          <w:tblW w:w="0" w:type="auto"/>
          <w:tblInd w:w="150" w:type="dxa"/>
          <w:tblCellMar>
            <w:left w:w="70" w:type="dxa"/>
            <w:right w:w="70" w:type="dxa"/>
          </w:tblCellMar>
          <w:tblLook w:val="04A0"/>
        </w:tblPrEx>
        <w:trPr>
          <w:trHeight w:val="315"/>
        </w:trPr>
        <w:tc>
          <w:tcPr>
            <w:tcW w:w="4123" w:type="dxa"/>
            <w:gridSpan w:val="2"/>
            <w:vMerge w:val="restart"/>
            <w:tcBorders>
              <w:top w:val="single" w:sz="8" w:space="0" w:color="auto"/>
              <w:left w:val="nil"/>
              <w:bottom w:val="nil"/>
              <w:right w:val="nil"/>
            </w:tcBorders>
            <w:shd w:val="clear" w:color="000000" w:fill="000000"/>
            <w:noWrap/>
            <w:textDirection w:val="lrTb"/>
            <w:vAlign w:val="center"/>
            <w:hideMark/>
          </w:tcPr>
          <w:p w:rsidR="004F4B99" w:rsidRPr="00AE0CC3" w:rsidP="004F4B99">
            <w:pPr>
              <w:bidi w:val="0"/>
              <w:rPr>
                <w:rFonts w:ascii="Times New Roman" w:hAnsi="Times New Roman"/>
                <w:b/>
                <w:bCs/>
                <w:color w:val="FFFFFF"/>
                <w:u w:val="single"/>
              </w:rPr>
            </w:pPr>
            <w:r w:rsidRPr="00AE0CC3">
              <w:rPr>
                <w:rFonts w:ascii="Times New Roman" w:hAnsi="Times New Roman"/>
                <w:b/>
                <w:bCs/>
                <w:color w:val="FFFFFF"/>
                <w:u w:val="single"/>
              </w:rPr>
              <w:t>Štátny rozpočet - výdavky (v tis. eur)</w:t>
            </w:r>
          </w:p>
        </w:tc>
        <w:tc>
          <w:tcPr>
            <w:tcW w:w="4794" w:type="dxa"/>
            <w:gridSpan w:val="4"/>
            <w:tcBorders>
              <w:top w:val="single" w:sz="8" w:space="0" w:color="auto"/>
              <w:left w:val="nil"/>
              <w:bottom w:val="single" w:sz="4" w:space="0" w:color="auto"/>
              <w:right w:val="nil"/>
            </w:tcBorders>
            <w:shd w:val="clear" w:color="000000" w:fill="000000"/>
            <w:textDirection w:val="lrTb"/>
            <w:vAlign w:val="top"/>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Vplyv na štátny rozpočet (ESA95)</w:t>
            </w:r>
          </w:p>
        </w:tc>
      </w:tr>
      <w:tr>
        <w:tblPrEx>
          <w:tblW w:w="0" w:type="auto"/>
          <w:tblInd w:w="150" w:type="dxa"/>
          <w:tblCellMar>
            <w:left w:w="70" w:type="dxa"/>
            <w:right w:w="70" w:type="dxa"/>
          </w:tblCellMar>
          <w:tblLook w:val="04A0"/>
        </w:tblPrEx>
        <w:trPr>
          <w:trHeight w:val="330"/>
        </w:trPr>
        <w:tc>
          <w:tcPr>
            <w:tcW w:w="4123" w:type="dxa"/>
            <w:gridSpan w:val="2"/>
            <w:vMerge/>
            <w:tcBorders>
              <w:top w:val="single" w:sz="8" w:space="0" w:color="auto"/>
              <w:left w:val="nil"/>
              <w:bottom w:val="nil"/>
              <w:right w:val="single" w:sz="4" w:space="0" w:color="auto"/>
            </w:tcBorders>
            <w:textDirection w:val="lrTb"/>
            <w:vAlign w:val="center"/>
            <w:hideMark/>
          </w:tcPr>
          <w:p w:rsidR="004F4B99" w:rsidRPr="00AE0CC3" w:rsidP="004F4B99">
            <w:pPr>
              <w:bidi w:val="0"/>
              <w:rPr>
                <w:rFonts w:ascii="Times New Roman" w:hAnsi="Times New Roman"/>
                <w:b/>
                <w:bCs/>
                <w:color w:val="FFFFFF"/>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000000"/>
            <w:textDirection w:val="lrTb"/>
            <w:vAlign w:val="top"/>
          </w:tcPr>
          <w:p w:rsidR="004F4B99" w:rsidRPr="00AE0CC3" w:rsidP="004F4B99">
            <w:pPr>
              <w:bidi w:val="0"/>
              <w:jc w:val="center"/>
              <w:rPr>
                <w:rFonts w:ascii="Times New Roman" w:hAnsi="Times New Roman"/>
                <w:b/>
                <w:bCs/>
                <w:color w:val="FFFFFF"/>
              </w:rPr>
            </w:pPr>
            <w:r>
              <w:rPr>
                <w:rFonts w:ascii="Times New Roman" w:hAnsi="Times New Roman"/>
                <w:b/>
                <w:bCs/>
                <w:color w:val="FFFFFF"/>
              </w:rPr>
              <w:t>2014</w:t>
            </w:r>
          </w:p>
        </w:tc>
        <w:tc>
          <w:tcPr>
            <w:tcW w:w="1244"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2015</w:t>
            </w:r>
          </w:p>
        </w:tc>
        <w:tc>
          <w:tcPr>
            <w:tcW w:w="1005"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2016</w:t>
            </w:r>
          </w:p>
        </w:tc>
        <w:tc>
          <w:tcPr>
            <w:tcW w:w="1006" w:type="dxa"/>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2017</w:t>
            </w:r>
          </w:p>
        </w:tc>
      </w:tr>
      <w:tr>
        <w:tblPrEx>
          <w:tblW w:w="0" w:type="auto"/>
          <w:tblInd w:w="150" w:type="dxa"/>
          <w:tblCellMar>
            <w:left w:w="70" w:type="dxa"/>
            <w:right w:w="70" w:type="dxa"/>
          </w:tblCellMar>
          <w:tblLook w:val="04A0"/>
        </w:tblPrEx>
        <w:trPr>
          <w:trHeight w:val="330"/>
        </w:trPr>
        <w:tc>
          <w:tcPr>
            <w:tcW w:w="500"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700</w:t>
            </w:r>
          </w:p>
        </w:tc>
        <w:tc>
          <w:tcPr>
            <w:tcW w:w="3623" w:type="dxa"/>
            <w:tcBorders>
              <w:top w:val="nil"/>
              <w:left w:val="nil"/>
              <w:bottom w:val="single" w:sz="8" w:space="0" w:color="auto"/>
              <w:right w:val="single" w:sz="4" w:space="0" w:color="auto"/>
            </w:tcBorders>
            <w:noWrap/>
            <w:textDirection w:val="lrTb"/>
            <w:vAlign w:val="center"/>
            <w:hideMark/>
          </w:tcPr>
          <w:p w:rsidR="004F4B99" w:rsidRPr="00AE0CC3" w:rsidP="004F4B99">
            <w:pPr>
              <w:bidi w:val="0"/>
              <w:rPr>
                <w:rFonts w:ascii="Times New Roman" w:hAnsi="Times New Roman"/>
                <w:b/>
                <w:bCs/>
                <w:color w:val="000000"/>
              </w:rPr>
            </w:pPr>
            <w:r w:rsidRPr="00AE0CC3">
              <w:rPr>
                <w:rFonts w:ascii="Times New Roman" w:hAnsi="Times New Roman"/>
                <w:b/>
                <w:bCs/>
                <w:color w:val="000000"/>
              </w:rPr>
              <w:t>Kapitálové výdavky</w:t>
            </w:r>
          </w:p>
        </w:tc>
        <w:tc>
          <w:tcPr>
            <w:tcW w:w="1539" w:type="dxa"/>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600</w:t>
            </w:r>
          </w:p>
        </w:tc>
        <w:tc>
          <w:tcPr>
            <w:tcW w:w="124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100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100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r>
      <w:tr>
        <w:tblPrEx>
          <w:tblW w:w="0" w:type="auto"/>
          <w:tblInd w:w="150" w:type="dxa"/>
          <w:tblCellMar>
            <w:left w:w="70" w:type="dxa"/>
            <w:right w:w="70" w:type="dxa"/>
          </w:tblCellMar>
          <w:tblLook w:val="04A0"/>
        </w:tblPrEx>
        <w:trPr>
          <w:trHeight w:val="330"/>
        </w:trPr>
        <w:tc>
          <w:tcPr>
            <w:tcW w:w="500" w:type="dxa"/>
            <w:tcBorders>
              <w:top w:val="nil"/>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710</w:t>
            </w:r>
          </w:p>
        </w:tc>
        <w:tc>
          <w:tcPr>
            <w:tcW w:w="3623" w:type="dxa"/>
            <w:tcBorders>
              <w:top w:val="nil"/>
              <w:left w:val="nil"/>
              <w:bottom w:val="single" w:sz="8" w:space="0" w:color="auto"/>
              <w:right w:val="single" w:sz="4" w:space="0" w:color="auto"/>
            </w:tcBorders>
            <w:noWrap/>
            <w:textDirection w:val="lrTb"/>
            <w:vAlign w:val="center"/>
            <w:hideMark/>
          </w:tcPr>
          <w:p w:rsidR="004F4B99" w:rsidRPr="00AE0CC3" w:rsidP="004F4B99">
            <w:pPr>
              <w:bidi w:val="0"/>
              <w:rPr>
                <w:rFonts w:ascii="Times New Roman" w:hAnsi="Times New Roman"/>
                <w:color w:val="000000"/>
              </w:rPr>
            </w:pPr>
            <w:r w:rsidRPr="00AE0CC3">
              <w:rPr>
                <w:rFonts w:ascii="Times New Roman" w:hAnsi="Times New Roman"/>
                <w:color w:val="000000"/>
              </w:rPr>
              <w:t>Obstarávanie kapitálových aktív</w:t>
            </w:r>
            <w:r>
              <w:rPr>
                <w:rFonts w:ascii="Times New Roman" w:hAnsi="Times New Roman"/>
                <w:color w:val="000000"/>
              </w:rPr>
              <w:t xml:space="preserve"> (kapitola MF SR)</w:t>
            </w:r>
          </w:p>
        </w:tc>
        <w:tc>
          <w:tcPr>
            <w:tcW w:w="1539" w:type="dxa"/>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color w:val="000000"/>
              </w:rPr>
            </w:pPr>
            <w:r w:rsidRPr="00AE0CC3">
              <w:rPr>
                <w:rFonts w:ascii="Times New Roman" w:hAnsi="Times New Roman"/>
                <w:color w:val="000000"/>
              </w:rPr>
              <w:t>600</w:t>
            </w:r>
          </w:p>
        </w:tc>
        <w:tc>
          <w:tcPr>
            <w:tcW w:w="1244"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100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1006"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r>
    </w:tbl>
    <w:p w:rsidR="004F4B99" w:rsidP="004F4B99">
      <w:pPr>
        <w:autoSpaceDE w:val="0"/>
        <w:autoSpaceDN w:val="0"/>
        <w:bidi w:val="0"/>
        <w:adjustRightInd w:val="0"/>
        <w:jc w:val="both"/>
        <w:rPr>
          <w:rFonts w:ascii="Times New Roman" w:hAnsi="Times New Roman"/>
          <w:bCs/>
        </w:rPr>
      </w:pPr>
    </w:p>
    <w:tbl>
      <w:tblPr>
        <w:tblStyle w:val="TableNormal"/>
        <w:tblW w:w="9306" w:type="dxa"/>
        <w:tblInd w:w="80" w:type="dxa"/>
        <w:tblCellMar>
          <w:left w:w="70" w:type="dxa"/>
          <w:right w:w="70" w:type="dxa"/>
        </w:tblCellMar>
        <w:tblLook w:val="04A0"/>
      </w:tblPr>
      <w:tblGrid>
        <w:gridCol w:w="567"/>
        <w:gridCol w:w="4456"/>
        <w:gridCol w:w="1428"/>
        <w:gridCol w:w="1427"/>
        <w:gridCol w:w="1428"/>
      </w:tblGrid>
      <w:tr>
        <w:tblPrEx>
          <w:tblW w:w="9306" w:type="dxa"/>
          <w:tblInd w:w="80" w:type="dxa"/>
          <w:tblCellMar>
            <w:left w:w="70" w:type="dxa"/>
            <w:right w:w="70" w:type="dxa"/>
          </w:tblCellMar>
          <w:tblLook w:val="04A0"/>
        </w:tblPrEx>
        <w:trPr>
          <w:trHeight w:val="315"/>
        </w:trPr>
        <w:tc>
          <w:tcPr>
            <w:tcW w:w="5023" w:type="dxa"/>
            <w:gridSpan w:val="2"/>
            <w:vMerge w:val="restart"/>
            <w:tcBorders>
              <w:top w:val="single" w:sz="8" w:space="0" w:color="auto"/>
              <w:left w:val="nil"/>
              <w:bottom w:val="nil"/>
              <w:right w:val="nil"/>
            </w:tcBorders>
            <w:shd w:val="clear" w:color="000000" w:fill="000000"/>
            <w:noWrap/>
            <w:textDirection w:val="lrTb"/>
            <w:vAlign w:val="center"/>
            <w:hideMark/>
          </w:tcPr>
          <w:p w:rsidR="004F4B99" w:rsidRPr="00AE0CC3" w:rsidP="004F4B99">
            <w:pPr>
              <w:bidi w:val="0"/>
              <w:rPr>
                <w:rFonts w:ascii="Times New Roman" w:hAnsi="Times New Roman"/>
                <w:b/>
                <w:bCs/>
                <w:color w:val="FFFFFF"/>
                <w:u w:val="single"/>
              </w:rPr>
            </w:pPr>
            <w:r>
              <w:rPr>
                <w:rFonts w:ascii="Times New Roman" w:hAnsi="Times New Roman"/>
                <w:b/>
                <w:bCs/>
                <w:color w:val="FFFFFF"/>
                <w:u w:val="single"/>
              </w:rPr>
              <w:t>Rozpočet obcí</w:t>
            </w:r>
            <w:r w:rsidRPr="00AE0CC3">
              <w:rPr>
                <w:rFonts w:ascii="Times New Roman" w:hAnsi="Times New Roman"/>
                <w:b/>
                <w:bCs/>
                <w:color w:val="FFFFFF"/>
                <w:u w:val="single"/>
              </w:rPr>
              <w:t xml:space="preserve"> - výdavky (v tis. eur)</w:t>
            </w:r>
          </w:p>
        </w:tc>
        <w:tc>
          <w:tcPr>
            <w:tcW w:w="4283" w:type="dxa"/>
            <w:gridSpan w:val="3"/>
            <w:tcBorders>
              <w:top w:val="single" w:sz="8" w:space="0" w:color="auto"/>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Pr>
                <w:rFonts w:ascii="Times New Roman" w:hAnsi="Times New Roman"/>
                <w:b/>
                <w:bCs/>
                <w:color w:val="FFFFFF"/>
              </w:rPr>
              <w:t>(cash = ESA95)</w:t>
            </w:r>
          </w:p>
        </w:tc>
      </w:tr>
      <w:tr>
        <w:tblPrEx>
          <w:tblW w:w="9306" w:type="dxa"/>
          <w:tblInd w:w="80" w:type="dxa"/>
          <w:tblCellMar>
            <w:left w:w="70" w:type="dxa"/>
            <w:right w:w="70" w:type="dxa"/>
          </w:tblCellMar>
          <w:tblLook w:val="04A0"/>
        </w:tblPrEx>
        <w:trPr>
          <w:trHeight w:val="330"/>
        </w:trPr>
        <w:tc>
          <w:tcPr>
            <w:tcW w:w="5023" w:type="dxa"/>
            <w:gridSpan w:val="2"/>
            <w:vMerge/>
            <w:tcBorders>
              <w:top w:val="single" w:sz="8" w:space="0" w:color="auto"/>
              <w:left w:val="nil"/>
              <w:bottom w:val="nil"/>
              <w:right w:val="nil"/>
            </w:tcBorders>
            <w:textDirection w:val="lrTb"/>
            <w:vAlign w:val="center"/>
            <w:hideMark/>
          </w:tcPr>
          <w:p w:rsidR="004F4B99" w:rsidRPr="00AE0CC3" w:rsidP="004F4B99">
            <w:pPr>
              <w:bidi w:val="0"/>
              <w:rPr>
                <w:rFonts w:ascii="Times New Roman" w:hAnsi="Times New Roman"/>
                <w:b/>
                <w:bCs/>
                <w:color w:val="FFFFFF"/>
                <w:u w:val="single"/>
              </w:rPr>
            </w:pPr>
          </w:p>
        </w:tc>
        <w:tc>
          <w:tcPr>
            <w:tcW w:w="1428" w:type="dxa"/>
            <w:tcBorders>
              <w:top w:val="nil"/>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2015</w:t>
            </w:r>
          </w:p>
        </w:tc>
        <w:tc>
          <w:tcPr>
            <w:tcW w:w="1427" w:type="dxa"/>
            <w:tcBorders>
              <w:top w:val="nil"/>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2016</w:t>
            </w:r>
          </w:p>
        </w:tc>
        <w:tc>
          <w:tcPr>
            <w:tcW w:w="1428" w:type="dxa"/>
            <w:tcBorders>
              <w:top w:val="nil"/>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2017</w:t>
            </w:r>
          </w:p>
        </w:tc>
      </w:tr>
      <w:tr>
        <w:tblPrEx>
          <w:tblW w:w="9306" w:type="dxa"/>
          <w:tblInd w:w="80" w:type="dxa"/>
          <w:tblCellMar>
            <w:left w:w="70" w:type="dxa"/>
            <w:right w:w="70" w:type="dxa"/>
          </w:tblCellMar>
          <w:tblLook w:val="04A0"/>
        </w:tblPrEx>
        <w:trPr>
          <w:trHeight w:val="330"/>
        </w:trPr>
        <w:tc>
          <w:tcPr>
            <w:tcW w:w="56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700</w:t>
            </w:r>
          </w:p>
        </w:tc>
        <w:tc>
          <w:tcPr>
            <w:tcW w:w="4456" w:type="dxa"/>
            <w:tcBorders>
              <w:top w:val="nil"/>
              <w:left w:val="nil"/>
              <w:bottom w:val="single" w:sz="8" w:space="0" w:color="auto"/>
              <w:right w:val="single" w:sz="8" w:space="0" w:color="auto"/>
            </w:tcBorders>
            <w:noWrap/>
            <w:textDirection w:val="lrTb"/>
            <w:vAlign w:val="center"/>
            <w:hideMark/>
          </w:tcPr>
          <w:p w:rsidR="004F4B99" w:rsidRPr="00AE0CC3" w:rsidP="004F4B99">
            <w:pPr>
              <w:bidi w:val="0"/>
              <w:rPr>
                <w:rFonts w:ascii="Times New Roman" w:hAnsi="Times New Roman"/>
                <w:b/>
                <w:bCs/>
                <w:color w:val="000000"/>
              </w:rPr>
            </w:pPr>
            <w:r w:rsidRPr="00AE0CC3">
              <w:rPr>
                <w:rFonts w:ascii="Times New Roman" w:hAnsi="Times New Roman"/>
                <w:b/>
                <w:bCs/>
                <w:color w:val="000000"/>
              </w:rPr>
              <w:t>Kapitálové výdavky</w:t>
            </w:r>
          </w:p>
        </w:tc>
        <w:tc>
          <w:tcPr>
            <w:tcW w:w="1428" w:type="dxa"/>
            <w:tcBorders>
              <w:top w:val="single" w:sz="8" w:space="0" w:color="auto"/>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1427" w:type="dxa"/>
            <w:tcBorders>
              <w:top w:val="single" w:sz="8" w:space="0" w:color="auto"/>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1428" w:type="dxa"/>
            <w:tcBorders>
              <w:top w:val="single" w:sz="8" w:space="0" w:color="auto"/>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r>
      <w:tr>
        <w:tblPrEx>
          <w:tblW w:w="9306" w:type="dxa"/>
          <w:tblInd w:w="80" w:type="dxa"/>
          <w:tblCellMar>
            <w:left w:w="70" w:type="dxa"/>
            <w:right w:w="70" w:type="dxa"/>
          </w:tblCellMar>
          <w:tblLook w:val="04A0"/>
        </w:tblPrEx>
        <w:trPr>
          <w:trHeight w:val="330"/>
        </w:trPr>
        <w:tc>
          <w:tcPr>
            <w:tcW w:w="567" w:type="dxa"/>
            <w:tcBorders>
              <w:top w:val="nil"/>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710</w:t>
            </w:r>
          </w:p>
        </w:tc>
        <w:tc>
          <w:tcPr>
            <w:tcW w:w="4456" w:type="dxa"/>
            <w:tcBorders>
              <w:top w:val="nil"/>
              <w:left w:val="nil"/>
              <w:bottom w:val="single" w:sz="8" w:space="0" w:color="auto"/>
              <w:right w:val="single" w:sz="8" w:space="0" w:color="auto"/>
            </w:tcBorders>
            <w:noWrap/>
            <w:textDirection w:val="lrTb"/>
            <w:vAlign w:val="center"/>
            <w:hideMark/>
          </w:tcPr>
          <w:p w:rsidR="004F4B99" w:rsidRPr="00AE0CC3" w:rsidP="004F4B99">
            <w:pPr>
              <w:bidi w:val="0"/>
              <w:rPr>
                <w:rFonts w:ascii="Times New Roman" w:hAnsi="Times New Roman"/>
                <w:color w:val="000000"/>
              </w:rPr>
            </w:pPr>
            <w:r w:rsidRPr="00AE0CC3">
              <w:rPr>
                <w:rFonts w:ascii="Times New Roman" w:hAnsi="Times New Roman"/>
                <w:color w:val="000000"/>
              </w:rPr>
              <w:t>Obstarávanie kapitálových aktív</w:t>
            </w:r>
          </w:p>
        </w:tc>
        <w:tc>
          <w:tcPr>
            <w:tcW w:w="1428" w:type="dxa"/>
            <w:tcBorders>
              <w:top w:val="single" w:sz="8" w:space="0" w:color="auto"/>
              <w:left w:val="nil"/>
              <w:bottom w:val="single" w:sz="8" w:space="0" w:color="auto"/>
              <w:right w:val="single" w:sz="8"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1427" w:type="dxa"/>
            <w:tcBorders>
              <w:top w:val="single" w:sz="8" w:space="0" w:color="auto"/>
              <w:left w:val="nil"/>
              <w:bottom w:val="single" w:sz="8" w:space="0" w:color="auto"/>
              <w:right w:val="single" w:sz="8"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1428" w:type="dxa"/>
            <w:tcBorders>
              <w:top w:val="single" w:sz="8" w:space="0" w:color="auto"/>
              <w:left w:val="nil"/>
              <w:bottom w:val="single" w:sz="8" w:space="0" w:color="auto"/>
              <w:right w:val="single" w:sz="8"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r>
    </w:tbl>
    <w:p w:rsidR="004F4B99" w:rsidP="004F4B99">
      <w:pPr>
        <w:autoSpaceDE w:val="0"/>
        <w:autoSpaceDN w:val="0"/>
        <w:bidi w:val="0"/>
        <w:adjustRightInd w:val="0"/>
        <w:jc w:val="both"/>
        <w:rPr>
          <w:rFonts w:ascii="Times New Roman" w:hAnsi="Times New Roman"/>
          <w:bCs/>
        </w:rPr>
      </w:pPr>
    </w:p>
    <w:p w:rsidR="004F4B99" w:rsidP="004F4B99">
      <w:pPr>
        <w:autoSpaceDE w:val="0"/>
        <w:autoSpaceDN w:val="0"/>
        <w:bidi w:val="0"/>
        <w:adjustRightInd w:val="0"/>
        <w:jc w:val="both"/>
        <w:rPr>
          <w:rFonts w:ascii="Times New Roman" w:hAnsi="Times New Roman"/>
          <w:bCs/>
        </w:rPr>
      </w:pPr>
    </w:p>
    <w:p w:rsidR="004F4B99" w:rsidRPr="0012245E" w:rsidP="004F4B99">
      <w:pPr>
        <w:autoSpaceDE w:val="0"/>
        <w:autoSpaceDN w:val="0"/>
        <w:bidi w:val="0"/>
        <w:adjustRightInd w:val="0"/>
        <w:jc w:val="both"/>
        <w:rPr>
          <w:rFonts w:ascii="Times New Roman" w:hAnsi="Times New Roman"/>
          <w:bCs/>
        </w:rPr>
      </w:pPr>
    </w:p>
    <w:tbl>
      <w:tblPr>
        <w:tblStyle w:val="TableNormal"/>
        <w:tblW w:w="9306" w:type="dxa"/>
        <w:tblInd w:w="80" w:type="dxa"/>
        <w:tblCellMar>
          <w:left w:w="70" w:type="dxa"/>
          <w:right w:w="70" w:type="dxa"/>
        </w:tblCellMar>
        <w:tblLook w:val="04A0"/>
      </w:tblPr>
      <w:tblGrid>
        <w:gridCol w:w="567"/>
        <w:gridCol w:w="4456"/>
        <w:gridCol w:w="1428"/>
        <w:gridCol w:w="1427"/>
        <w:gridCol w:w="1428"/>
      </w:tblGrid>
      <w:tr>
        <w:tblPrEx>
          <w:tblW w:w="9306" w:type="dxa"/>
          <w:tblInd w:w="80" w:type="dxa"/>
          <w:tblCellMar>
            <w:left w:w="70" w:type="dxa"/>
            <w:right w:w="70" w:type="dxa"/>
          </w:tblCellMar>
          <w:tblLook w:val="04A0"/>
        </w:tblPrEx>
        <w:trPr>
          <w:trHeight w:val="315"/>
        </w:trPr>
        <w:tc>
          <w:tcPr>
            <w:tcW w:w="5023" w:type="dxa"/>
            <w:gridSpan w:val="2"/>
            <w:vMerge w:val="restart"/>
            <w:tcBorders>
              <w:top w:val="single" w:sz="8" w:space="0" w:color="auto"/>
              <w:left w:val="nil"/>
              <w:bottom w:val="nil"/>
              <w:right w:val="nil"/>
            </w:tcBorders>
            <w:shd w:val="clear" w:color="000000" w:fill="000000"/>
            <w:noWrap/>
            <w:textDirection w:val="lrTb"/>
            <w:vAlign w:val="center"/>
            <w:hideMark/>
          </w:tcPr>
          <w:p w:rsidR="004F4B99" w:rsidRPr="00AE0CC3" w:rsidP="004F4B99">
            <w:pPr>
              <w:bidi w:val="0"/>
              <w:rPr>
                <w:rFonts w:ascii="Times New Roman" w:hAnsi="Times New Roman"/>
                <w:b/>
                <w:bCs/>
                <w:color w:val="FFFFFF"/>
                <w:u w:val="single"/>
              </w:rPr>
            </w:pPr>
            <w:r>
              <w:rPr>
                <w:rFonts w:ascii="Times New Roman" w:hAnsi="Times New Roman"/>
                <w:b/>
                <w:bCs/>
                <w:color w:val="FFFFFF"/>
                <w:u w:val="single"/>
              </w:rPr>
              <w:t>Rozpočet VÚC</w:t>
            </w:r>
            <w:r w:rsidRPr="00AE0CC3">
              <w:rPr>
                <w:rFonts w:ascii="Times New Roman" w:hAnsi="Times New Roman"/>
                <w:b/>
                <w:bCs/>
                <w:color w:val="FFFFFF"/>
                <w:u w:val="single"/>
              </w:rPr>
              <w:t xml:space="preserve"> - výdavky (v tis. eur)</w:t>
            </w:r>
          </w:p>
        </w:tc>
        <w:tc>
          <w:tcPr>
            <w:tcW w:w="4283" w:type="dxa"/>
            <w:gridSpan w:val="3"/>
            <w:tcBorders>
              <w:top w:val="single" w:sz="8" w:space="0" w:color="auto"/>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Pr>
                <w:rFonts w:ascii="Times New Roman" w:hAnsi="Times New Roman"/>
                <w:b/>
                <w:bCs/>
                <w:color w:val="FFFFFF"/>
              </w:rPr>
              <w:t>(cash = ESA95)</w:t>
            </w:r>
          </w:p>
        </w:tc>
      </w:tr>
      <w:tr>
        <w:tblPrEx>
          <w:tblW w:w="9306" w:type="dxa"/>
          <w:tblInd w:w="80" w:type="dxa"/>
          <w:tblCellMar>
            <w:left w:w="70" w:type="dxa"/>
            <w:right w:w="70" w:type="dxa"/>
          </w:tblCellMar>
          <w:tblLook w:val="04A0"/>
        </w:tblPrEx>
        <w:trPr>
          <w:trHeight w:val="330"/>
        </w:trPr>
        <w:tc>
          <w:tcPr>
            <w:tcW w:w="5023" w:type="dxa"/>
            <w:gridSpan w:val="2"/>
            <w:vMerge/>
            <w:tcBorders>
              <w:top w:val="single" w:sz="8" w:space="0" w:color="auto"/>
              <w:left w:val="nil"/>
              <w:bottom w:val="nil"/>
              <w:right w:val="nil"/>
            </w:tcBorders>
            <w:textDirection w:val="lrTb"/>
            <w:vAlign w:val="center"/>
            <w:hideMark/>
          </w:tcPr>
          <w:p w:rsidR="004F4B99" w:rsidRPr="00AE0CC3" w:rsidP="004F4B99">
            <w:pPr>
              <w:bidi w:val="0"/>
              <w:rPr>
                <w:rFonts w:ascii="Times New Roman" w:hAnsi="Times New Roman"/>
                <w:b/>
                <w:bCs/>
                <w:color w:val="FFFFFF"/>
                <w:u w:val="single"/>
              </w:rPr>
            </w:pPr>
          </w:p>
        </w:tc>
        <w:tc>
          <w:tcPr>
            <w:tcW w:w="1428" w:type="dxa"/>
            <w:tcBorders>
              <w:top w:val="nil"/>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2015</w:t>
            </w:r>
          </w:p>
        </w:tc>
        <w:tc>
          <w:tcPr>
            <w:tcW w:w="1427" w:type="dxa"/>
            <w:tcBorders>
              <w:top w:val="nil"/>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2016</w:t>
            </w:r>
          </w:p>
        </w:tc>
        <w:tc>
          <w:tcPr>
            <w:tcW w:w="1428" w:type="dxa"/>
            <w:tcBorders>
              <w:top w:val="nil"/>
              <w:left w:val="nil"/>
              <w:bottom w:val="nil"/>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2017</w:t>
            </w:r>
          </w:p>
        </w:tc>
      </w:tr>
      <w:tr>
        <w:tblPrEx>
          <w:tblW w:w="9306" w:type="dxa"/>
          <w:tblInd w:w="80" w:type="dxa"/>
          <w:tblCellMar>
            <w:left w:w="70" w:type="dxa"/>
            <w:right w:w="70" w:type="dxa"/>
          </w:tblCellMar>
          <w:tblLook w:val="04A0"/>
        </w:tblPrEx>
        <w:trPr>
          <w:trHeight w:val="330"/>
        </w:trPr>
        <w:tc>
          <w:tcPr>
            <w:tcW w:w="567"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700</w:t>
            </w:r>
          </w:p>
        </w:tc>
        <w:tc>
          <w:tcPr>
            <w:tcW w:w="4456" w:type="dxa"/>
            <w:tcBorders>
              <w:top w:val="nil"/>
              <w:left w:val="nil"/>
              <w:bottom w:val="single" w:sz="8" w:space="0" w:color="auto"/>
              <w:right w:val="single" w:sz="8" w:space="0" w:color="auto"/>
            </w:tcBorders>
            <w:noWrap/>
            <w:textDirection w:val="lrTb"/>
            <w:vAlign w:val="center"/>
            <w:hideMark/>
          </w:tcPr>
          <w:p w:rsidR="004F4B99" w:rsidRPr="00AE0CC3" w:rsidP="004F4B99">
            <w:pPr>
              <w:bidi w:val="0"/>
              <w:rPr>
                <w:rFonts w:ascii="Times New Roman" w:hAnsi="Times New Roman"/>
                <w:b/>
                <w:bCs/>
                <w:color w:val="000000"/>
              </w:rPr>
            </w:pPr>
            <w:r w:rsidRPr="00AE0CC3">
              <w:rPr>
                <w:rFonts w:ascii="Times New Roman" w:hAnsi="Times New Roman"/>
                <w:b/>
                <w:bCs/>
                <w:color w:val="000000"/>
              </w:rPr>
              <w:t>Kapitálové výdavky</w:t>
            </w:r>
          </w:p>
        </w:tc>
        <w:tc>
          <w:tcPr>
            <w:tcW w:w="1428" w:type="dxa"/>
            <w:tcBorders>
              <w:top w:val="single" w:sz="8" w:space="0" w:color="auto"/>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1427" w:type="dxa"/>
            <w:tcBorders>
              <w:top w:val="single" w:sz="8" w:space="0" w:color="auto"/>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1428" w:type="dxa"/>
            <w:tcBorders>
              <w:top w:val="single" w:sz="8" w:space="0" w:color="auto"/>
              <w:left w:val="nil"/>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r>
      <w:tr>
        <w:tblPrEx>
          <w:tblW w:w="9306" w:type="dxa"/>
          <w:tblInd w:w="80" w:type="dxa"/>
          <w:tblCellMar>
            <w:left w:w="70" w:type="dxa"/>
            <w:right w:w="70" w:type="dxa"/>
          </w:tblCellMar>
          <w:tblLook w:val="04A0"/>
        </w:tblPrEx>
        <w:trPr>
          <w:trHeight w:val="330"/>
        </w:trPr>
        <w:tc>
          <w:tcPr>
            <w:tcW w:w="567" w:type="dxa"/>
            <w:tcBorders>
              <w:top w:val="nil"/>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710</w:t>
            </w:r>
          </w:p>
        </w:tc>
        <w:tc>
          <w:tcPr>
            <w:tcW w:w="4456" w:type="dxa"/>
            <w:tcBorders>
              <w:top w:val="nil"/>
              <w:left w:val="nil"/>
              <w:bottom w:val="single" w:sz="8" w:space="0" w:color="auto"/>
              <w:right w:val="single" w:sz="8" w:space="0" w:color="auto"/>
            </w:tcBorders>
            <w:noWrap/>
            <w:textDirection w:val="lrTb"/>
            <w:vAlign w:val="center"/>
            <w:hideMark/>
          </w:tcPr>
          <w:p w:rsidR="004F4B99" w:rsidRPr="00AE0CC3" w:rsidP="004F4B99">
            <w:pPr>
              <w:bidi w:val="0"/>
              <w:rPr>
                <w:rFonts w:ascii="Times New Roman" w:hAnsi="Times New Roman"/>
                <w:color w:val="000000"/>
              </w:rPr>
            </w:pPr>
            <w:r w:rsidRPr="00AE0CC3">
              <w:rPr>
                <w:rFonts w:ascii="Times New Roman" w:hAnsi="Times New Roman"/>
                <w:color w:val="000000"/>
              </w:rPr>
              <w:t>Obstarávanie kapitálových aktív</w:t>
            </w:r>
          </w:p>
        </w:tc>
        <w:tc>
          <w:tcPr>
            <w:tcW w:w="1428" w:type="dxa"/>
            <w:tcBorders>
              <w:top w:val="single" w:sz="8" w:space="0" w:color="auto"/>
              <w:left w:val="nil"/>
              <w:bottom w:val="single" w:sz="8" w:space="0" w:color="auto"/>
              <w:right w:val="single" w:sz="8"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1427" w:type="dxa"/>
            <w:tcBorders>
              <w:top w:val="single" w:sz="8" w:space="0" w:color="auto"/>
              <w:left w:val="nil"/>
              <w:bottom w:val="single" w:sz="8" w:space="0" w:color="auto"/>
              <w:right w:val="single" w:sz="8"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1428" w:type="dxa"/>
            <w:tcBorders>
              <w:top w:val="single" w:sz="8" w:space="0" w:color="auto"/>
              <w:left w:val="nil"/>
              <w:bottom w:val="single" w:sz="8" w:space="0" w:color="auto"/>
              <w:right w:val="single" w:sz="8"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r>
    </w:tbl>
    <w:p w:rsidR="004F4B99" w:rsidRPr="0012245E" w:rsidP="004F4B99">
      <w:pPr>
        <w:autoSpaceDE w:val="0"/>
        <w:autoSpaceDN w:val="0"/>
        <w:bidi w:val="0"/>
        <w:adjustRightInd w:val="0"/>
        <w:jc w:val="both"/>
        <w:rPr>
          <w:rFonts w:ascii="Times New Roman" w:hAnsi="Times New Roman"/>
          <w:b/>
        </w:rPr>
      </w:pPr>
    </w:p>
    <w:tbl>
      <w:tblPr>
        <w:tblStyle w:val="TableNormal"/>
        <w:tblW w:w="4999" w:type="pct"/>
        <w:tblInd w:w="242" w:type="dxa"/>
        <w:tblLayout w:type="fixed"/>
        <w:tblCellMar>
          <w:left w:w="70" w:type="dxa"/>
          <w:right w:w="70" w:type="dxa"/>
        </w:tblCellMar>
        <w:tblLook w:val="04A0"/>
      </w:tblPr>
      <w:tblGrid>
        <w:gridCol w:w="608"/>
        <w:gridCol w:w="5191"/>
        <w:gridCol w:w="863"/>
        <w:gridCol w:w="721"/>
        <w:gridCol w:w="847"/>
        <w:gridCol w:w="980"/>
      </w:tblGrid>
      <w:tr>
        <w:tblPrEx>
          <w:tblW w:w="4999" w:type="pct"/>
          <w:tblInd w:w="242" w:type="dxa"/>
          <w:tblLayout w:type="fixed"/>
          <w:tblCellMar>
            <w:left w:w="70" w:type="dxa"/>
            <w:right w:w="70" w:type="dxa"/>
          </w:tblCellMar>
          <w:tblLook w:val="04A0"/>
        </w:tblPrEx>
        <w:trPr>
          <w:trHeight w:val="315"/>
        </w:trPr>
        <w:tc>
          <w:tcPr>
            <w:tcW w:w="5711" w:type="dxa"/>
            <w:gridSpan w:val="2"/>
            <w:vMerge w:val="restart"/>
            <w:tcBorders>
              <w:top w:val="single" w:sz="8" w:space="0" w:color="auto"/>
              <w:left w:val="nil"/>
              <w:bottom w:val="nil"/>
              <w:right w:val="nil"/>
            </w:tcBorders>
            <w:shd w:val="clear" w:color="000000" w:fill="000000"/>
            <w:noWrap/>
            <w:textDirection w:val="lrTb"/>
            <w:vAlign w:val="center"/>
            <w:hideMark/>
          </w:tcPr>
          <w:p w:rsidR="004F4B99" w:rsidRPr="00AE0CC3" w:rsidP="004F4B99">
            <w:pPr>
              <w:bidi w:val="0"/>
              <w:rPr>
                <w:rFonts w:ascii="Times New Roman" w:hAnsi="Times New Roman"/>
                <w:b/>
                <w:bCs/>
                <w:color w:val="FFFFFF"/>
                <w:u w:val="single"/>
              </w:rPr>
            </w:pPr>
            <w:r>
              <w:rPr>
                <w:rFonts w:ascii="Times New Roman" w:hAnsi="Times New Roman"/>
                <w:b/>
                <w:bCs/>
                <w:color w:val="FFFFFF"/>
                <w:u w:val="single"/>
              </w:rPr>
              <w:t>Rozpočet verejnej správy</w:t>
            </w:r>
            <w:r w:rsidRPr="00AE0CC3">
              <w:rPr>
                <w:rFonts w:ascii="Times New Roman" w:hAnsi="Times New Roman"/>
                <w:b/>
                <w:bCs/>
                <w:color w:val="FFFFFF"/>
                <w:u w:val="single"/>
              </w:rPr>
              <w:t xml:space="preserve"> - výdavky (v tis. eur)</w:t>
            </w:r>
          </w:p>
        </w:tc>
        <w:tc>
          <w:tcPr>
            <w:tcW w:w="3359" w:type="dxa"/>
            <w:gridSpan w:val="4"/>
            <w:tcBorders>
              <w:top w:val="single" w:sz="8" w:space="0" w:color="auto"/>
              <w:left w:val="nil"/>
              <w:bottom w:val="nil"/>
              <w:right w:val="nil"/>
            </w:tcBorders>
            <w:shd w:val="clear" w:color="000000" w:fill="000000"/>
            <w:textDirection w:val="lrTb"/>
            <w:vAlign w:val="top"/>
          </w:tcPr>
          <w:p w:rsidR="004F4B99" w:rsidRPr="00AE0CC3" w:rsidP="004F4B99">
            <w:pPr>
              <w:bidi w:val="0"/>
              <w:jc w:val="center"/>
              <w:rPr>
                <w:rFonts w:ascii="Times New Roman" w:hAnsi="Times New Roman"/>
                <w:b/>
                <w:bCs/>
                <w:color w:val="FFFFFF"/>
              </w:rPr>
            </w:pPr>
            <w:r>
              <w:rPr>
                <w:rFonts w:ascii="Times New Roman" w:hAnsi="Times New Roman"/>
                <w:b/>
                <w:bCs/>
                <w:color w:val="FFFFFF"/>
              </w:rPr>
              <w:t>(cash = ESA95)</w:t>
            </w:r>
          </w:p>
        </w:tc>
      </w:tr>
      <w:tr>
        <w:tblPrEx>
          <w:tblW w:w="4999" w:type="pct"/>
          <w:tblInd w:w="242" w:type="dxa"/>
          <w:tblLayout w:type="fixed"/>
          <w:tblCellMar>
            <w:left w:w="70" w:type="dxa"/>
            <w:right w:w="70" w:type="dxa"/>
          </w:tblCellMar>
          <w:tblLook w:val="04A0"/>
        </w:tblPrEx>
        <w:trPr>
          <w:trHeight w:val="330"/>
        </w:trPr>
        <w:tc>
          <w:tcPr>
            <w:tcW w:w="5711" w:type="dxa"/>
            <w:gridSpan w:val="2"/>
            <w:vMerge/>
            <w:tcBorders>
              <w:top w:val="single" w:sz="8" w:space="0" w:color="auto"/>
              <w:left w:val="nil"/>
              <w:bottom w:val="nil"/>
              <w:right w:val="nil"/>
            </w:tcBorders>
            <w:textDirection w:val="lrTb"/>
            <w:vAlign w:val="center"/>
            <w:hideMark/>
          </w:tcPr>
          <w:p w:rsidR="004F4B99" w:rsidRPr="00AE0CC3" w:rsidP="004F4B99">
            <w:pPr>
              <w:bidi w:val="0"/>
              <w:rPr>
                <w:rFonts w:ascii="Times New Roman" w:hAnsi="Times New Roman"/>
                <w:b/>
                <w:bCs/>
                <w:color w:val="FFFFFF"/>
                <w:u w:val="single"/>
              </w:rPr>
            </w:pPr>
          </w:p>
        </w:tc>
        <w:tc>
          <w:tcPr>
            <w:tcW w:w="850" w:type="dxa"/>
            <w:tcBorders>
              <w:top w:val="nil"/>
              <w:left w:val="nil"/>
              <w:bottom w:val="single" w:sz="4" w:space="0" w:color="auto"/>
              <w:right w:val="nil"/>
            </w:tcBorders>
            <w:shd w:val="clear" w:color="000000" w:fill="000000"/>
            <w:textDirection w:val="lrTb"/>
            <w:vAlign w:val="top"/>
          </w:tcPr>
          <w:p w:rsidR="004F4B99" w:rsidRPr="00AE0CC3" w:rsidP="004F4B99">
            <w:pPr>
              <w:bidi w:val="0"/>
              <w:jc w:val="center"/>
              <w:rPr>
                <w:rFonts w:ascii="Times New Roman" w:hAnsi="Times New Roman"/>
                <w:b/>
                <w:bCs/>
                <w:color w:val="FFFFFF"/>
              </w:rPr>
            </w:pPr>
            <w:r>
              <w:rPr>
                <w:rFonts w:ascii="Times New Roman" w:hAnsi="Times New Roman"/>
                <w:b/>
                <w:bCs/>
                <w:color w:val="FFFFFF"/>
              </w:rPr>
              <w:t>2014</w:t>
            </w:r>
          </w:p>
        </w:tc>
        <w:tc>
          <w:tcPr>
            <w:tcW w:w="710" w:type="dxa"/>
            <w:tcBorders>
              <w:top w:val="nil"/>
              <w:left w:val="nil"/>
              <w:bottom w:val="single" w:sz="4" w:space="0" w:color="auto"/>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2015</w:t>
            </w:r>
          </w:p>
        </w:tc>
        <w:tc>
          <w:tcPr>
            <w:tcW w:w="834" w:type="dxa"/>
            <w:tcBorders>
              <w:top w:val="nil"/>
              <w:left w:val="nil"/>
              <w:bottom w:val="single" w:sz="4" w:space="0" w:color="auto"/>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2016</w:t>
            </w:r>
          </w:p>
        </w:tc>
        <w:tc>
          <w:tcPr>
            <w:tcW w:w="965" w:type="dxa"/>
            <w:tcBorders>
              <w:top w:val="nil"/>
              <w:left w:val="nil"/>
              <w:bottom w:val="single" w:sz="4" w:space="0" w:color="auto"/>
              <w:right w:val="nil"/>
            </w:tcBorders>
            <w:shd w:val="clear" w:color="000000" w:fill="000000"/>
            <w:noWrap/>
            <w:textDirection w:val="lrTb"/>
            <w:vAlign w:val="center"/>
            <w:hideMark/>
          </w:tcPr>
          <w:p w:rsidR="004F4B99" w:rsidRPr="00AE0CC3" w:rsidP="004F4B99">
            <w:pPr>
              <w:bidi w:val="0"/>
              <w:jc w:val="center"/>
              <w:rPr>
                <w:rFonts w:ascii="Times New Roman" w:hAnsi="Times New Roman"/>
                <w:b/>
                <w:bCs/>
                <w:color w:val="FFFFFF"/>
              </w:rPr>
            </w:pPr>
            <w:r w:rsidRPr="00AE0CC3">
              <w:rPr>
                <w:rFonts w:ascii="Times New Roman" w:hAnsi="Times New Roman"/>
                <w:b/>
                <w:bCs/>
                <w:color w:val="FFFFFF"/>
              </w:rPr>
              <w:t>2017</w:t>
            </w:r>
          </w:p>
        </w:tc>
      </w:tr>
      <w:tr>
        <w:tblPrEx>
          <w:tblW w:w="4999" w:type="pct"/>
          <w:tblInd w:w="242" w:type="dxa"/>
          <w:tblLayout w:type="fixed"/>
          <w:tblCellMar>
            <w:left w:w="70" w:type="dxa"/>
            <w:right w:w="70" w:type="dxa"/>
          </w:tblCellMar>
          <w:tblLook w:val="04A0"/>
        </w:tblPrEx>
        <w:trPr>
          <w:trHeight w:val="330"/>
        </w:trPr>
        <w:tc>
          <w:tcPr>
            <w:tcW w:w="599" w:type="dxa"/>
            <w:tcBorders>
              <w:top w:val="single" w:sz="8" w:space="0" w:color="auto"/>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700</w:t>
            </w:r>
          </w:p>
        </w:tc>
        <w:tc>
          <w:tcPr>
            <w:tcW w:w="5112" w:type="dxa"/>
            <w:tcBorders>
              <w:top w:val="nil"/>
              <w:left w:val="nil"/>
              <w:bottom w:val="single" w:sz="8" w:space="0" w:color="auto"/>
              <w:right w:val="single" w:sz="4" w:space="0" w:color="auto"/>
            </w:tcBorders>
            <w:noWrap/>
            <w:textDirection w:val="lrTb"/>
            <w:vAlign w:val="center"/>
            <w:hideMark/>
          </w:tcPr>
          <w:p w:rsidR="004F4B99" w:rsidRPr="00AE0CC3" w:rsidP="004F4B99">
            <w:pPr>
              <w:bidi w:val="0"/>
              <w:rPr>
                <w:rFonts w:ascii="Times New Roman" w:hAnsi="Times New Roman"/>
                <w:b/>
                <w:bCs/>
                <w:color w:val="000000"/>
              </w:rPr>
            </w:pPr>
            <w:r w:rsidRPr="00AE0CC3">
              <w:rPr>
                <w:rFonts w:ascii="Times New Roman" w:hAnsi="Times New Roman"/>
                <w:b/>
                <w:bCs/>
                <w:color w:val="000000"/>
              </w:rPr>
              <w:t>Kapitálové výdavky</w:t>
            </w:r>
          </w:p>
        </w:tc>
        <w:tc>
          <w:tcPr>
            <w:tcW w:w="850" w:type="dxa"/>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b/>
                <w:bCs/>
                <w:color w:val="000000"/>
              </w:rPr>
            </w:pPr>
            <w:r>
              <w:rPr>
                <w:rFonts w:ascii="Times New Roman" w:hAnsi="Times New Roman"/>
                <w:b/>
                <w:bCs/>
                <w:color w:val="000000"/>
              </w:rPr>
              <w:t>60</w:t>
            </w:r>
            <w:r w:rsidRPr="00AE0CC3">
              <w:rPr>
                <w:rFonts w:ascii="Times New Roman" w:hAnsi="Times New Roman"/>
                <w:b/>
                <w:bCs/>
                <w:color w:val="000000"/>
              </w:rPr>
              <w:t>0</w:t>
            </w:r>
          </w:p>
        </w:tc>
        <w:tc>
          <w:tcPr>
            <w:tcW w:w="71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83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c>
          <w:tcPr>
            <w:tcW w:w="96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AE0CC3" w:rsidP="004F4B99">
            <w:pPr>
              <w:bidi w:val="0"/>
              <w:jc w:val="right"/>
              <w:rPr>
                <w:rFonts w:ascii="Times New Roman" w:hAnsi="Times New Roman"/>
                <w:b/>
                <w:bCs/>
                <w:color w:val="000000"/>
              </w:rPr>
            </w:pPr>
            <w:r w:rsidRPr="00AE0CC3">
              <w:rPr>
                <w:rFonts w:ascii="Times New Roman" w:hAnsi="Times New Roman"/>
                <w:b/>
                <w:bCs/>
                <w:color w:val="000000"/>
              </w:rPr>
              <w:t>0</w:t>
            </w:r>
          </w:p>
        </w:tc>
      </w:tr>
      <w:tr>
        <w:tblPrEx>
          <w:tblW w:w="4999" w:type="pct"/>
          <w:tblInd w:w="242" w:type="dxa"/>
          <w:tblLayout w:type="fixed"/>
          <w:tblCellMar>
            <w:left w:w="70" w:type="dxa"/>
            <w:right w:w="70" w:type="dxa"/>
          </w:tblCellMar>
          <w:tblLook w:val="04A0"/>
        </w:tblPrEx>
        <w:trPr>
          <w:trHeight w:val="330"/>
        </w:trPr>
        <w:tc>
          <w:tcPr>
            <w:tcW w:w="599" w:type="dxa"/>
            <w:tcBorders>
              <w:top w:val="nil"/>
              <w:left w:val="single" w:sz="8" w:space="0" w:color="auto"/>
              <w:bottom w:val="single" w:sz="8" w:space="0" w:color="auto"/>
              <w:right w:val="single" w:sz="8" w:space="0" w:color="auto"/>
            </w:tcBorders>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710</w:t>
            </w:r>
          </w:p>
        </w:tc>
        <w:tc>
          <w:tcPr>
            <w:tcW w:w="5112" w:type="dxa"/>
            <w:tcBorders>
              <w:top w:val="nil"/>
              <w:left w:val="nil"/>
              <w:bottom w:val="single" w:sz="8" w:space="0" w:color="auto"/>
              <w:right w:val="single" w:sz="4" w:space="0" w:color="auto"/>
            </w:tcBorders>
            <w:noWrap/>
            <w:textDirection w:val="lrTb"/>
            <w:vAlign w:val="center"/>
            <w:hideMark/>
          </w:tcPr>
          <w:p w:rsidR="004F4B99" w:rsidRPr="00AE0CC3" w:rsidP="004F4B99">
            <w:pPr>
              <w:bidi w:val="0"/>
              <w:rPr>
                <w:rFonts w:ascii="Times New Roman" w:hAnsi="Times New Roman"/>
                <w:color w:val="000000"/>
              </w:rPr>
            </w:pPr>
            <w:r w:rsidRPr="00AE0CC3">
              <w:rPr>
                <w:rFonts w:ascii="Times New Roman" w:hAnsi="Times New Roman"/>
                <w:color w:val="000000"/>
              </w:rPr>
              <w:t>Obstarávanie kapitálových aktív</w:t>
            </w:r>
            <w:r>
              <w:rPr>
                <w:rFonts w:ascii="Times New Roman" w:hAnsi="Times New Roman"/>
                <w:color w:val="000000"/>
              </w:rPr>
              <w:t xml:space="preserve"> (kapitola MF SR)</w:t>
            </w:r>
          </w:p>
        </w:tc>
        <w:tc>
          <w:tcPr>
            <w:tcW w:w="850" w:type="dxa"/>
            <w:tcBorders>
              <w:top w:val="single" w:sz="4" w:space="0" w:color="auto"/>
              <w:left w:val="single" w:sz="4" w:space="0" w:color="auto"/>
              <w:bottom w:val="single" w:sz="4" w:space="0" w:color="auto"/>
              <w:right w:val="single" w:sz="4" w:space="0" w:color="auto"/>
            </w:tcBorders>
            <w:textDirection w:val="lrTb"/>
            <w:vAlign w:val="center"/>
          </w:tcPr>
          <w:p w:rsidR="004F4B99" w:rsidRPr="00AE0CC3" w:rsidP="004F4B99">
            <w:pPr>
              <w:bidi w:val="0"/>
              <w:jc w:val="right"/>
              <w:rPr>
                <w:rFonts w:ascii="Times New Roman" w:hAnsi="Times New Roman"/>
                <w:color w:val="000000"/>
              </w:rPr>
            </w:pPr>
            <w:r>
              <w:rPr>
                <w:rFonts w:ascii="Times New Roman" w:hAnsi="Times New Roman"/>
                <w:color w:val="000000"/>
              </w:rPr>
              <w:t>60</w:t>
            </w:r>
            <w:r w:rsidRPr="00AE0CC3">
              <w:rPr>
                <w:rFonts w:ascii="Times New Roman" w:hAnsi="Times New Roman"/>
                <w:color w:val="000000"/>
              </w:rPr>
              <w:t>0</w:t>
            </w:r>
          </w:p>
        </w:tc>
        <w:tc>
          <w:tcPr>
            <w:tcW w:w="710"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834"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c>
          <w:tcPr>
            <w:tcW w:w="965"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4F4B99" w:rsidRPr="00AE0CC3" w:rsidP="004F4B99">
            <w:pPr>
              <w:bidi w:val="0"/>
              <w:jc w:val="right"/>
              <w:rPr>
                <w:rFonts w:ascii="Times New Roman" w:hAnsi="Times New Roman"/>
                <w:color w:val="000000"/>
              </w:rPr>
            </w:pPr>
            <w:r w:rsidRPr="00AE0CC3">
              <w:rPr>
                <w:rFonts w:ascii="Times New Roman" w:hAnsi="Times New Roman"/>
                <w:color w:val="000000"/>
              </w:rPr>
              <w:t>0</w:t>
            </w:r>
          </w:p>
        </w:tc>
      </w:tr>
    </w:tbl>
    <w:p w:rsidR="004F4B99" w:rsidRPr="0012245E" w:rsidP="004F4B99">
      <w:pPr>
        <w:autoSpaceDE w:val="0"/>
        <w:autoSpaceDN w:val="0"/>
        <w:bidi w:val="0"/>
        <w:adjustRightInd w:val="0"/>
        <w:jc w:val="both"/>
        <w:rPr>
          <w:rFonts w:ascii="Times New Roman" w:hAnsi="Times New Roman"/>
          <w:b/>
        </w:rPr>
      </w:pPr>
    </w:p>
    <w:p w:rsidR="004F4B99" w:rsidRPr="0012245E" w:rsidP="004F4B99">
      <w:pPr>
        <w:autoSpaceDE w:val="0"/>
        <w:autoSpaceDN w:val="0"/>
        <w:bidi w:val="0"/>
        <w:adjustRightInd w:val="0"/>
        <w:jc w:val="both"/>
        <w:rPr>
          <w:rFonts w:ascii="Times New Roman" w:hAnsi="Times New Roman"/>
          <w:b/>
        </w:rPr>
      </w:pPr>
      <w:r w:rsidRPr="0012245E">
        <w:rPr>
          <w:rFonts w:ascii="Times New Roman" w:hAnsi="Times New Roman"/>
          <w:b/>
        </w:rPr>
        <w:t>Vplyv na zamestnanosť</w:t>
      </w:r>
    </w:p>
    <w:p w:rsidR="004F4B99" w:rsidRPr="0012245E" w:rsidP="004F4B99">
      <w:pPr>
        <w:autoSpaceDE w:val="0"/>
        <w:autoSpaceDN w:val="0"/>
        <w:bidi w:val="0"/>
        <w:adjustRightInd w:val="0"/>
        <w:jc w:val="both"/>
        <w:rPr>
          <w:rFonts w:ascii="Times New Roman" w:hAnsi="Times New Roman"/>
        </w:rPr>
      </w:pPr>
    </w:p>
    <w:p w:rsidR="004F4B99" w:rsidRPr="0012245E" w:rsidP="004F4B99">
      <w:pPr>
        <w:bidi w:val="0"/>
        <w:jc w:val="both"/>
        <w:rPr>
          <w:rFonts w:ascii="Times New Roman" w:hAnsi="Times New Roman"/>
        </w:rPr>
      </w:pPr>
      <w:r w:rsidRPr="0012245E">
        <w:rPr>
          <w:rFonts w:ascii="Times New Roman" w:hAnsi="Times New Roman"/>
        </w:rPr>
        <w:t xml:space="preserve">Navrhované opatrenia nemajú vplyv na zamestnanosť vo verejnej správe. </w:t>
      </w:r>
    </w:p>
    <w:p w:rsidR="004F4B99" w:rsidP="004F4B99">
      <w:pPr>
        <w:bidi w:val="0"/>
        <w:rPr>
          <w:rFonts w:ascii="Times New Roman" w:hAnsi="Times New Roman"/>
        </w:rPr>
      </w:pPr>
    </w:p>
    <w:p w:rsidR="006A7BE2">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4F4B99" w:rsidRPr="0012245E" w:rsidP="004F4B99">
      <w:pPr>
        <w:bidi w:val="0"/>
        <w:jc w:val="center"/>
        <w:rPr>
          <w:rFonts w:ascii="Times New Roman" w:hAnsi="Times New Roman"/>
          <w:b/>
          <w:bCs/>
        </w:rPr>
      </w:pPr>
      <w:r w:rsidRPr="0012245E">
        <w:rPr>
          <w:rFonts w:ascii="Times New Roman" w:hAnsi="Times New Roman"/>
          <w:b/>
          <w:bCs/>
        </w:rPr>
        <w:t>Vplyvy na podnikateľské prostredie</w:t>
      </w:r>
    </w:p>
    <w:p w:rsidR="004F4B99" w:rsidRPr="0012245E" w:rsidP="004F4B99">
      <w:pPr>
        <w:bidi w:val="0"/>
        <w:rPr>
          <w:rFonts w:ascii="Times New Roman" w:hAnsi="Times New Roman"/>
          <w:b/>
          <w:bCs/>
        </w:rPr>
      </w:pPr>
    </w:p>
    <w:tbl>
      <w:tblPr>
        <w:tblStyle w:val="TableNormal"/>
        <w:tblW w:w="9195" w:type="dxa"/>
        <w:tblInd w:w="55" w:type="dxa"/>
        <w:tblCellMar>
          <w:left w:w="70" w:type="dxa"/>
          <w:right w:w="70" w:type="dxa"/>
        </w:tblCellMar>
      </w:tblPr>
      <w:tblGrid>
        <w:gridCol w:w="3134"/>
        <w:gridCol w:w="6061"/>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3134" w:type="dxa"/>
            <w:tcBorders>
              <w:top w:val="nil"/>
              <w:left w:val="single" w:sz="8" w:space="0" w:color="auto"/>
              <w:bottom w:val="single" w:sz="4" w:space="0" w:color="auto"/>
              <w:right w:val="single" w:sz="4" w:space="0" w:color="auto"/>
            </w:tcBorders>
            <w:noWrap/>
            <w:textDirection w:val="lrTb"/>
            <w:vAlign w:val="top"/>
          </w:tcPr>
          <w:p w:rsidR="004F4B99" w:rsidRPr="0012245E" w:rsidP="004F4B99">
            <w:pPr>
              <w:bidi w:val="0"/>
              <w:rPr>
                <w:rFonts w:ascii="Times New Roman" w:hAnsi="Times New Roman"/>
              </w:rPr>
            </w:pPr>
          </w:p>
          <w:p w:rsidR="004F4B99" w:rsidRPr="0012245E" w:rsidP="004F4B99">
            <w:pPr>
              <w:bidi w:val="0"/>
              <w:rPr>
                <w:rFonts w:ascii="Times New Roman" w:hAnsi="Times New Roman"/>
              </w:rPr>
            </w:pPr>
            <w:r w:rsidRPr="0012245E">
              <w:rPr>
                <w:rFonts w:ascii="Times New Roman" w:hAnsi="Times New Roman"/>
                <w:b/>
              </w:rPr>
              <w:t>3.1</w:t>
            </w:r>
            <w:r w:rsidRPr="0012245E">
              <w:rPr>
                <w:rFonts w:ascii="Times New Roman" w:hAnsi="Times New Roman"/>
              </w:rPr>
              <w:t>. Ktoré podnikateľské subjekty budú predkladaným návrhom ovplyvnené a aký je ich počet?</w:t>
            </w:r>
          </w:p>
          <w:p w:rsidR="004F4B99" w:rsidRPr="0012245E" w:rsidP="004F4B99">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4F4B99" w:rsidP="004F4B99">
            <w:pPr>
              <w:bidi w:val="0"/>
              <w:ind w:left="326"/>
              <w:rPr>
                <w:rFonts w:ascii="Times New Roman" w:hAnsi="Times New Roman"/>
              </w:rPr>
            </w:pPr>
            <w:r>
              <w:rPr>
                <w:rFonts w:ascii="Times New Roman" w:hAnsi="Times New Roman"/>
              </w:rPr>
              <w:t>Návrhom zákona o dani z príjmov budú ovplyvnení:</w:t>
            </w:r>
          </w:p>
          <w:p w:rsidR="004F4B99" w:rsidRPr="0012245E" w:rsidP="004F4B99">
            <w:pPr>
              <w:numPr>
                <w:numId w:val="6"/>
              </w:numPr>
              <w:bidi w:val="0"/>
              <w:ind w:left="326" w:hanging="281"/>
              <w:rPr>
                <w:rFonts w:ascii="Times New Roman" w:hAnsi="Times New Roman"/>
              </w:rPr>
            </w:pPr>
            <w:r w:rsidRPr="0012245E">
              <w:rPr>
                <w:rFonts w:ascii="Times New Roman" w:hAnsi="Times New Roman"/>
              </w:rPr>
              <w:t>Zamestnávatelia - všetci</w:t>
            </w:r>
          </w:p>
          <w:p w:rsidR="004F4B99" w:rsidRPr="0012245E" w:rsidP="004F4B99">
            <w:pPr>
              <w:numPr>
                <w:numId w:val="6"/>
              </w:numPr>
              <w:bidi w:val="0"/>
              <w:ind w:left="326" w:hanging="281"/>
              <w:rPr>
                <w:rFonts w:ascii="Times New Roman" w:hAnsi="Times New Roman"/>
              </w:rPr>
            </w:pPr>
            <w:r w:rsidRPr="0012245E">
              <w:rPr>
                <w:rFonts w:ascii="Times New Roman" w:hAnsi="Times New Roman"/>
              </w:rPr>
              <w:t>SZČO –  všetky</w:t>
            </w:r>
          </w:p>
          <w:p w:rsidR="004F4B99" w:rsidP="004F4B99">
            <w:pPr>
              <w:numPr>
                <w:numId w:val="6"/>
              </w:numPr>
              <w:bidi w:val="0"/>
              <w:ind w:left="326" w:hanging="281"/>
              <w:rPr>
                <w:rFonts w:ascii="Times New Roman" w:hAnsi="Times New Roman"/>
              </w:rPr>
            </w:pPr>
            <w:r w:rsidRPr="0012245E">
              <w:rPr>
                <w:rFonts w:ascii="Times New Roman" w:hAnsi="Times New Roman"/>
              </w:rPr>
              <w:t>Právnické osoby – všetky</w:t>
            </w:r>
          </w:p>
          <w:p w:rsidR="004F4B99" w:rsidP="004F4B99">
            <w:pPr>
              <w:bidi w:val="0"/>
              <w:ind w:left="326"/>
              <w:jc w:val="both"/>
              <w:rPr>
                <w:rFonts w:ascii="Times New Roman" w:hAnsi="Times New Roman"/>
              </w:rPr>
            </w:pPr>
          </w:p>
          <w:p w:rsidR="004F4B99" w:rsidP="004F4B99">
            <w:pPr>
              <w:bidi w:val="0"/>
              <w:ind w:left="326"/>
              <w:jc w:val="both"/>
              <w:rPr>
                <w:rFonts w:ascii="Times New Roman" w:hAnsi="Times New Roman"/>
              </w:rPr>
            </w:pPr>
            <w:r w:rsidRPr="000E47F3">
              <w:rPr>
                <w:rFonts w:ascii="Times New Roman" w:hAnsi="Times New Roman"/>
              </w:rPr>
              <w:t>Návrhom zákona</w:t>
            </w:r>
            <w:r>
              <w:rPr>
                <w:rFonts w:ascii="Times New Roman" w:hAnsi="Times New Roman"/>
              </w:rPr>
              <w:t xml:space="preserve"> o používaní registračnej o používaní elektronickej registračnej pokladnice</w:t>
            </w:r>
            <w:r w:rsidRPr="000E47F3">
              <w:rPr>
                <w:rFonts w:ascii="Times New Roman" w:hAnsi="Times New Roman"/>
              </w:rPr>
              <w:t xml:space="preserve"> bud</w:t>
            </w:r>
            <w:r>
              <w:rPr>
                <w:rFonts w:ascii="Times New Roman" w:hAnsi="Times New Roman"/>
              </w:rPr>
              <w:t>ú:</w:t>
            </w:r>
          </w:p>
          <w:p w:rsidR="004F4B99" w:rsidP="004F4B99">
            <w:pPr>
              <w:numPr>
                <w:numId w:val="6"/>
              </w:numPr>
              <w:bidi w:val="0"/>
              <w:ind w:left="326" w:hanging="281"/>
              <w:jc w:val="both"/>
              <w:rPr>
                <w:rFonts w:ascii="Times New Roman" w:hAnsi="Times New Roman"/>
              </w:rPr>
            </w:pPr>
            <w:r>
              <w:rPr>
                <w:rFonts w:ascii="Times New Roman" w:hAnsi="Times New Roman"/>
              </w:rPr>
              <w:t xml:space="preserve">ovplyvnené </w:t>
            </w:r>
            <w:r w:rsidRPr="003F1E17">
              <w:rPr>
                <w:rFonts w:ascii="Times New Roman" w:hAnsi="Times New Roman"/>
              </w:rPr>
              <w:t>podnikateľské subjekty, na ktoré sa od účinnosti zákona bude vzťahovať povinnosť používať virtuálnu registračnú pokladnicu, resp. elektronickú registračnú pokladnicu - počet týchto subjektov nie je možné odhadnúť, pretože niektor</w:t>
            </w:r>
            <w:r>
              <w:rPr>
                <w:rFonts w:ascii="Times New Roman" w:hAnsi="Times New Roman"/>
              </w:rPr>
              <w:t>í podnikatelia</w:t>
            </w:r>
            <w:r w:rsidRPr="003F1E17">
              <w:rPr>
                <w:rFonts w:ascii="Times New Roman" w:hAnsi="Times New Roman"/>
              </w:rPr>
              <w:t xml:space="preserve"> už dnes na báze dobrovoľnosti elektronické registračné pokladnice používajú.</w:t>
            </w:r>
          </w:p>
          <w:p w:rsidR="004F4B99" w:rsidP="004F4B99">
            <w:pPr>
              <w:numPr>
                <w:numId w:val="6"/>
              </w:numPr>
              <w:bidi w:val="0"/>
              <w:ind w:left="326" w:hanging="281"/>
              <w:jc w:val="both"/>
              <w:rPr>
                <w:rFonts w:ascii="Times New Roman" w:hAnsi="Times New Roman"/>
              </w:rPr>
            </w:pPr>
            <w:r>
              <w:rPr>
                <w:rFonts w:ascii="Times New Roman" w:hAnsi="Times New Roman"/>
              </w:rPr>
              <w:t>pozitívne ovplyvnení výrobcovia, dovozcovia alebo distribútori elektronických registračných pokladníc z dôvodu, že Colný úrad Bratislava, ktorý bude vykonávať certifikáciu, bude túto činnosť vykonávať bezodplatne.</w:t>
            </w:r>
          </w:p>
          <w:p w:rsidR="004F4B99" w:rsidP="004F4B99">
            <w:pPr>
              <w:bidi w:val="0"/>
              <w:jc w:val="both"/>
              <w:rPr>
                <w:rFonts w:ascii="Times New Roman" w:hAnsi="Times New Roman"/>
              </w:rPr>
            </w:pPr>
          </w:p>
          <w:p w:rsidR="004F4B99" w:rsidRPr="0012245E" w:rsidP="004F4B99">
            <w:pPr>
              <w:bidi w:val="0"/>
              <w:ind w:left="355"/>
              <w:jc w:val="both"/>
              <w:rPr>
                <w:rFonts w:ascii="Times New Roman" w:hAnsi="Times New Roman"/>
              </w:rPr>
            </w:pPr>
            <w:r>
              <w:rPr>
                <w:rFonts w:ascii="Times New Roman" w:hAnsi="Times New Roman"/>
              </w:rPr>
              <w:t>Návrhom zákona o účtovníctve budú ovplyvnené p</w:t>
            </w:r>
            <w:r w:rsidRPr="00FC59A8">
              <w:rPr>
                <w:rFonts w:ascii="Times New Roman" w:hAnsi="Times New Roman"/>
              </w:rPr>
              <w:t>odnikateľské subjekty</w:t>
            </w:r>
            <w:r>
              <w:rPr>
                <w:rFonts w:ascii="Times New Roman" w:hAnsi="Times New Roman"/>
              </w:rPr>
              <w:t>, ktoré spĺňajú kritérium pre malý podnik (97% vrátane mikro</w:t>
            </w:r>
            <w:r w:rsidRPr="00FC59A8">
              <w:rPr>
                <w:rFonts w:ascii="Times New Roman" w:hAnsi="Times New Roman"/>
              </w:rPr>
              <w:t xml:space="preserve"> </w:t>
            </w:r>
            <w:r>
              <w:rPr>
                <w:rFonts w:ascii="Times New Roman" w:hAnsi="Times New Roman"/>
              </w:rPr>
              <w:t>účtovných jednotiek).</w:t>
            </w:r>
          </w:p>
        </w:tc>
      </w:tr>
      <w:tr>
        <w:tblPrEx>
          <w:tblW w:w="9195" w:type="dxa"/>
          <w:tblInd w:w="55" w:type="dxa"/>
          <w:tblCellMar>
            <w:left w:w="70" w:type="dxa"/>
            <w:right w:w="70" w:type="dxa"/>
          </w:tblCellMar>
        </w:tblPrEx>
        <w:trPr>
          <w:trHeight w:val="5811"/>
        </w:trPr>
        <w:tc>
          <w:tcPr>
            <w:tcW w:w="3134" w:type="dxa"/>
            <w:tcBorders>
              <w:top w:val="nil"/>
              <w:left w:val="single" w:sz="8" w:space="0" w:color="auto"/>
              <w:bottom w:val="single" w:sz="4" w:space="0" w:color="auto"/>
              <w:right w:val="single" w:sz="4" w:space="0" w:color="auto"/>
            </w:tcBorders>
            <w:noWrap/>
            <w:textDirection w:val="lrTb"/>
            <w:vAlign w:val="top"/>
          </w:tcPr>
          <w:p w:rsidR="004F4B99" w:rsidRPr="0012245E" w:rsidP="004F4B99">
            <w:pPr>
              <w:bidi w:val="0"/>
              <w:rPr>
                <w:rFonts w:ascii="Times New Roman" w:hAnsi="Times New Roman"/>
              </w:rPr>
            </w:pPr>
          </w:p>
          <w:p w:rsidR="004F4B99" w:rsidRPr="0012245E" w:rsidP="004F4B99">
            <w:pPr>
              <w:bidi w:val="0"/>
              <w:rPr>
                <w:rFonts w:ascii="Times New Roman" w:hAnsi="Times New Roman"/>
              </w:rPr>
            </w:pPr>
            <w:r w:rsidRPr="0012245E">
              <w:rPr>
                <w:rFonts w:ascii="Times New Roman" w:hAnsi="Times New Roman"/>
                <w:b/>
              </w:rPr>
              <w:t>3.2</w:t>
            </w:r>
            <w:r w:rsidRPr="0012245E">
              <w:rPr>
                <w:rFonts w:ascii="Times New Roman" w:hAnsi="Times New Roman"/>
              </w:rPr>
              <w:t>. Aký je predpokladaný charakter a rozsah nákladov a prínosov?</w:t>
            </w:r>
          </w:p>
          <w:p w:rsidR="004F4B99" w:rsidRPr="0012245E" w:rsidP="004F4B99">
            <w:pPr>
              <w:bidi w:val="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center"/>
          </w:tcPr>
          <w:p w:rsidR="004F4B99" w:rsidP="004F4B99">
            <w:pPr>
              <w:bidi w:val="0"/>
              <w:ind w:left="326"/>
              <w:jc w:val="both"/>
              <w:rPr>
                <w:rFonts w:ascii="Times New Roman" w:hAnsi="Times New Roman"/>
              </w:rPr>
            </w:pPr>
            <w:r>
              <w:rPr>
                <w:rFonts w:ascii="Times New Roman" w:hAnsi="Times New Roman"/>
              </w:rPr>
              <w:t>Návrh zákona o dani z príjmov predpokladá tieto dopady:</w:t>
            </w:r>
          </w:p>
          <w:p w:rsidR="004F4B99" w:rsidRPr="0012245E" w:rsidP="004F4B99">
            <w:pPr>
              <w:numPr>
                <w:numId w:val="6"/>
              </w:numPr>
              <w:bidi w:val="0"/>
              <w:ind w:left="326" w:hanging="281"/>
              <w:jc w:val="both"/>
              <w:rPr>
                <w:rFonts w:ascii="Times New Roman" w:hAnsi="Times New Roman"/>
              </w:rPr>
            </w:pPr>
            <w:r>
              <w:rPr>
                <w:rFonts w:ascii="Times New Roman" w:hAnsi="Times New Roman"/>
              </w:rPr>
              <w:t xml:space="preserve">Daňové zaťaženie </w:t>
            </w:r>
            <w:r w:rsidRPr="0012245E">
              <w:rPr>
                <w:rFonts w:ascii="Times New Roman" w:hAnsi="Times New Roman"/>
              </w:rPr>
              <w:t>sa zníži v dôsledku zavedenia</w:t>
            </w:r>
            <w:r>
              <w:rPr>
                <w:rFonts w:ascii="Times New Roman" w:hAnsi="Times New Roman"/>
              </w:rPr>
              <w:t xml:space="preserve"> nového typu daňového zvýhodnenia</w:t>
            </w:r>
            <w:r w:rsidRPr="000615D6">
              <w:rPr>
                <w:rFonts w:ascii="Times New Roman" w:hAnsi="Times New Roman"/>
              </w:rPr>
              <w:t>, ktoré spočíva v odpočte výdavkov (nákladov) na výskum a vývoj od základu dane, tzv. super odpočet.</w:t>
            </w:r>
          </w:p>
          <w:p w:rsidR="004F4B99" w:rsidP="004F4B99">
            <w:pPr>
              <w:numPr>
                <w:numId w:val="6"/>
              </w:numPr>
              <w:bidi w:val="0"/>
              <w:ind w:left="326" w:hanging="281"/>
              <w:jc w:val="both"/>
              <w:rPr>
                <w:rFonts w:ascii="Times New Roman" w:hAnsi="Times New Roman"/>
              </w:rPr>
            </w:pPr>
            <w:r>
              <w:rPr>
                <w:rFonts w:ascii="Times New Roman" w:hAnsi="Times New Roman"/>
              </w:rPr>
              <w:t xml:space="preserve">Daňové zaťaženie PO a SZČO </w:t>
            </w:r>
            <w:r w:rsidRPr="0012245E">
              <w:rPr>
                <w:rFonts w:ascii="Times New Roman" w:hAnsi="Times New Roman"/>
              </w:rPr>
              <w:t xml:space="preserve">sa zvýši </w:t>
            </w:r>
            <w:r>
              <w:rPr>
                <w:rFonts w:ascii="Times New Roman" w:hAnsi="Times New Roman"/>
              </w:rPr>
              <w:t>v dôsledku:</w:t>
            </w:r>
          </w:p>
          <w:p w:rsidR="004F4B99" w:rsidP="004F4B99">
            <w:pPr>
              <w:numPr>
                <w:numId w:val="34"/>
              </w:numPr>
              <w:bidi w:val="0"/>
              <w:jc w:val="both"/>
              <w:rPr>
                <w:rFonts w:ascii="Times New Roman" w:hAnsi="Times New Roman"/>
              </w:rPr>
            </w:pPr>
            <w:r>
              <w:rPr>
                <w:rFonts w:ascii="Times New Roman" w:hAnsi="Times New Roman"/>
              </w:rPr>
              <w:t>spresnenia definície</w:t>
            </w:r>
            <w:r w:rsidRPr="00672B46">
              <w:rPr>
                <w:rFonts w:ascii="Times New Roman" w:hAnsi="Times New Roman"/>
              </w:rPr>
              <w:t xml:space="preserve"> daňového výdavku o primeranosť výšky uplatňovaných výdavkov v prípade výdavkov súvisiacich s používaním majetku, ktorý má charakter osobnej potreby a s ním súvisiacich výdavkov, k dosiahnu</w:t>
            </w:r>
            <w:r>
              <w:rPr>
                <w:rFonts w:ascii="Times New Roman" w:hAnsi="Times New Roman"/>
              </w:rPr>
              <w:t xml:space="preserve">tým zdaniteľným príjmom, </w:t>
            </w:r>
          </w:p>
          <w:p w:rsidR="004F4B99" w:rsidP="004F4B99">
            <w:pPr>
              <w:numPr>
                <w:numId w:val="34"/>
              </w:numPr>
              <w:bidi w:val="0"/>
              <w:jc w:val="both"/>
              <w:rPr>
                <w:rFonts w:ascii="Times New Roman" w:hAnsi="Times New Roman"/>
              </w:rPr>
            </w:pPr>
            <w:r>
              <w:rPr>
                <w:rFonts w:ascii="Times New Roman" w:hAnsi="Times New Roman"/>
              </w:rPr>
              <w:t>použitia metódy zrýchleného odpisovania iba na 2 a 3 odpisovú skupinu,</w:t>
            </w:r>
          </w:p>
          <w:p w:rsidR="004F4B99" w:rsidP="004F4B99">
            <w:pPr>
              <w:numPr>
                <w:numId w:val="34"/>
              </w:numPr>
              <w:bidi w:val="0"/>
              <w:jc w:val="both"/>
              <w:rPr>
                <w:rFonts w:ascii="Times New Roman" w:hAnsi="Times New Roman"/>
              </w:rPr>
            </w:pPr>
            <w:r>
              <w:rPr>
                <w:rFonts w:ascii="Times New Roman" w:hAnsi="Times New Roman"/>
              </w:rPr>
              <w:t>zavedením pravidiel nízkej kapitalizácie,</w:t>
            </w:r>
          </w:p>
          <w:p w:rsidR="004F4B99" w:rsidP="004F4B99">
            <w:pPr>
              <w:numPr>
                <w:numId w:val="34"/>
              </w:numPr>
              <w:bidi w:val="0"/>
              <w:jc w:val="both"/>
              <w:rPr>
                <w:rFonts w:ascii="Times New Roman" w:hAnsi="Times New Roman"/>
              </w:rPr>
            </w:pPr>
            <w:r>
              <w:rPr>
                <w:rFonts w:ascii="Times New Roman" w:hAnsi="Times New Roman"/>
              </w:rPr>
              <w:t>obmedzenia uplatňovania</w:t>
            </w:r>
            <w:r w:rsidRPr="00AD6F6F">
              <w:rPr>
                <w:rFonts w:ascii="Times New Roman" w:hAnsi="Times New Roman"/>
              </w:rPr>
              <w:t xml:space="preserve"> odpisov z osobných automobilov </w:t>
            </w:r>
            <w:r>
              <w:rPr>
                <w:rFonts w:ascii="Times New Roman" w:hAnsi="Times New Roman"/>
              </w:rPr>
              <w:t>s</w:t>
            </w:r>
            <w:r w:rsidRPr="00AD6F6F">
              <w:rPr>
                <w:rFonts w:ascii="Times New Roman" w:hAnsi="Times New Roman"/>
              </w:rPr>
              <w:t>o vstupnou cenou 48 000 eur a</w:t>
            </w:r>
            <w:r>
              <w:rPr>
                <w:rFonts w:ascii="Times New Roman" w:hAnsi="Times New Roman"/>
              </w:rPr>
              <w:t> </w:t>
            </w:r>
            <w:r w:rsidRPr="00AD6F6F">
              <w:rPr>
                <w:rFonts w:ascii="Times New Roman" w:hAnsi="Times New Roman"/>
              </w:rPr>
              <w:t>viac</w:t>
            </w:r>
            <w:r>
              <w:rPr>
                <w:rFonts w:ascii="Times New Roman" w:hAnsi="Times New Roman"/>
              </w:rPr>
              <w:t xml:space="preserve">. </w:t>
            </w:r>
          </w:p>
          <w:p w:rsidR="004F4B99" w:rsidP="004F4B99">
            <w:pPr>
              <w:bidi w:val="0"/>
              <w:ind w:left="720"/>
              <w:jc w:val="both"/>
              <w:rPr>
                <w:rFonts w:ascii="Times New Roman" w:hAnsi="Times New Roman"/>
              </w:rPr>
            </w:pPr>
          </w:p>
          <w:p w:rsidR="004F4B99" w:rsidP="004F4B99">
            <w:pPr>
              <w:bidi w:val="0"/>
              <w:ind w:left="326"/>
              <w:jc w:val="both"/>
              <w:rPr>
                <w:rFonts w:ascii="Times New Roman" w:hAnsi="Times New Roman"/>
              </w:rPr>
            </w:pPr>
            <w:r>
              <w:rPr>
                <w:rFonts w:ascii="Times New Roman" w:hAnsi="Times New Roman"/>
              </w:rPr>
              <w:t>Návrh zákona o používaní elektronickej registračnej pokladnice predpokladá tieto dopady:</w:t>
            </w:r>
          </w:p>
          <w:p w:rsidR="004F4B99" w:rsidP="004F4B99">
            <w:pPr>
              <w:numPr>
                <w:numId w:val="6"/>
              </w:numPr>
              <w:bidi w:val="0"/>
              <w:ind w:left="326" w:hanging="281"/>
              <w:jc w:val="both"/>
              <w:rPr>
                <w:rFonts w:ascii="Times New Roman" w:hAnsi="Times New Roman"/>
              </w:rPr>
            </w:pPr>
            <w:r>
              <w:rPr>
                <w:rFonts w:ascii="Times New Roman" w:hAnsi="Times New Roman"/>
              </w:rPr>
              <w:t>Zavedením používania virtuálnej registračnej pokladnice bude mať pozitívny prínos pre:</w:t>
            </w:r>
          </w:p>
          <w:p w:rsidR="004F4B99" w:rsidP="004F4B99">
            <w:pPr>
              <w:numPr>
                <w:numId w:val="34"/>
              </w:numPr>
              <w:bidi w:val="0"/>
              <w:jc w:val="both"/>
              <w:rPr>
                <w:rFonts w:ascii="Times New Roman" w:hAnsi="Times New Roman"/>
              </w:rPr>
            </w:pPr>
            <w:r>
              <w:rPr>
                <w:rFonts w:ascii="Times New Roman" w:hAnsi="Times New Roman"/>
              </w:rPr>
              <w:t>výkon kontrol vykonávaných zamestnancami finančnej správy, t. j. s prihliadnutím na on-line prepojenie so systémami finančnej správy sa výkon kontrol uľahčí a zjednoduší, čím sa dosiahne vyšší počet odhalených podvodov,</w:t>
            </w:r>
          </w:p>
          <w:p w:rsidR="004F4B99" w:rsidP="004F4B99">
            <w:pPr>
              <w:numPr>
                <w:numId w:val="34"/>
              </w:numPr>
              <w:bidi w:val="0"/>
              <w:jc w:val="both"/>
              <w:rPr>
                <w:rFonts w:ascii="Times New Roman" w:hAnsi="Times New Roman"/>
              </w:rPr>
            </w:pPr>
            <w:r>
              <w:rPr>
                <w:rFonts w:ascii="Times New Roman" w:hAnsi="Times New Roman"/>
              </w:rPr>
              <w:t>podnikateľské prostredie, pretože umožňuje prehľadnejšiu evidenciu a zároveň</w:t>
            </w:r>
            <w:r w:rsidRPr="00796350">
              <w:rPr>
                <w:rFonts w:ascii="Times New Roman" w:hAnsi="Times New Roman"/>
              </w:rPr>
              <w:t xml:space="preserve"> </w:t>
            </w:r>
            <w:r>
              <w:rPr>
                <w:rFonts w:ascii="Times New Roman" w:hAnsi="Times New Roman"/>
              </w:rPr>
              <w:t>p</w:t>
            </w:r>
            <w:r w:rsidRPr="00EE12C5">
              <w:rPr>
                <w:rFonts w:ascii="Times New Roman" w:hAnsi="Times New Roman"/>
              </w:rPr>
              <w:t xml:space="preserve">oužívanie virtuálnej registračnej pokladnice </w:t>
            </w:r>
            <w:r w:rsidRPr="00796350">
              <w:rPr>
                <w:rFonts w:ascii="Times New Roman" w:hAnsi="Times New Roman"/>
              </w:rPr>
              <w:t>pri taxatívne vymenovaných službách</w:t>
            </w:r>
            <w:r>
              <w:rPr>
                <w:rFonts w:ascii="Times New Roman" w:hAnsi="Times New Roman"/>
              </w:rPr>
              <w:t xml:space="preserve"> je </w:t>
            </w:r>
            <w:r w:rsidRPr="00EE12C5">
              <w:rPr>
                <w:rFonts w:ascii="Times New Roman" w:hAnsi="Times New Roman"/>
              </w:rPr>
              <w:t>poskytovan</w:t>
            </w:r>
            <w:r>
              <w:rPr>
                <w:rFonts w:ascii="Times New Roman" w:hAnsi="Times New Roman"/>
              </w:rPr>
              <w:t>é</w:t>
            </w:r>
            <w:r w:rsidRPr="00EE12C5">
              <w:rPr>
                <w:rFonts w:ascii="Times New Roman" w:hAnsi="Times New Roman"/>
              </w:rPr>
              <w:t xml:space="preserve"> </w:t>
            </w:r>
            <w:r>
              <w:rPr>
                <w:rFonts w:ascii="Times New Roman" w:hAnsi="Times New Roman"/>
              </w:rPr>
              <w:t xml:space="preserve">zo strany štátu </w:t>
            </w:r>
            <w:r w:rsidRPr="00EE12C5">
              <w:rPr>
                <w:rFonts w:ascii="Times New Roman" w:hAnsi="Times New Roman"/>
              </w:rPr>
              <w:t>bezplatne</w:t>
            </w:r>
            <w:r>
              <w:rPr>
                <w:rFonts w:ascii="Times New Roman" w:hAnsi="Times New Roman"/>
              </w:rPr>
              <w:t xml:space="preserve">, a preto </w:t>
            </w:r>
            <w:r w:rsidRPr="00796350">
              <w:rPr>
                <w:rFonts w:ascii="Times New Roman" w:hAnsi="Times New Roman"/>
              </w:rPr>
              <w:t>jej obstaranie a používanie bude efektívnejšie.</w:t>
            </w:r>
          </w:p>
          <w:p w:rsidR="004F4B99" w:rsidP="004F4B99">
            <w:pPr>
              <w:numPr>
                <w:numId w:val="34"/>
              </w:numPr>
              <w:bidi w:val="0"/>
              <w:jc w:val="both"/>
              <w:rPr>
                <w:rFonts w:ascii="Times New Roman" w:hAnsi="Times New Roman"/>
              </w:rPr>
            </w:pPr>
            <w:r>
              <w:rPr>
                <w:rFonts w:ascii="Times New Roman" w:hAnsi="Times New Roman"/>
              </w:rPr>
              <w:t>zákazníkov, ktorí pri platbách dostanú od podnikateľov relevantné pokladničné doklady, ktoré budú môcť uplatniť aj v rámci národnej bločkovej lotérie.</w:t>
            </w:r>
          </w:p>
          <w:p w:rsidR="004F4B99" w:rsidP="004F4B99">
            <w:pPr>
              <w:numPr>
                <w:numId w:val="6"/>
              </w:numPr>
              <w:bidi w:val="0"/>
              <w:ind w:left="326" w:hanging="281"/>
              <w:jc w:val="both"/>
              <w:rPr>
                <w:rFonts w:ascii="Times New Roman" w:hAnsi="Times New Roman"/>
              </w:rPr>
            </w:pPr>
            <w:r>
              <w:rPr>
                <w:rFonts w:ascii="Times New Roman" w:hAnsi="Times New Roman"/>
              </w:rPr>
              <w:t>Pre podnikateľov vzniknú náklady:</w:t>
            </w:r>
          </w:p>
          <w:p w:rsidR="004F4B99" w:rsidP="004F4B99">
            <w:pPr>
              <w:numPr>
                <w:numId w:val="34"/>
              </w:numPr>
              <w:bidi w:val="0"/>
              <w:jc w:val="both"/>
              <w:rPr>
                <w:rFonts w:ascii="Times New Roman" w:hAnsi="Times New Roman"/>
              </w:rPr>
            </w:pPr>
            <w:r>
              <w:rPr>
                <w:rFonts w:ascii="Times New Roman" w:hAnsi="Times New Roman"/>
              </w:rPr>
              <w:t xml:space="preserve">na obstaranie koncového zariadenia, </w:t>
            </w:r>
          </w:p>
          <w:p w:rsidR="004F4B99" w:rsidP="004F4B99">
            <w:pPr>
              <w:numPr>
                <w:numId w:val="34"/>
              </w:numPr>
              <w:bidi w:val="0"/>
              <w:jc w:val="both"/>
              <w:rPr>
                <w:rFonts w:ascii="Times New Roman" w:hAnsi="Times New Roman"/>
              </w:rPr>
            </w:pPr>
            <w:r>
              <w:rPr>
                <w:rFonts w:ascii="Times New Roman" w:hAnsi="Times New Roman"/>
              </w:rPr>
              <w:t>z potreby pripojenia na internet,</w:t>
            </w:r>
          </w:p>
          <w:p w:rsidR="004F4B99" w:rsidP="004F4B99">
            <w:pPr>
              <w:numPr>
                <w:numId w:val="34"/>
              </w:numPr>
              <w:bidi w:val="0"/>
              <w:jc w:val="both"/>
              <w:rPr>
                <w:rFonts w:ascii="Times New Roman" w:hAnsi="Times New Roman"/>
              </w:rPr>
            </w:pPr>
            <w:r>
              <w:rPr>
                <w:rFonts w:ascii="Times New Roman" w:hAnsi="Times New Roman"/>
              </w:rPr>
              <w:t>na zakúpenie elektronickej registračnej pokladnice.</w:t>
            </w:r>
          </w:p>
          <w:p w:rsidR="004F4B99" w:rsidP="004F4B99">
            <w:pPr>
              <w:numPr>
                <w:numId w:val="6"/>
              </w:numPr>
              <w:bidi w:val="0"/>
              <w:ind w:left="326" w:hanging="281"/>
              <w:jc w:val="both"/>
              <w:rPr>
                <w:rFonts w:ascii="Times New Roman" w:hAnsi="Times New Roman"/>
              </w:rPr>
            </w:pPr>
            <w:r>
              <w:rPr>
                <w:rFonts w:ascii="Times New Roman" w:hAnsi="Times New Roman"/>
              </w:rPr>
              <w:t>Celkový počet podnikateľov na ktorých sa bude vzťahovať povinnosť používať registračnú pokladnicu  nie je možné určiť, pretože niektorí podnikatelia sú už koncovými zariadeniami,  pripojením na internet resp. aj elektronickými registračnými pokladnicami vybavení.</w:t>
            </w:r>
          </w:p>
          <w:p w:rsidR="004F4B99" w:rsidP="004F4B99">
            <w:pPr>
              <w:numPr>
                <w:numId w:val="6"/>
              </w:numPr>
              <w:bidi w:val="0"/>
              <w:ind w:left="326" w:hanging="281"/>
              <w:jc w:val="both"/>
              <w:rPr>
                <w:rFonts w:ascii="Times New Roman" w:hAnsi="Times New Roman"/>
              </w:rPr>
            </w:pPr>
            <w:r>
              <w:rPr>
                <w:rFonts w:ascii="Times New Roman" w:hAnsi="Times New Roman"/>
              </w:rPr>
              <w:t>Z dôvodu, že na trhu sú k dispozícii rôzne typy registračných pokladníc, počítačov, tlačiarní v rôznych cenových reláciách a nedá sa odhadnúť aký typ v akej cene si podnikateľ vyberie, nie je možné určiť ani celkový rozsah finančných nákladov na tieto elektronické zariadenia.</w:t>
            </w:r>
          </w:p>
          <w:p w:rsidR="004F4B99" w:rsidP="004F4B99">
            <w:pPr>
              <w:bidi w:val="0"/>
              <w:ind w:left="326"/>
              <w:jc w:val="both"/>
              <w:rPr>
                <w:rFonts w:ascii="Times New Roman" w:hAnsi="Times New Roman"/>
              </w:rPr>
            </w:pPr>
          </w:p>
          <w:p w:rsidR="004F4B99" w:rsidRPr="0012245E" w:rsidP="004F4B99">
            <w:pPr>
              <w:bidi w:val="0"/>
              <w:ind w:left="326"/>
              <w:jc w:val="both"/>
              <w:rPr>
                <w:rFonts w:ascii="Times New Roman" w:hAnsi="Times New Roman"/>
              </w:rPr>
            </w:pPr>
            <w:r>
              <w:rPr>
                <w:rFonts w:ascii="Times New Roman" w:hAnsi="Times New Roman"/>
              </w:rPr>
              <w:t xml:space="preserve">Návrh zákona o účtovníctve bude mať pozitívny vplyv z dôvodu </w:t>
            </w:r>
            <w:r w:rsidRPr="00FC59A8">
              <w:rPr>
                <w:rFonts w:ascii="Times New Roman" w:hAnsi="Times New Roman"/>
                <w:lang w:val="pt-BR"/>
              </w:rPr>
              <w:t>zníženi</w:t>
            </w:r>
            <w:r>
              <w:rPr>
                <w:rFonts w:ascii="Times New Roman" w:hAnsi="Times New Roman"/>
                <w:lang w:val="pt-BR"/>
              </w:rPr>
              <w:t>a</w:t>
            </w:r>
            <w:r w:rsidRPr="00FC59A8">
              <w:rPr>
                <w:rFonts w:ascii="Times New Roman" w:hAnsi="Times New Roman"/>
                <w:lang w:val="pt-BR"/>
              </w:rPr>
              <w:t xml:space="preserve"> administratívnych nákladov </w:t>
            </w:r>
            <w:r>
              <w:rPr>
                <w:rFonts w:ascii="Times New Roman" w:hAnsi="Times New Roman"/>
                <w:lang w:val="pt-BR"/>
              </w:rPr>
              <w:t>súvisiacich s rozsahom vykazovaných údajov v poznámkach pre malé podniky.</w:t>
            </w:r>
          </w:p>
        </w:tc>
      </w:tr>
      <w:tr>
        <w:tblPrEx>
          <w:tblW w:w="9195" w:type="dxa"/>
          <w:tblInd w:w="55" w:type="dxa"/>
          <w:tblCellMar>
            <w:left w:w="70" w:type="dxa"/>
            <w:right w:w="70" w:type="dxa"/>
          </w:tblCellMar>
        </w:tblPrEx>
        <w:trPr>
          <w:trHeight w:val="3087"/>
        </w:trPr>
        <w:tc>
          <w:tcPr>
            <w:tcW w:w="3134" w:type="dxa"/>
            <w:tcBorders>
              <w:top w:val="nil"/>
              <w:left w:val="single" w:sz="8" w:space="0" w:color="auto"/>
              <w:bottom w:val="single" w:sz="4" w:space="0" w:color="auto"/>
              <w:right w:val="single" w:sz="4" w:space="0" w:color="auto"/>
            </w:tcBorders>
            <w:noWrap/>
            <w:textDirection w:val="lrTb"/>
            <w:vAlign w:val="top"/>
          </w:tcPr>
          <w:p w:rsidR="004F4B99" w:rsidRPr="0012245E" w:rsidP="004F4B99">
            <w:pPr>
              <w:bidi w:val="0"/>
              <w:rPr>
                <w:rFonts w:ascii="Times New Roman" w:hAnsi="Times New Roman"/>
              </w:rPr>
            </w:pPr>
          </w:p>
          <w:p w:rsidR="004F4B99" w:rsidRPr="0012245E" w:rsidP="004F4B99">
            <w:pPr>
              <w:bidi w:val="0"/>
              <w:rPr>
                <w:rFonts w:ascii="Times New Roman" w:hAnsi="Times New Roman"/>
              </w:rPr>
            </w:pPr>
            <w:r w:rsidRPr="0012245E">
              <w:rPr>
                <w:rFonts w:ascii="Times New Roman" w:hAnsi="Times New Roman"/>
                <w:b/>
              </w:rPr>
              <w:t>3.3</w:t>
            </w:r>
            <w:r w:rsidRPr="0012245E">
              <w:rPr>
                <w:rFonts w:ascii="Times New Roman" w:hAnsi="Times New Roman"/>
              </w:rPr>
              <w:t>. Aká je predpokladaná výška administratívnych nákladov, ktoré podniky vynaložia v súvislosti s implementáciou návrhu?</w:t>
            </w:r>
          </w:p>
          <w:p w:rsidR="004F4B99" w:rsidRPr="0012245E" w:rsidP="004F4B99">
            <w:pPr>
              <w:bidi w:val="0"/>
              <w:ind w:left="360" w:hanging="360"/>
              <w:rPr>
                <w:rFonts w:ascii="Times New Roman" w:hAnsi="Times New Roman"/>
              </w:rPr>
            </w:pPr>
          </w:p>
        </w:tc>
        <w:tc>
          <w:tcPr>
            <w:tcW w:w="6061" w:type="dxa"/>
            <w:tcBorders>
              <w:top w:val="nil"/>
              <w:left w:val="nil"/>
              <w:bottom w:val="single" w:sz="4" w:space="0" w:color="auto"/>
              <w:right w:val="single" w:sz="8" w:space="0" w:color="auto"/>
            </w:tcBorders>
            <w:noWrap/>
            <w:textDirection w:val="lrTb"/>
            <w:vAlign w:val="top"/>
          </w:tcPr>
          <w:p w:rsidR="004F4B99" w:rsidP="004F4B99">
            <w:pPr>
              <w:bidi w:val="0"/>
              <w:jc w:val="both"/>
              <w:rPr>
                <w:rFonts w:ascii="Times New Roman" w:hAnsi="Times New Roman"/>
              </w:rPr>
            </w:pPr>
            <w:r w:rsidRPr="0012245E">
              <w:rPr>
                <w:rFonts w:ascii="Times New Roman" w:hAnsi="Times New Roman"/>
              </w:rPr>
              <w:t xml:space="preserve">Očakáva sa </w:t>
            </w:r>
            <w:r>
              <w:rPr>
                <w:rFonts w:ascii="Times New Roman" w:hAnsi="Times New Roman"/>
              </w:rPr>
              <w:t>zvýšenie</w:t>
            </w:r>
            <w:r w:rsidRPr="0012245E">
              <w:rPr>
                <w:rFonts w:ascii="Times New Roman" w:hAnsi="Times New Roman"/>
              </w:rPr>
              <w:t xml:space="preserve"> administratívnej </w:t>
            </w:r>
            <w:r>
              <w:rPr>
                <w:rFonts w:ascii="Times New Roman" w:hAnsi="Times New Roman"/>
              </w:rPr>
              <w:t xml:space="preserve">náročnosti daňovníka v dôsledku </w:t>
            </w:r>
            <w:r w:rsidRPr="00573705">
              <w:rPr>
                <w:rFonts w:ascii="Times New Roman" w:hAnsi="Times New Roman"/>
              </w:rPr>
              <w:t>spresnenia definície daňového výdavku o primeranosť výšky uplatňovaných výdavkov</w:t>
            </w:r>
            <w:r>
              <w:rPr>
                <w:rFonts w:ascii="Times New Roman" w:hAnsi="Times New Roman"/>
              </w:rPr>
              <w:t>, ako napr. pri:</w:t>
            </w:r>
          </w:p>
          <w:p w:rsidR="004F4B99" w:rsidP="004F4B99">
            <w:pPr>
              <w:numPr>
                <w:numId w:val="34"/>
              </w:numPr>
              <w:bidi w:val="0"/>
              <w:jc w:val="both"/>
              <w:rPr>
                <w:rFonts w:ascii="Times New Roman" w:hAnsi="Times New Roman"/>
              </w:rPr>
            </w:pPr>
            <w:r w:rsidRPr="00573705">
              <w:rPr>
                <w:rFonts w:ascii="Times New Roman" w:hAnsi="Times New Roman"/>
              </w:rPr>
              <w:t>zavedení</w:t>
            </w:r>
            <w:r>
              <w:rPr>
                <w:rFonts w:ascii="Times New Roman" w:hAnsi="Times New Roman"/>
              </w:rPr>
              <w:t xml:space="preserve"> pravidiel nízkej kapitalizácie, </w:t>
            </w:r>
          </w:p>
          <w:p w:rsidR="004F4B99" w:rsidP="004F4B99">
            <w:pPr>
              <w:numPr>
                <w:numId w:val="34"/>
              </w:numPr>
              <w:bidi w:val="0"/>
              <w:jc w:val="both"/>
              <w:rPr>
                <w:rFonts w:ascii="Times New Roman" w:hAnsi="Times New Roman"/>
              </w:rPr>
            </w:pPr>
            <w:r>
              <w:rPr>
                <w:rFonts w:ascii="Times New Roman" w:hAnsi="Times New Roman"/>
              </w:rPr>
              <w:t>použití princípov transferového oceňovania aj na tuzemských závislých osôb</w:t>
            </w:r>
          </w:p>
          <w:p w:rsidR="004F4B99" w:rsidP="004F4B99">
            <w:pPr>
              <w:numPr>
                <w:numId w:val="34"/>
              </w:numPr>
              <w:bidi w:val="0"/>
              <w:jc w:val="both"/>
              <w:rPr>
                <w:rFonts w:ascii="Times New Roman" w:hAnsi="Times New Roman"/>
              </w:rPr>
            </w:pPr>
            <w:r>
              <w:rPr>
                <w:rFonts w:ascii="Times New Roman" w:hAnsi="Times New Roman"/>
              </w:rPr>
              <w:t>uplatňovaní odpisov z osobných automobilov zo vstupnou cenou 48 000 eur a viac</w:t>
            </w:r>
          </w:p>
          <w:p w:rsidR="004F4B99" w:rsidRPr="0012245E" w:rsidP="004F4B99">
            <w:pPr>
              <w:numPr>
                <w:numId w:val="34"/>
              </w:numPr>
              <w:bidi w:val="0"/>
              <w:jc w:val="both"/>
              <w:rPr>
                <w:rFonts w:ascii="Times New Roman" w:hAnsi="Times New Roman"/>
              </w:rPr>
            </w:pPr>
            <w:r>
              <w:rPr>
                <w:rFonts w:ascii="Times New Roman" w:hAnsi="Times New Roman"/>
              </w:rPr>
              <w:t>zdaňovaní peňažných a nepeňažných plnení poskytovaných lekárom a poskytovateľom zdravotnej starostlivosti.</w:t>
            </w:r>
          </w:p>
        </w:tc>
      </w:tr>
      <w:tr>
        <w:tblPrEx>
          <w:tblW w:w="9195" w:type="dxa"/>
          <w:tblInd w:w="55" w:type="dxa"/>
          <w:tblCellMar>
            <w:left w:w="70" w:type="dxa"/>
            <w:right w:w="70" w:type="dxa"/>
          </w:tblCellMar>
        </w:tblPrEx>
        <w:trPr>
          <w:trHeight w:val="1969"/>
        </w:trPr>
        <w:tc>
          <w:tcPr>
            <w:tcW w:w="3134" w:type="dxa"/>
            <w:tcBorders>
              <w:top w:val="nil"/>
              <w:left w:val="single" w:sz="8" w:space="0" w:color="auto"/>
              <w:bottom w:val="single" w:sz="4" w:space="0" w:color="auto"/>
              <w:right w:val="single" w:sz="4" w:space="0" w:color="auto"/>
            </w:tcBorders>
            <w:textDirection w:val="lrTb"/>
            <w:vAlign w:val="top"/>
          </w:tcPr>
          <w:p w:rsidR="004F4B99" w:rsidRPr="0012245E" w:rsidP="004F4B99">
            <w:pPr>
              <w:bidi w:val="0"/>
              <w:rPr>
                <w:rFonts w:ascii="Times New Roman" w:hAnsi="Times New Roman"/>
              </w:rPr>
            </w:pPr>
          </w:p>
          <w:p w:rsidR="004F4B99" w:rsidRPr="0012245E" w:rsidP="004F4B99">
            <w:pPr>
              <w:bidi w:val="0"/>
              <w:rPr>
                <w:rFonts w:ascii="Times New Roman" w:hAnsi="Times New Roman"/>
              </w:rPr>
            </w:pPr>
            <w:r w:rsidRPr="0012245E">
              <w:rPr>
                <w:rFonts w:ascii="Times New Roman" w:hAnsi="Times New Roman"/>
                <w:b/>
              </w:rPr>
              <w:t>3.4</w:t>
            </w:r>
            <w:r w:rsidRPr="0012245E">
              <w:rPr>
                <w:rFonts w:ascii="Times New Roman" w:hAnsi="Times New Roman"/>
              </w:rPr>
              <w:t>. Aké sú dôsledky pripravovaného návrhu pre fungovanie podnikateľských subjektov na slovenskom trhu (ako sa zmenia operácie na trhu?)</w:t>
            </w:r>
          </w:p>
        </w:tc>
        <w:tc>
          <w:tcPr>
            <w:tcW w:w="6061" w:type="dxa"/>
            <w:tcBorders>
              <w:top w:val="nil"/>
              <w:left w:val="nil"/>
              <w:bottom w:val="single" w:sz="4" w:space="0" w:color="auto"/>
              <w:right w:val="single" w:sz="8" w:space="0" w:color="auto"/>
            </w:tcBorders>
            <w:noWrap/>
            <w:textDirection w:val="lrTb"/>
            <w:vAlign w:val="top"/>
          </w:tcPr>
          <w:p w:rsidR="004F4B99" w:rsidP="004F4B99">
            <w:pPr>
              <w:bidi w:val="0"/>
              <w:jc w:val="both"/>
              <w:rPr>
                <w:rFonts w:ascii="Times New Roman" w:hAnsi="Times New Roman"/>
              </w:rPr>
            </w:pPr>
            <w:r w:rsidRPr="0012245E">
              <w:rPr>
                <w:rFonts w:ascii="Times New Roman" w:hAnsi="Times New Roman"/>
              </w:rPr>
              <w:t>Okrem vplyvov uvedených v bodoch 3.2 a 3.3 sa neočakávajú ďalšie vplyvy na fungovanie podnikateľských subjektov.</w:t>
            </w:r>
          </w:p>
          <w:p w:rsidR="004F4B99" w:rsidP="004F4B99">
            <w:pPr>
              <w:bidi w:val="0"/>
              <w:jc w:val="both"/>
              <w:rPr>
                <w:rFonts w:ascii="Times New Roman" w:hAnsi="Times New Roman"/>
              </w:rPr>
            </w:pPr>
          </w:p>
          <w:p w:rsidR="004F4B99" w:rsidRPr="0012245E" w:rsidP="004F4B99">
            <w:pPr>
              <w:bidi w:val="0"/>
              <w:jc w:val="both"/>
              <w:rPr>
                <w:rFonts w:ascii="Times New Roman" w:hAnsi="Times New Roman"/>
              </w:rPr>
            </w:pPr>
            <w:r>
              <w:rPr>
                <w:rFonts w:ascii="Times New Roman" w:hAnsi="Times New Roman"/>
              </w:rPr>
              <w:t xml:space="preserve">Vo vzťahu k zavedeniu </w:t>
            </w:r>
            <w:r w:rsidRPr="004753DC">
              <w:rPr>
                <w:rFonts w:ascii="Times New Roman" w:hAnsi="Times New Roman"/>
              </w:rPr>
              <w:t>používania virtuálnej registračnej pokladnice</w:t>
            </w:r>
            <w:r>
              <w:rPr>
                <w:rFonts w:ascii="Times New Roman" w:hAnsi="Times New Roman"/>
              </w:rPr>
              <w:t xml:space="preserve"> nie je možné v</w:t>
            </w:r>
            <w:r w:rsidRPr="000E47F3">
              <w:rPr>
                <w:rFonts w:ascii="Times New Roman" w:hAnsi="Times New Roman"/>
              </w:rPr>
              <w:t>ýšku administratívnych nákladov</w:t>
            </w:r>
            <w:r>
              <w:rPr>
                <w:rFonts w:ascii="Times New Roman" w:hAnsi="Times New Roman"/>
              </w:rPr>
              <w:t xml:space="preserve"> </w:t>
            </w:r>
            <w:r w:rsidRPr="000E47F3">
              <w:rPr>
                <w:rFonts w:ascii="Times New Roman" w:hAnsi="Times New Roman"/>
              </w:rPr>
              <w:t>odhadnúť.</w:t>
            </w:r>
          </w:p>
        </w:tc>
      </w:tr>
      <w:tr>
        <w:tblPrEx>
          <w:tblW w:w="9195" w:type="dxa"/>
          <w:tblInd w:w="55" w:type="dxa"/>
          <w:tblCellMar>
            <w:left w:w="70" w:type="dxa"/>
            <w:right w:w="70" w:type="dxa"/>
          </w:tblCellMar>
        </w:tblPrEx>
        <w:trPr>
          <w:trHeight w:val="2266"/>
        </w:trPr>
        <w:tc>
          <w:tcPr>
            <w:tcW w:w="3134" w:type="dxa"/>
            <w:tcBorders>
              <w:top w:val="single" w:sz="4" w:space="0" w:color="auto"/>
              <w:left w:val="single" w:sz="8" w:space="0" w:color="auto"/>
              <w:bottom w:val="single" w:sz="4" w:space="0" w:color="auto"/>
              <w:right w:val="single" w:sz="4" w:space="0" w:color="auto"/>
            </w:tcBorders>
            <w:noWrap/>
            <w:textDirection w:val="lrTb"/>
            <w:vAlign w:val="top"/>
          </w:tcPr>
          <w:p w:rsidR="004F4B99" w:rsidRPr="0012245E" w:rsidP="004F4B99">
            <w:pPr>
              <w:bidi w:val="0"/>
              <w:rPr>
                <w:rFonts w:ascii="Times New Roman" w:hAnsi="Times New Roman"/>
              </w:rPr>
            </w:pPr>
          </w:p>
          <w:p w:rsidR="004F4B99" w:rsidRPr="0012245E" w:rsidP="004F4B99">
            <w:pPr>
              <w:bidi w:val="0"/>
              <w:rPr>
                <w:rFonts w:ascii="Times New Roman" w:hAnsi="Times New Roman"/>
              </w:rPr>
            </w:pPr>
            <w:r w:rsidRPr="0012245E">
              <w:rPr>
                <w:rFonts w:ascii="Times New Roman" w:hAnsi="Times New Roman"/>
                <w:b/>
              </w:rPr>
              <w:t>3.5</w:t>
            </w:r>
            <w:r w:rsidRPr="0012245E">
              <w:rPr>
                <w:rFonts w:ascii="Times New Roman" w:hAnsi="Times New Roman"/>
              </w:rPr>
              <w:t>. Aké sú predpokladané spoločensko – ekonomické dôsledky pripravovaných regulácií?</w:t>
            </w:r>
          </w:p>
        </w:tc>
        <w:tc>
          <w:tcPr>
            <w:tcW w:w="6061" w:type="dxa"/>
            <w:tcBorders>
              <w:top w:val="single" w:sz="4" w:space="0" w:color="auto"/>
              <w:left w:val="nil"/>
              <w:bottom w:val="single" w:sz="4" w:space="0" w:color="auto"/>
              <w:right w:val="single" w:sz="8" w:space="0" w:color="auto"/>
            </w:tcBorders>
            <w:noWrap/>
            <w:textDirection w:val="lrTb"/>
            <w:vAlign w:val="top"/>
          </w:tcPr>
          <w:p w:rsidR="004F4B99" w:rsidRPr="0012245E" w:rsidP="004F4B99">
            <w:pPr>
              <w:bidi w:val="0"/>
              <w:jc w:val="both"/>
              <w:rPr>
                <w:rFonts w:ascii="Times New Roman" w:hAnsi="Times New Roman"/>
              </w:rPr>
            </w:pPr>
            <w:r>
              <w:rPr>
                <w:rFonts w:ascii="Times New Roman" w:hAnsi="Times New Roman"/>
              </w:rPr>
              <w:t xml:space="preserve">Snahou </w:t>
            </w:r>
            <w:r w:rsidRPr="00AD6F6F">
              <w:rPr>
                <w:rFonts w:ascii="Times New Roman" w:hAnsi="Times New Roman"/>
              </w:rPr>
              <w:t>je koncepčný a systematický boj proti daňovým podvodom, konsolidácia verejných financií a definovanie tých daňových a nedaňových výdavkov, ktoré sú zdrojom nielen legálnej daňovej optimalizácie, ale aj priestorom na jej zneužívanie prostredníctvom zahrnovania výdavkov do základu dane v neprimeranej výške, resp. prostredníctvom zahrnovania časti osobnej spotreby daňovníkov do základu dane.</w:t>
            </w:r>
          </w:p>
        </w:tc>
      </w:tr>
    </w:tbl>
    <w:p w:rsidR="004F4B99" w:rsidP="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rsidRPr="0012245E" w:rsidP="004F4B99">
      <w:pPr>
        <w:bidi w:val="0"/>
        <w:rPr>
          <w:rFonts w:ascii="Times New Roman" w:hAnsi="Times New Roman"/>
          <w:b/>
        </w:rPr>
      </w:pPr>
      <w:r w:rsidRPr="0012245E">
        <w:rPr>
          <w:rFonts w:ascii="Times New Roman" w:hAnsi="Times New Roman"/>
          <w:b/>
        </w:rPr>
        <w:t>Sociálne vplyvy -  vplyvy na hospodárenie obyvateľstva, sociálnu exklúziu, rovnosť príležitostí a rodovú rovnosť  a na zamestnanosť</w:t>
      </w:r>
    </w:p>
    <w:p w:rsidR="004F4B99" w:rsidRPr="0012245E" w:rsidP="004F4B99">
      <w:pPr>
        <w:bidi w:val="0"/>
        <w:rPr>
          <w:rFonts w:ascii="Times New Roman" w:hAnsi="Times New Roman"/>
          <w:b/>
          <w:bCs/>
        </w:rPr>
      </w:pPr>
    </w:p>
    <w:tbl>
      <w:tblPr>
        <w:tblStyle w:val="TableNormal"/>
        <w:tblW w:w="9015" w:type="dxa"/>
        <w:jc w:val="center"/>
        <w:tblCellMar>
          <w:left w:w="70" w:type="dxa"/>
          <w:right w:w="70" w:type="dxa"/>
        </w:tblCellMar>
      </w:tblPr>
      <w:tblGrid>
        <w:gridCol w:w="4225"/>
        <w:gridCol w:w="479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4F4B99" w:rsidRPr="0012245E" w:rsidP="004F4B99">
            <w:pPr>
              <w:bidi w:val="0"/>
              <w:jc w:val="center"/>
              <w:rPr>
                <w:rFonts w:ascii="Times New Roman" w:hAnsi="Times New Roman"/>
                <w:b/>
                <w:bCs/>
                <w:color w:val="FFFFFF"/>
              </w:rPr>
            </w:pPr>
            <w:r w:rsidRPr="0012245E">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3323"/>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rPr>
                <w:rFonts w:ascii="Times New Roman" w:hAnsi="Times New Roman"/>
              </w:rPr>
            </w:pPr>
            <w:r w:rsidRPr="0012245E">
              <w:rPr>
                <w:rFonts w:ascii="Times New Roman" w:hAnsi="Times New Roman"/>
                <w:b/>
              </w:rPr>
              <w:t>4.1.</w:t>
            </w:r>
            <w:r w:rsidRPr="0012245E">
              <w:rPr>
                <w:rFonts w:ascii="Times New Roman" w:hAnsi="Times New Roman"/>
              </w:rPr>
              <w:t xml:space="preserve"> Identifikujte vplyv na hospodárenie   domácností a špecifikujte ovplyvnené skupiny domácností, ktoré budú pozitívne/negatívne ovplyvnené.  </w:t>
            </w:r>
          </w:p>
        </w:tc>
        <w:tc>
          <w:tcPr>
            <w:tcW w:w="4790" w:type="dxa"/>
            <w:tcBorders>
              <w:top w:val="single" w:sz="4" w:space="0" w:color="auto"/>
              <w:left w:val="nil"/>
              <w:bottom w:val="single" w:sz="4" w:space="0" w:color="auto"/>
              <w:right w:val="single" w:sz="4" w:space="0" w:color="auto"/>
            </w:tcBorders>
            <w:textDirection w:val="lrTb"/>
            <w:vAlign w:val="top"/>
          </w:tcPr>
          <w:p w:rsidR="004F4B99" w:rsidP="004F4B99">
            <w:pPr>
              <w:bidi w:val="0"/>
              <w:jc w:val="both"/>
              <w:rPr>
                <w:rFonts w:ascii="Times New Roman" w:hAnsi="Times New Roman"/>
              </w:rPr>
            </w:pPr>
            <w:r w:rsidRPr="0012245E">
              <w:rPr>
                <w:rFonts w:ascii="Times New Roman" w:hAnsi="Times New Roman"/>
              </w:rPr>
              <w:t>Návrh zákona bude mať</w:t>
            </w:r>
            <w:r>
              <w:rPr>
                <w:rFonts w:ascii="Times New Roman" w:hAnsi="Times New Roman"/>
              </w:rPr>
              <w:t>:</w:t>
            </w:r>
          </w:p>
          <w:p w:rsidR="004F4B99" w:rsidP="004F4B99">
            <w:pPr>
              <w:bidi w:val="0"/>
              <w:jc w:val="both"/>
              <w:rPr>
                <w:rFonts w:ascii="Times New Roman" w:hAnsi="Times New Roman"/>
              </w:rPr>
            </w:pPr>
          </w:p>
          <w:p w:rsidR="004F4B99" w:rsidP="004F4B99">
            <w:pPr>
              <w:bidi w:val="0"/>
              <w:jc w:val="both"/>
              <w:rPr>
                <w:rFonts w:ascii="Times New Roman" w:hAnsi="Times New Roman"/>
              </w:rPr>
            </w:pPr>
            <w:r>
              <w:rPr>
                <w:rFonts w:ascii="Times New Roman" w:hAnsi="Times New Roman"/>
              </w:rPr>
              <w:t>-</w:t>
            </w:r>
            <w:r w:rsidRPr="0012245E">
              <w:rPr>
                <w:rFonts w:ascii="Times New Roman" w:hAnsi="Times New Roman"/>
              </w:rPr>
              <w:t xml:space="preserve"> pozitívny vplyv na nižšie uvedené skupiny domácností, resp. jednotlivcov</w:t>
            </w:r>
            <w:r>
              <w:rPr>
                <w:rFonts w:ascii="Times New Roman" w:hAnsi="Times New Roman"/>
              </w:rPr>
              <w:t xml:space="preserve">, fyzických osôb v prípade dosiahnutia príjmu z prevodu vlastníctva nehnuteľnosti je možné uplatniť </w:t>
            </w:r>
            <w:r w:rsidRPr="00626680">
              <w:rPr>
                <w:rFonts w:ascii="Times New Roman" w:hAnsi="Times New Roman"/>
              </w:rPr>
              <w:t>do daňových výdavkov</w:t>
            </w:r>
            <w:r>
              <w:rPr>
                <w:rFonts w:ascii="Times New Roman" w:hAnsi="Times New Roman"/>
              </w:rPr>
              <w:t>:</w:t>
            </w:r>
          </w:p>
          <w:p w:rsidR="004F4B99" w:rsidP="004F4B99">
            <w:pPr>
              <w:bidi w:val="0"/>
              <w:jc w:val="both"/>
              <w:rPr>
                <w:rFonts w:ascii="Times New Roman" w:hAnsi="Times New Roman"/>
              </w:rPr>
            </w:pPr>
            <w:r>
              <w:rPr>
                <w:rFonts w:ascii="Times New Roman" w:hAnsi="Times New Roman"/>
              </w:rPr>
              <w:t>- úhradu za prevod členských práv a povinností spojených v členstvom v bytovom družstve</w:t>
            </w:r>
          </w:p>
          <w:p w:rsidR="004F4B99" w:rsidP="004F4B99">
            <w:pPr>
              <w:bidi w:val="0"/>
              <w:jc w:val="both"/>
              <w:rPr>
                <w:rFonts w:ascii="Times New Roman" w:hAnsi="Times New Roman"/>
              </w:rPr>
            </w:pPr>
            <w:r>
              <w:rPr>
                <w:rFonts w:ascii="Times New Roman" w:hAnsi="Times New Roman"/>
              </w:rPr>
              <w:t>- úroky z hypotekárneho alebo stavebného úveru súvisiace s obstaraním tejto nehnuteľnosti,</w:t>
            </w:r>
          </w:p>
          <w:p w:rsidR="004F4B99" w:rsidP="004F4B99">
            <w:pPr>
              <w:bidi w:val="0"/>
              <w:jc w:val="both"/>
              <w:rPr>
                <w:rFonts w:ascii="Times New Roman" w:hAnsi="Times New Roman"/>
              </w:rPr>
            </w:pPr>
          </w:p>
          <w:p w:rsidR="004F4B99" w:rsidRPr="0012245E" w:rsidP="004F4B99">
            <w:pPr>
              <w:bidi w:val="0"/>
              <w:jc w:val="both"/>
              <w:rPr>
                <w:rFonts w:ascii="Times New Roman" w:hAnsi="Times New Roman"/>
              </w:rPr>
            </w:pPr>
            <w:r>
              <w:rPr>
                <w:rFonts w:ascii="Times New Roman" w:hAnsi="Times New Roman"/>
              </w:rPr>
              <w:t>-negatívny vplyv na obyvateľstvo v súvislosti so zdanením náhrady nemajetkovej újmy vyplácanej podľa Občianskeho zákonníka</w:t>
            </w:r>
          </w:p>
        </w:tc>
      </w:tr>
      <w:tr>
        <w:tblPrEx>
          <w:tblW w:w="9015" w:type="dxa"/>
          <w:jc w:val="center"/>
          <w:tblCellMar>
            <w:left w:w="70" w:type="dxa"/>
            <w:right w:w="70" w:type="dxa"/>
          </w:tblCellMar>
        </w:tblPrEx>
        <w:trPr>
          <w:trHeight w:val="2379"/>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rPr>
                <w:rFonts w:ascii="Times New Roman" w:hAnsi="Times New Roman"/>
                <w:i/>
              </w:rPr>
            </w:pPr>
            <w:r w:rsidRPr="0012245E">
              <w:rPr>
                <w:rFonts w:ascii="Times New Roman" w:hAnsi="Times New Roman"/>
                <w:i/>
              </w:rPr>
              <w:t xml:space="preserve">Kvantifikujte: </w:t>
            </w:r>
          </w:p>
          <w:p w:rsidR="004F4B99" w:rsidRPr="0012245E" w:rsidP="004F4B99">
            <w:pPr>
              <w:numPr>
                <w:numId w:val="7"/>
              </w:numPr>
              <w:tabs>
                <w:tab w:val="left" w:pos="328"/>
              </w:tabs>
              <w:bidi w:val="0"/>
              <w:ind w:left="328"/>
              <w:rPr>
                <w:rFonts w:ascii="Times New Roman" w:hAnsi="Times New Roman"/>
                <w:i/>
              </w:rPr>
            </w:pPr>
            <w:r w:rsidRPr="0012245E">
              <w:rPr>
                <w:rFonts w:ascii="Times New Roman" w:hAnsi="Times New Roman"/>
                <w:i/>
              </w:rPr>
              <w:t>Rast alebo pokles príjmov/výdavkov            na priemerného obyvateľa</w:t>
            </w:r>
          </w:p>
          <w:p w:rsidR="004F4B99" w:rsidRPr="0012245E" w:rsidP="004F4B99">
            <w:pPr>
              <w:numPr>
                <w:numId w:val="7"/>
              </w:numPr>
              <w:tabs>
                <w:tab w:val="left" w:pos="328"/>
              </w:tabs>
              <w:bidi w:val="0"/>
              <w:ind w:left="328"/>
              <w:rPr>
                <w:rFonts w:ascii="Times New Roman" w:hAnsi="Times New Roman"/>
                <w:i/>
              </w:rPr>
            </w:pPr>
            <w:r w:rsidRPr="0012245E">
              <w:rPr>
                <w:rFonts w:ascii="Times New Roman" w:hAnsi="Times New Roman"/>
                <w:i/>
              </w:rPr>
              <w:t>Rast alebo pokles príjmov/výdavkov                  za jednotlivé ovplyvnené  skupiny domácností</w:t>
            </w:r>
          </w:p>
          <w:p w:rsidR="004F4B99" w:rsidRPr="000A21CE" w:rsidP="004F4B99">
            <w:pPr>
              <w:bidi w:val="0"/>
              <w:rPr>
                <w:rFonts w:ascii="Times New Roman" w:hAnsi="Times New Roman"/>
                <w:i/>
              </w:rPr>
            </w:pPr>
            <w:r w:rsidRPr="0012245E">
              <w:rPr>
                <w:rFonts w:ascii="Times New Roman" w:hAnsi="Times New Roman"/>
                <w:i/>
              </w:rPr>
              <w:t>Celkový počet obyvateľstva/domácností ovplyvnených predkladaným materiálom</w:t>
            </w:r>
          </w:p>
        </w:tc>
        <w:tc>
          <w:tcPr>
            <w:tcW w:w="4790" w:type="dxa"/>
            <w:tcBorders>
              <w:top w:val="single" w:sz="4" w:space="0" w:color="auto"/>
              <w:left w:val="nil"/>
              <w:bottom w:val="single" w:sz="4" w:space="0" w:color="auto"/>
              <w:right w:val="single" w:sz="4" w:space="0" w:color="auto"/>
            </w:tcBorders>
            <w:textDirection w:val="lrTb"/>
            <w:vAlign w:val="top"/>
          </w:tcPr>
          <w:p w:rsidR="004F4B99" w:rsidRPr="0012245E" w:rsidP="004F4B99">
            <w:pPr>
              <w:bidi w:val="0"/>
              <w:ind w:left="355" w:hanging="283"/>
              <w:jc w:val="both"/>
              <w:rPr>
                <w:rFonts w:ascii="Times New Roman" w:hAnsi="Times New Roman"/>
                <w:highlight w:val="yellow"/>
              </w:rPr>
            </w:pPr>
          </w:p>
        </w:tc>
      </w:tr>
      <w:tr>
        <w:tblPrEx>
          <w:tblW w:w="9015" w:type="dxa"/>
          <w:jc w:val="center"/>
          <w:tblCellMar>
            <w:left w:w="70" w:type="dxa"/>
            <w:right w:w="70" w:type="dxa"/>
          </w:tblCellMar>
        </w:tblPrEx>
        <w:trPr>
          <w:trHeight w:val="1564"/>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rPr>
                <w:rFonts w:ascii="Times New Roman" w:hAnsi="Times New Roman"/>
              </w:rPr>
            </w:pPr>
            <w:r w:rsidRPr="0012245E">
              <w:rPr>
                <w:rFonts w:ascii="Times New Roman" w:hAnsi="Times New Roman"/>
                <w:b/>
              </w:rPr>
              <w:t>4.2.</w:t>
            </w:r>
            <w:r w:rsidRPr="0012245E">
              <w:rPr>
                <w:rFonts w:ascii="Times New Roman" w:hAnsi="Times New Roman"/>
              </w:rPr>
              <w:t xml:space="preserve"> Zhodnoťte kvalitatívne (prípadne kvantitatívne) vplyvy na prístup k zdrojom, právam, tovarom a službám u jednotlivých ovplyvnených skupín obyvateľstva.</w:t>
            </w:r>
          </w:p>
        </w:tc>
        <w:tc>
          <w:tcPr>
            <w:tcW w:w="4790" w:type="dxa"/>
            <w:tcBorders>
              <w:top w:val="single" w:sz="4" w:space="0" w:color="auto"/>
              <w:left w:val="nil"/>
              <w:bottom w:val="single" w:sz="4" w:space="0" w:color="auto"/>
              <w:right w:val="single" w:sz="4" w:space="0" w:color="auto"/>
            </w:tcBorders>
            <w:textDirection w:val="lrTb"/>
            <w:vAlign w:val="top"/>
          </w:tcPr>
          <w:p w:rsidR="004F4B99" w:rsidRPr="0012245E" w:rsidP="004F4B99">
            <w:pPr>
              <w:bidi w:val="0"/>
              <w:jc w:val="both"/>
              <w:rPr>
                <w:rFonts w:ascii="Times New Roman" w:hAnsi="Times New Roman"/>
              </w:rPr>
            </w:pPr>
            <w:r>
              <w:rPr>
                <w:rFonts w:ascii="Times New Roman" w:hAnsi="Times New Roman"/>
              </w:rPr>
              <w:t>Návrh zákona bude mať pozitívny vplyv na obyvateľstvo v súvislosti s možnosťou uplatnenia obstarávacej ceny zásob potravín bezodplatne odovzdaných Potravinovej banke Slovenska, čím sa  zabezpečuje potravinová pomoc najodkázanejším skupinám obyvateľstva.</w:t>
            </w:r>
            <w:r w:rsidRPr="0012245E">
              <w:rPr>
                <w:rFonts w:ascii="Times New Roman" w:hAnsi="Times New Roman"/>
              </w:rPr>
              <w:t xml:space="preserve"> </w:t>
            </w:r>
          </w:p>
        </w:tc>
      </w:tr>
      <w:tr>
        <w:tblPrEx>
          <w:tblW w:w="9015" w:type="dxa"/>
          <w:jc w:val="center"/>
          <w:tblCellMar>
            <w:left w:w="70" w:type="dxa"/>
            <w:right w:w="70" w:type="dxa"/>
          </w:tblCellMar>
        </w:tblPrEx>
        <w:trPr>
          <w:trHeight w:val="660"/>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rPr>
                <w:rFonts w:ascii="Times New Roman" w:hAnsi="Times New Roman"/>
              </w:rPr>
            </w:pPr>
            <w:r w:rsidRPr="0012245E">
              <w:rPr>
                <w:rFonts w:ascii="Times New Roman" w:hAnsi="Times New Roman"/>
                <w:b/>
              </w:rPr>
              <w:t>4.3.</w:t>
            </w:r>
            <w:r w:rsidRPr="0012245E">
              <w:rPr>
                <w:rFonts w:ascii="Times New Roman" w:hAnsi="Times New Roman"/>
              </w:rPr>
              <w:t xml:space="preserve">  Zhodnoťte vplyv na rovnosť príležitostí:</w:t>
            </w:r>
          </w:p>
          <w:p w:rsidR="004F4B99" w:rsidRPr="0012245E" w:rsidP="004F4B99">
            <w:pPr>
              <w:bidi w:val="0"/>
              <w:rPr>
                <w:rFonts w:ascii="Times New Roman" w:hAnsi="Times New Roman"/>
              </w:rPr>
            </w:pPr>
          </w:p>
          <w:p w:rsidR="004F4B99" w:rsidRPr="0012245E" w:rsidP="004F4B99">
            <w:pPr>
              <w:bidi w:val="0"/>
              <w:rPr>
                <w:rFonts w:ascii="Times New Roman" w:hAnsi="Times New Roman"/>
              </w:rPr>
            </w:pPr>
            <w:r w:rsidRPr="0012245E">
              <w:rPr>
                <w:rFonts w:ascii="Times New Roman" w:hAnsi="Times New Roman"/>
              </w:rPr>
              <w:t>Zhodnoťte vplyv na rodovú rovnosť.</w:t>
            </w:r>
          </w:p>
          <w:p w:rsidR="004F4B99" w:rsidRPr="0012245E" w:rsidP="004F4B99">
            <w:pPr>
              <w:bidi w:val="0"/>
              <w:rPr>
                <w:rFonts w:ascii="Times New Roman" w:hAnsi="Times New Roman"/>
              </w:rPr>
            </w:pPr>
          </w:p>
        </w:tc>
        <w:tc>
          <w:tcPr>
            <w:tcW w:w="4790" w:type="dxa"/>
            <w:tcBorders>
              <w:top w:val="nil"/>
              <w:left w:val="nil"/>
              <w:bottom w:val="single" w:sz="4" w:space="0" w:color="auto"/>
              <w:right w:val="single" w:sz="4" w:space="0" w:color="auto"/>
            </w:tcBorders>
            <w:textDirection w:val="lrTb"/>
            <w:vAlign w:val="top"/>
          </w:tcPr>
          <w:p w:rsidR="004F4B99" w:rsidRPr="0012245E" w:rsidP="004F4B99">
            <w:pPr>
              <w:bidi w:val="0"/>
              <w:jc w:val="both"/>
              <w:rPr>
                <w:rFonts w:ascii="Times New Roman" w:hAnsi="Times New Roman"/>
              </w:rPr>
            </w:pPr>
            <w:r w:rsidRPr="0012245E">
              <w:rPr>
                <w:rFonts w:ascii="Times New Roman" w:hAnsi="Times New Roman"/>
              </w:rPr>
              <w:t>Nepredpokladá sa vplyv na rodovú rovnosť.</w:t>
            </w:r>
          </w:p>
          <w:p w:rsidR="004F4B99" w:rsidRPr="0012245E" w:rsidP="004F4B99">
            <w:pPr>
              <w:bidi w:val="0"/>
              <w:ind w:left="355"/>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225" w:type="dxa"/>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rPr>
                <w:rFonts w:ascii="Times New Roman" w:hAnsi="Times New Roman"/>
              </w:rPr>
            </w:pPr>
            <w:r w:rsidRPr="0012245E">
              <w:rPr>
                <w:rFonts w:ascii="Times New Roman" w:hAnsi="Times New Roman"/>
                <w:b/>
              </w:rPr>
              <w:t xml:space="preserve">4.4. </w:t>
            </w:r>
            <w:r w:rsidRPr="0012245E">
              <w:rPr>
                <w:rFonts w:ascii="Times New Roman" w:hAnsi="Times New Roman"/>
              </w:rPr>
              <w:t>Zhodnoťte vplyvy na zamestnanosť.</w:t>
            </w:r>
          </w:p>
          <w:p w:rsidR="004F4B99" w:rsidRPr="0012245E" w:rsidP="004F4B99">
            <w:pPr>
              <w:bidi w:val="0"/>
              <w:rPr>
                <w:rFonts w:ascii="Times New Roman" w:hAnsi="Times New Roman"/>
                <w:b/>
              </w:rPr>
            </w:pPr>
          </w:p>
          <w:p w:rsidR="004F4B99" w:rsidRPr="0012245E" w:rsidP="004F4B99">
            <w:pPr>
              <w:bidi w:val="0"/>
              <w:rPr>
                <w:rFonts w:ascii="Times New Roman" w:hAnsi="Times New Roman"/>
                <w:bCs/>
              </w:rPr>
            </w:pPr>
            <w:r w:rsidRPr="0012245E">
              <w:rPr>
                <w:rFonts w:ascii="Times New Roman" w:hAnsi="Times New Roman"/>
                <w:bCs/>
              </w:rPr>
              <w:t>Aké sú  vplyvy na zamestnanosť ?</w:t>
            </w:r>
          </w:p>
          <w:p w:rsidR="004F4B99" w:rsidRPr="0012245E" w:rsidP="004F4B99">
            <w:pPr>
              <w:bidi w:val="0"/>
              <w:rPr>
                <w:rFonts w:ascii="Times New Roman" w:hAnsi="Times New Roman"/>
              </w:rPr>
            </w:pPr>
            <w:r w:rsidRPr="0012245E">
              <w:rPr>
                <w:rFonts w:ascii="Times New Roman" w:hAnsi="Times New Roman"/>
                <w:bCs/>
              </w:rPr>
              <w:t>Ktoré skupiny zamestnancov budú ohrozené schválením predkladaného materiálu ?</w:t>
            </w:r>
          </w:p>
          <w:p w:rsidR="004F4B99" w:rsidRPr="0012245E" w:rsidP="004F4B99">
            <w:pPr>
              <w:bidi w:val="0"/>
              <w:rPr>
                <w:rFonts w:ascii="Times New Roman" w:hAnsi="Times New Roman"/>
                <w:bCs/>
              </w:rPr>
            </w:pPr>
            <w:r w:rsidRPr="0012245E">
              <w:rPr>
                <w:rFonts w:ascii="Times New Roman" w:hAnsi="Times New Roman"/>
                <w:bCs/>
              </w:rPr>
              <w:t>Hrozí v prípade schválenia predkladaného materiálu hromadné prepúšťanie ?</w:t>
            </w:r>
          </w:p>
        </w:tc>
        <w:tc>
          <w:tcPr>
            <w:tcW w:w="4790" w:type="dxa"/>
            <w:tcBorders>
              <w:top w:val="single" w:sz="4" w:space="0" w:color="auto"/>
              <w:left w:val="single" w:sz="4" w:space="0" w:color="auto"/>
              <w:bottom w:val="single" w:sz="4" w:space="0" w:color="auto"/>
              <w:right w:val="single" w:sz="4" w:space="0" w:color="auto"/>
            </w:tcBorders>
            <w:textDirection w:val="lrTb"/>
            <w:vAlign w:val="top"/>
          </w:tcPr>
          <w:p w:rsidR="004F4B99" w:rsidRPr="0012245E" w:rsidP="004F4B99">
            <w:pPr>
              <w:bidi w:val="0"/>
              <w:jc w:val="both"/>
              <w:rPr>
                <w:rFonts w:ascii="Times New Roman" w:hAnsi="Times New Roman"/>
              </w:rPr>
            </w:pPr>
            <w:r w:rsidRPr="0012245E">
              <w:rPr>
                <w:rFonts w:ascii="Times New Roman" w:hAnsi="Times New Roman"/>
              </w:rPr>
              <w:t> </w:t>
            </w:r>
            <w:r>
              <w:rPr>
                <w:rFonts w:ascii="Times New Roman" w:hAnsi="Times New Roman"/>
              </w:rPr>
              <w:t>Návrh zákona bude mať pozitívny vplyv na občanov mladších ako 26 rokov veku, ktorý ukončili príslušným stupňom vzdelania sústavnú prípravu na povolanie  v dennej forme štúdia pred menej ako 2 rokmi v súvislosti s možnosťou odpočtu výdavkov na výskum a vývoj.</w:t>
            </w:r>
          </w:p>
          <w:p w:rsidR="004F4B99" w:rsidRPr="0012245E" w:rsidP="004F4B99">
            <w:pPr>
              <w:bidi w:val="0"/>
              <w:jc w:val="both"/>
              <w:rPr>
                <w:rFonts w:ascii="Times New Roman" w:hAnsi="Times New Roman"/>
              </w:rPr>
            </w:pPr>
          </w:p>
        </w:tc>
      </w:tr>
    </w:tbl>
    <w:p w:rsidR="004F4B99" w:rsidRPr="00165B39" w:rsidP="004F4B99">
      <w:pPr>
        <w:bidi w:val="0"/>
        <w:jc w:val="center"/>
        <w:rPr>
          <w:rFonts w:ascii="Times New Roman" w:hAnsi="Times New Roman"/>
          <w:b/>
          <w:bCs/>
        </w:rPr>
      </w:pPr>
      <w:r w:rsidRPr="00165B39">
        <w:rPr>
          <w:rFonts w:ascii="Times New Roman" w:hAnsi="Times New Roman"/>
          <w:b/>
          <w:bCs/>
        </w:rPr>
        <w:t>DOLOŽKA ZLUČITEĽNOSTI</w:t>
      </w:r>
    </w:p>
    <w:p w:rsidR="004F4B99" w:rsidRPr="00165B39" w:rsidP="004F4B99">
      <w:pPr>
        <w:pBdr>
          <w:bottom w:val="single" w:sz="6" w:space="1" w:color="auto"/>
        </w:pBdr>
        <w:bidi w:val="0"/>
        <w:jc w:val="center"/>
        <w:rPr>
          <w:rFonts w:ascii="Times New Roman" w:hAnsi="Times New Roman"/>
          <w:b/>
          <w:bCs/>
        </w:rPr>
      </w:pPr>
      <w:r w:rsidRPr="00165B39">
        <w:rPr>
          <w:rFonts w:ascii="Times New Roman" w:hAnsi="Times New Roman"/>
          <w:b/>
          <w:bCs/>
        </w:rPr>
        <w:t xml:space="preserve">návrhu zákona, </w:t>
      </w:r>
      <w:r w:rsidRPr="00165B39">
        <w:rPr>
          <w:rFonts w:ascii="Times New Roman" w:hAnsi="Times New Roman"/>
          <w:b/>
        </w:rPr>
        <w:t xml:space="preserve">ktorým sa mení a dopĺňa zákon č. 595/2003 Z. z. o dani z príjmov v znení neskorších predpisov a ktorým sa menia a dopĺňajú niektoré zákony </w:t>
      </w:r>
      <w:r w:rsidRPr="00165B39">
        <w:rPr>
          <w:rFonts w:ascii="Times New Roman" w:hAnsi="Times New Roman"/>
          <w:b/>
          <w:bCs/>
        </w:rPr>
        <w:t>s právom Európskej únie</w:t>
      </w:r>
    </w:p>
    <w:p w:rsidR="004F4B99" w:rsidRPr="00165B39" w:rsidP="004F4B99">
      <w:pPr>
        <w:bidi w:val="0"/>
        <w:rPr>
          <w:rFonts w:ascii="Times New Roman" w:hAnsi="Times New Roman"/>
          <w:b/>
          <w:bCs/>
        </w:rPr>
      </w:pPr>
    </w:p>
    <w:p w:rsidR="004F4B99" w:rsidRPr="00165B39" w:rsidP="004F4B99">
      <w:pPr>
        <w:numPr>
          <w:numId w:val="10"/>
        </w:numPr>
        <w:bidi w:val="0"/>
        <w:spacing w:after="120"/>
        <w:jc w:val="both"/>
        <w:rPr>
          <w:rFonts w:ascii="Times New Roman" w:hAnsi="Times New Roman"/>
        </w:rPr>
      </w:pPr>
      <w:r w:rsidRPr="00165B39">
        <w:rPr>
          <w:rFonts w:ascii="Times New Roman" w:hAnsi="Times New Roman"/>
          <w:b/>
          <w:bCs/>
        </w:rPr>
        <w:t>Predkladateľ zákona:</w:t>
      </w:r>
    </w:p>
    <w:p w:rsidR="004F4B99" w:rsidRPr="00165B39" w:rsidP="004F4B99">
      <w:pPr>
        <w:bidi w:val="0"/>
        <w:ind w:firstLine="425"/>
        <w:jc w:val="both"/>
        <w:rPr>
          <w:rFonts w:ascii="Times New Roman" w:hAnsi="Times New Roman"/>
        </w:rPr>
      </w:pPr>
      <w:r w:rsidRPr="00165B39">
        <w:rPr>
          <w:rFonts w:ascii="Times New Roman" w:hAnsi="Times New Roman"/>
        </w:rPr>
        <w:t xml:space="preserve">Vláda Slovenskej republiky. </w:t>
      </w:r>
    </w:p>
    <w:p w:rsidR="004F4B99" w:rsidRPr="00165B39" w:rsidP="004F4B99">
      <w:pPr>
        <w:bidi w:val="0"/>
        <w:jc w:val="both"/>
        <w:rPr>
          <w:rFonts w:ascii="Times New Roman" w:hAnsi="Times New Roman"/>
          <w:b/>
          <w:bCs/>
        </w:rPr>
      </w:pPr>
    </w:p>
    <w:p w:rsidR="004F4B99" w:rsidRPr="00165B39" w:rsidP="004F4B99">
      <w:pPr>
        <w:numPr>
          <w:numId w:val="10"/>
        </w:numPr>
        <w:bidi w:val="0"/>
        <w:spacing w:after="120"/>
        <w:jc w:val="both"/>
        <w:rPr>
          <w:rFonts w:ascii="Times New Roman" w:hAnsi="Times New Roman"/>
          <w:b/>
          <w:bCs/>
        </w:rPr>
      </w:pPr>
      <w:r w:rsidRPr="00165B39">
        <w:rPr>
          <w:rFonts w:ascii="Times New Roman" w:hAnsi="Times New Roman"/>
          <w:b/>
          <w:bCs/>
        </w:rPr>
        <w:t>Názov návrhu zákona:</w:t>
      </w:r>
    </w:p>
    <w:p w:rsidR="004F4B99" w:rsidRPr="00165B39" w:rsidP="004F4B99">
      <w:pPr>
        <w:bidi w:val="0"/>
        <w:ind w:left="425"/>
        <w:jc w:val="both"/>
        <w:rPr>
          <w:rFonts w:ascii="Times New Roman" w:hAnsi="Times New Roman"/>
          <w:b/>
          <w:bCs/>
        </w:rPr>
      </w:pPr>
      <w:r w:rsidRPr="00165B39">
        <w:rPr>
          <w:rFonts w:ascii="Times New Roman" w:hAnsi="Times New Roman"/>
        </w:rPr>
        <w:t>Návrh zákona, ktorým sa mení a dopĺňa zákon č. 595/2003 Z. z. o dani z príjmov v znení neskorších predpisov a ktorým sa menia a dopĺňajú niektoré zákony.</w:t>
      </w:r>
    </w:p>
    <w:p w:rsidR="004F4B99" w:rsidRPr="00165B39" w:rsidP="004F4B99">
      <w:pPr>
        <w:bidi w:val="0"/>
        <w:jc w:val="both"/>
        <w:rPr>
          <w:rFonts w:ascii="Times New Roman" w:hAnsi="Times New Roman"/>
          <w:b/>
          <w:bCs/>
        </w:rPr>
      </w:pPr>
    </w:p>
    <w:p w:rsidR="004F4B99" w:rsidRPr="00165B39" w:rsidP="004F4B99">
      <w:pPr>
        <w:numPr>
          <w:numId w:val="10"/>
        </w:numPr>
        <w:bidi w:val="0"/>
        <w:spacing w:after="120"/>
        <w:jc w:val="both"/>
        <w:rPr>
          <w:rFonts w:ascii="Times New Roman" w:hAnsi="Times New Roman"/>
          <w:b/>
          <w:bCs/>
        </w:rPr>
      </w:pPr>
      <w:r w:rsidRPr="00165B39">
        <w:rPr>
          <w:rFonts w:ascii="Times New Roman" w:hAnsi="Times New Roman"/>
          <w:b/>
          <w:bCs/>
        </w:rPr>
        <w:t xml:space="preserve">Problematika návrhu zákona: </w:t>
      </w:r>
    </w:p>
    <w:p w:rsidR="004F4B99" w:rsidRPr="00165B39" w:rsidP="004F4B99">
      <w:pPr>
        <w:numPr>
          <w:ilvl w:val="1"/>
          <w:numId w:val="10"/>
        </w:numPr>
        <w:bidi w:val="0"/>
        <w:spacing w:after="120"/>
        <w:rPr>
          <w:rFonts w:ascii="Times New Roman" w:hAnsi="Times New Roman"/>
          <w:lang w:eastAsia="cs-CZ"/>
        </w:rPr>
      </w:pPr>
      <w:r w:rsidRPr="00165B39">
        <w:rPr>
          <w:rFonts w:ascii="Times New Roman" w:hAnsi="Times New Roman"/>
          <w:lang w:eastAsia="cs-CZ"/>
        </w:rPr>
        <w:t>je upravená v práve Európskej únie:</w:t>
      </w:r>
    </w:p>
    <w:p w:rsidR="004F4B99" w:rsidRPr="00165B39" w:rsidP="004F4B99">
      <w:pPr>
        <w:bidi w:val="0"/>
        <w:spacing w:after="120"/>
        <w:ind w:left="900" w:hanging="425"/>
        <w:rPr>
          <w:rFonts w:ascii="Times New Roman" w:hAnsi="Times New Roman"/>
          <w:b/>
          <w:bCs/>
          <w:iCs/>
          <w:lang w:eastAsia="cs-CZ"/>
        </w:rPr>
      </w:pPr>
      <w:r w:rsidRPr="00165B39">
        <w:rPr>
          <w:rFonts w:ascii="Times New Roman" w:hAnsi="Times New Roman"/>
          <w:b/>
          <w:bCs/>
          <w:iCs/>
          <w:lang w:eastAsia="cs-CZ"/>
        </w:rPr>
        <w:t xml:space="preserve">Primárne právo: </w:t>
      </w:r>
    </w:p>
    <w:p w:rsidR="004F4B99" w:rsidRPr="00165B39" w:rsidP="004F4B99">
      <w:pPr>
        <w:numPr>
          <w:numId w:val="11"/>
        </w:numPr>
        <w:bidi w:val="0"/>
        <w:spacing w:after="120"/>
        <w:jc w:val="both"/>
        <w:rPr>
          <w:rFonts w:ascii="Times New Roman" w:hAnsi="Times New Roman"/>
          <w:lang w:eastAsia="cs-CZ"/>
        </w:rPr>
      </w:pPr>
      <w:r w:rsidRPr="00165B39">
        <w:rPr>
          <w:rFonts w:ascii="Times New Roman" w:hAnsi="Times New Roman"/>
          <w:lang w:eastAsia="cs-CZ"/>
        </w:rPr>
        <w:t xml:space="preserve">čl. </w:t>
      </w:r>
      <w:r w:rsidRPr="00165B39">
        <w:rPr>
          <w:rFonts w:ascii="Times New Roman" w:hAnsi="Times New Roman"/>
        </w:rPr>
        <w:t xml:space="preserve">4 ods. 2 písm. a), čl. 50, čl. </w:t>
      </w:r>
      <w:r w:rsidRPr="00165B39">
        <w:rPr>
          <w:rFonts w:ascii="Times New Roman" w:hAnsi="Times New Roman"/>
          <w:lang w:eastAsia="cs-CZ"/>
        </w:rPr>
        <w:t>110 až 112, čl. 114 a 115 Zmluvy o fungovaní Európskej únie.</w:t>
      </w:r>
    </w:p>
    <w:p w:rsidR="004F4B99" w:rsidRPr="00165B39" w:rsidP="004F4B99">
      <w:pPr>
        <w:pStyle w:val="BodyTextIndent"/>
        <w:bidi w:val="0"/>
        <w:ind w:left="475"/>
        <w:jc w:val="both"/>
        <w:rPr>
          <w:rFonts w:ascii="Times New Roman" w:hAnsi="Times New Roman"/>
          <w:b/>
          <w:bCs/>
          <w:i/>
          <w:iCs/>
        </w:rPr>
      </w:pPr>
      <w:r w:rsidRPr="00165B39">
        <w:rPr>
          <w:rFonts w:ascii="Times New Roman" w:hAnsi="Times New Roman"/>
          <w:b/>
          <w:bCs/>
          <w:iCs/>
        </w:rPr>
        <w:t>Sekundárne právo</w:t>
      </w:r>
      <w:r w:rsidRPr="00165B39">
        <w:rPr>
          <w:rFonts w:ascii="Times New Roman" w:hAnsi="Times New Roman"/>
          <w:b/>
          <w:bCs/>
          <w:i/>
          <w:iCs/>
        </w:rPr>
        <w:t xml:space="preserve">  </w:t>
      </w:r>
      <w:r w:rsidRPr="00165B39">
        <w:rPr>
          <w:rFonts w:ascii="Times New Roman" w:hAnsi="Times New Roman"/>
        </w:rPr>
        <w:t xml:space="preserve">(prijaté po nadobudnutí platnosti Lisabonskej zmluvy, ktorou sa mení a dopĺňa Zmluva o Európskej únii </w:t>
      </w:r>
      <w:r>
        <w:rPr>
          <w:rFonts w:ascii="Times New Roman" w:hAnsi="Times New Roman"/>
        </w:rPr>
        <w:t xml:space="preserve">a </w:t>
      </w:r>
      <w:r w:rsidRPr="00165B39">
        <w:rPr>
          <w:rFonts w:ascii="Times New Roman" w:hAnsi="Times New Roman"/>
        </w:rPr>
        <w:t>Zmluva o Európskom spoločenstve - po 30. novembri 2009):</w:t>
      </w:r>
    </w:p>
    <w:p w:rsidR="004F4B99" w:rsidRPr="00165B39" w:rsidP="004F4B99">
      <w:pPr>
        <w:numPr>
          <w:numId w:val="20"/>
        </w:numPr>
        <w:autoSpaceDE w:val="0"/>
        <w:autoSpaceDN w:val="0"/>
        <w:bidi w:val="0"/>
        <w:adjustRightInd w:val="0"/>
        <w:spacing w:before="120"/>
        <w:ind w:left="782" w:hanging="357"/>
        <w:jc w:val="both"/>
        <w:rPr>
          <w:rFonts w:ascii="Times New Roman" w:hAnsi="Times New Roman"/>
          <w:bCs/>
          <w:iCs/>
          <w:u w:val="single"/>
        </w:rPr>
      </w:pPr>
      <w:r w:rsidRPr="00165B39">
        <w:rPr>
          <w:rFonts w:ascii="Times New Roman" w:hAnsi="Times New Roman"/>
          <w:bCs/>
          <w:iCs/>
          <w:u w:val="single"/>
        </w:rPr>
        <w:t>legislatívne akty:</w:t>
      </w:r>
    </w:p>
    <w:p w:rsidR="004F4B99" w:rsidRPr="00165B39" w:rsidP="004F4B99">
      <w:pPr>
        <w:numPr>
          <w:numId w:val="11"/>
        </w:numPr>
        <w:autoSpaceDE w:val="0"/>
        <w:autoSpaceDN w:val="0"/>
        <w:bidi w:val="0"/>
        <w:adjustRightInd w:val="0"/>
        <w:spacing w:before="120" w:after="240"/>
        <w:jc w:val="both"/>
        <w:rPr>
          <w:rStyle w:val="Emphasis"/>
          <w:rFonts w:ascii="Times New Roman" w:hAnsi="Times New Roman"/>
          <w:bCs/>
          <w:u w:val="single"/>
        </w:rPr>
      </w:pPr>
      <w:r w:rsidRPr="00165B39">
        <w:rPr>
          <w:rFonts w:ascii="Times New Roman" w:hAnsi="Times New Roman"/>
          <w:bCs/>
          <w:iCs/>
        </w:rPr>
        <w:t xml:space="preserve">smernica </w:t>
      </w:r>
      <w:r w:rsidRPr="00165B39">
        <w:rPr>
          <w:rFonts w:ascii="Times New Roman" w:hAnsi="Times New Roman"/>
          <w:bCs/>
        </w:rPr>
        <w:t xml:space="preserve">Rady </w:t>
      </w:r>
      <w:r w:rsidRPr="00165B39">
        <w:rPr>
          <w:rFonts w:ascii="Times New Roman" w:hAnsi="Times New Roman"/>
          <w:bCs/>
          <w:u w:val="single"/>
        </w:rPr>
        <w:t>2011/96/EÚ</w:t>
      </w:r>
      <w:r w:rsidRPr="00165B39">
        <w:rPr>
          <w:rFonts w:ascii="Times New Roman" w:hAnsi="Times New Roman"/>
          <w:bCs/>
        </w:rPr>
        <w:t xml:space="preserve"> z 30. novembra 2011 o spoločnom systéme zdaňovania uplatňovanom v prípade materských spoločností a dcérskych spoločností</w:t>
      </w:r>
      <w:r>
        <w:rPr>
          <w:rFonts w:ascii="Times New Roman" w:hAnsi="Times New Roman"/>
          <w:bCs/>
        </w:rPr>
        <w:t xml:space="preserve"> v rozličných členských štátoch </w:t>
      </w:r>
      <w:r w:rsidRPr="00165B39">
        <w:rPr>
          <w:rFonts w:ascii="Times New Roman" w:hAnsi="Times New Roman"/>
          <w:bCs/>
        </w:rPr>
        <w:t>(prepracované znenie) (</w:t>
      </w:r>
      <w:r w:rsidRPr="00165B39">
        <w:rPr>
          <w:rStyle w:val="Emphasis"/>
          <w:rFonts w:ascii="Times New Roman" w:hAnsi="Times New Roman"/>
          <w:i w:val="0"/>
        </w:rPr>
        <w:t>Ú. v. EÚ L 345, 29.12.2011)</w:t>
      </w:r>
      <w:r w:rsidRPr="00165B39">
        <w:rPr>
          <w:rFonts w:ascii="Times New Roman" w:hAnsi="Times New Roman"/>
        </w:rPr>
        <w:t xml:space="preserve"> v platnom znení</w:t>
      </w:r>
      <w:r w:rsidRPr="00165B39">
        <w:rPr>
          <w:rStyle w:val="Emphasis"/>
          <w:rFonts w:ascii="Times New Roman" w:hAnsi="Times New Roman"/>
          <w:i w:val="0"/>
        </w:rPr>
        <w:t>,</w:t>
      </w:r>
    </w:p>
    <w:p w:rsidR="004F4B99" w:rsidRPr="00165B39" w:rsidP="004F4B99">
      <w:pPr>
        <w:numPr>
          <w:numId w:val="11"/>
        </w:numPr>
        <w:bidi w:val="0"/>
        <w:jc w:val="both"/>
        <w:rPr>
          <w:rFonts w:ascii="Times New Roman" w:hAnsi="Times New Roman"/>
        </w:rPr>
      </w:pPr>
      <w:r w:rsidRPr="00165B39">
        <w:rPr>
          <w:rFonts w:ascii="Times New Roman" w:hAnsi="Times New Roman"/>
        </w:rPr>
        <w:t xml:space="preserve">smernica Európskeho parlamentu a Rady </w:t>
      </w:r>
      <w:r w:rsidRPr="00165B39">
        <w:rPr>
          <w:rFonts w:ascii="Times New Roman" w:hAnsi="Times New Roman"/>
          <w:u w:val="single"/>
        </w:rPr>
        <w:t>2013/34/EÚ</w:t>
      </w:r>
      <w:r w:rsidRPr="00165B39">
        <w:rPr>
          <w:rFonts w:ascii="Times New Roman" w:hAnsi="Times New Roman"/>
        </w:rPr>
        <w:t xml:space="preserve">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w:t>
      </w:r>
    </w:p>
    <w:p w:rsidR="004F4B99" w:rsidRPr="00165B39" w:rsidP="004F4B99">
      <w:pPr>
        <w:autoSpaceDE w:val="0"/>
        <w:autoSpaceDN w:val="0"/>
        <w:bidi w:val="0"/>
        <w:adjustRightInd w:val="0"/>
        <w:ind w:left="454"/>
        <w:jc w:val="both"/>
        <w:rPr>
          <w:rFonts w:ascii="Times New Roman" w:hAnsi="Times New Roman"/>
          <w:b/>
          <w:bCs/>
          <w:iCs/>
        </w:rPr>
      </w:pPr>
    </w:p>
    <w:p w:rsidR="004F4B99" w:rsidRPr="00165B39" w:rsidP="004F4B99">
      <w:pPr>
        <w:autoSpaceDE w:val="0"/>
        <w:autoSpaceDN w:val="0"/>
        <w:bidi w:val="0"/>
        <w:adjustRightInd w:val="0"/>
        <w:ind w:left="454"/>
        <w:jc w:val="both"/>
        <w:rPr>
          <w:rFonts w:ascii="Times New Roman" w:hAnsi="Times New Roman"/>
        </w:rPr>
      </w:pPr>
      <w:r w:rsidRPr="00165B39">
        <w:rPr>
          <w:rFonts w:ascii="Times New Roman" w:hAnsi="Times New Roman"/>
          <w:b/>
          <w:bCs/>
          <w:iCs/>
        </w:rPr>
        <w:t xml:space="preserve">Sekundárne právo </w:t>
      </w:r>
      <w:r w:rsidRPr="00165B39">
        <w:rPr>
          <w:rFonts w:ascii="Times New Roman" w:hAnsi="Times New Roman"/>
        </w:rPr>
        <w:t xml:space="preserve">(prijaté pred nadobudnutím platnosti Lisabonskej zmluvy, ktorou sa mení a dopĺňa Zmluva o Európskej únii </w:t>
      </w:r>
      <w:r>
        <w:rPr>
          <w:rFonts w:ascii="Times New Roman" w:hAnsi="Times New Roman"/>
        </w:rPr>
        <w:t xml:space="preserve">a </w:t>
      </w:r>
      <w:r w:rsidRPr="00165B39">
        <w:rPr>
          <w:rFonts w:ascii="Times New Roman" w:hAnsi="Times New Roman"/>
        </w:rPr>
        <w:t>Zmluva o Európskom spoločenstve - do 30. novembra 2009):</w:t>
      </w:r>
    </w:p>
    <w:p w:rsidR="004F4B99" w:rsidRPr="00165B39" w:rsidP="004F4B99">
      <w:pPr>
        <w:autoSpaceDE w:val="0"/>
        <w:autoSpaceDN w:val="0"/>
        <w:bidi w:val="0"/>
        <w:adjustRightInd w:val="0"/>
        <w:ind w:left="454"/>
        <w:rPr>
          <w:rFonts w:ascii="Times New Roman" w:hAnsi="Times New Roman"/>
          <w:b/>
          <w:bCs/>
          <w:iCs/>
        </w:rPr>
      </w:pPr>
    </w:p>
    <w:p w:rsidR="004F4B99" w:rsidRPr="00165B39" w:rsidP="004F4B99">
      <w:pPr>
        <w:numPr>
          <w:numId w:val="12"/>
        </w:numPr>
        <w:bidi w:val="0"/>
        <w:adjustRightInd w:val="0"/>
        <w:spacing w:after="120"/>
        <w:jc w:val="both"/>
        <w:rPr>
          <w:rFonts w:ascii="Times New Roman" w:hAnsi="Times New Roman"/>
        </w:rPr>
      </w:pPr>
      <w:r w:rsidRPr="00165B39">
        <w:rPr>
          <w:rFonts w:ascii="Times New Roman" w:hAnsi="Times New Roman"/>
          <w:bCs/>
        </w:rPr>
        <w:t xml:space="preserve">smernica Rady </w:t>
      </w:r>
      <w:r w:rsidRPr="00165B39">
        <w:rPr>
          <w:rFonts w:ascii="Times New Roman" w:hAnsi="Times New Roman"/>
          <w:bCs/>
          <w:u w:val="single"/>
        </w:rPr>
        <w:t>2003/48/ES</w:t>
      </w:r>
      <w:r w:rsidRPr="00165B39">
        <w:rPr>
          <w:rFonts w:ascii="Times New Roman" w:hAnsi="Times New Roman"/>
          <w:bCs/>
        </w:rPr>
        <w:t xml:space="preserve"> z 3. júna 2003 </w:t>
      </w:r>
      <w:r w:rsidRPr="00165B39">
        <w:rPr>
          <w:rFonts w:ascii="Times New Roman" w:hAnsi="Times New Roman"/>
        </w:rPr>
        <w:t xml:space="preserve">o zdaňovaní príjmu z úspor v podobe výplaty úrokov  </w:t>
      </w:r>
      <w:r w:rsidRPr="00165B39">
        <w:rPr>
          <w:rFonts w:ascii="Times New Roman" w:hAnsi="Times New Roman"/>
          <w:color w:val="000000"/>
        </w:rPr>
        <w:t>(</w:t>
      </w:r>
      <w:r w:rsidRPr="00165B39">
        <w:rPr>
          <w:rFonts w:ascii="Times New Roman" w:hAnsi="Times New Roman"/>
        </w:rPr>
        <w:t xml:space="preserve">Mimoriadne vydanie </w:t>
      </w:r>
      <w:r w:rsidRPr="00165B39">
        <w:rPr>
          <w:rFonts w:ascii="Times New Roman" w:hAnsi="Times New Roman"/>
          <w:color w:val="000000"/>
        </w:rPr>
        <w:t>Ú.v.</w:t>
      </w:r>
      <w:r w:rsidRPr="00165B39">
        <w:rPr>
          <w:rFonts w:ascii="Times New Roman" w:hAnsi="Times New Roman"/>
          <w:i/>
          <w:iCs/>
          <w:color w:val="000000"/>
        </w:rPr>
        <w:t xml:space="preserve"> </w:t>
      </w:r>
      <w:r w:rsidRPr="00165B39">
        <w:rPr>
          <w:rFonts w:ascii="Times New Roman" w:hAnsi="Times New Roman"/>
        </w:rPr>
        <w:t>EÚ, kap.  9/ zv. 1) v platnom znení,</w:t>
      </w:r>
    </w:p>
    <w:p w:rsidR="004F4B99" w:rsidRPr="00165B39" w:rsidP="004F4B99">
      <w:pPr>
        <w:numPr>
          <w:numId w:val="13"/>
        </w:numPr>
        <w:bidi w:val="0"/>
        <w:adjustRightInd w:val="0"/>
        <w:spacing w:after="120"/>
        <w:jc w:val="both"/>
        <w:rPr>
          <w:rFonts w:ascii="Times New Roman" w:hAnsi="Times New Roman"/>
        </w:rPr>
      </w:pPr>
      <w:r w:rsidRPr="00165B39">
        <w:rPr>
          <w:rFonts w:ascii="Times New Roman" w:hAnsi="Times New Roman"/>
          <w:bCs/>
        </w:rPr>
        <w:t xml:space="preserve">smernica Rady </w:t>
      </w:r>
      <w:r w:rsidRPr="00165B39">
        <w:rPr>
          <w:rFonts w:ascii="Times New Roman" w:hAnsi="Times New Roman"/>
          <w:bCs/>
          <w:u w:val="single"/>
        </w:rPr>
        <w:t>2003/49/ES</w:t>
      </w:r>
      <w:r w:rsidRPr="00165B39">
        <w:rPr>
          <w:rFonts w:ascii="Times New Roman" w:hAnsi="Times New Roman"/>
          <w:bCs/>
        </w:rPr>
        <w:t xml:space="preserve"> z 3. júna 2003 o spoločnom systéme zdaňovania uplatňovanom na výplaty úrokov a licenčných poplatkov medzi združenými spoločnosťami rôznych členských štátov  </w:t>
      </w:r>
      <w:r w:rsidRPr="00165B39">
        <w:rPr>
          <w:rFonts w:ascii="Times New Roman" w:hAnsi="Times New Roman"/>
          <w:color w:val="000000"/>
        </w:rPr>
        <w:t>(</w:t>
      </w:r>
      <w:r w:rsidRPr="00165B39">
        <w:rPr>
          <w:rFonts w:ascii="Times New Roman" w:hAnsi="Times New Roman"/>
        </w:rPr>
        <w:t xml:space="preserve">Mimoriadne vydanie </w:t>
      </w:r>
      <w:r w:rsidRPr="00165B39">
        <w:rPr>
          <w:rFonts w:ascii="Times New Roman" w:hAnsi="Times New Roman"/>
          <w:color w:val="000000"/>
        </w:rPr>
        <w:t>Ú.v.</w:t>
      </w:r>
      <w:r w:rsidRPr="00165B39">
        <w:rPr>
          <w:rFonts w:ascii="Times New Roman" w:hAnsi="Times New Roman"/>
          <w:i/>
          <w:iCs/>
          <w:color w:val="000000"/>
        </w:rPr>
        <w:t xml:space="preserve"> </w:t>
      </w:r>
      <w:r w:rsidRPr="00165B39">
        <w:rPr>
          <w:rFonts w:ascii="Times New Roman" w:hAnsi="Times New Roman"/>
        </w:rPr>
        <w:t>EÚ, kap. 9/ zv. 1) v platnom znení,</w:t>
      </w:r>
    </w:p>
    <w:p w:rsidR="004F4B99" w:rsidRPr="00165B39" w:rsidP="004F4B99">
      <w:pPr>
        <w:numPr>
          <w:numId w:val="13"/>
        </w:numPr>
        <w:bidi w:val="0"/>
        <w:adjustRightInd w:val="0"/>
        <w:spacing w:after="120"/>
        <w:jc w:val="both"/>
        <w:rPr>
          <w:rFonts w:ascii="Times New Roman" w:hAnsi="Times New Roman"/>
        </w:rPr>
      </w:pPr>
      <w:r w:rsidRPr="00165B39">
        <w:rPr>
          <w:rFonts w:ascii="Times New Roman" w:hAnsi="Times New Roman"/>
        </w:rPr>
        <w:t xml:space="preserve">smernica Rady </w:t>
      </w:r>
      <w:r w:rsidRPr="00165B39">
        <w:rPr>
          <w:rFonts w:ascii="Times New Roman" w:hAnsi="Times New Roman"/>
          <w:u w:val="single"/>
        </w:rPr>
        <w:t>2008/7/ES</w:t>
      </w:r>
      <w:r w:rsidRPr="00165B39">
        <w:rPr>
          <w:rFonts w:ascii="Times New Roman" w:hAnsi="Times New Roman"/>
        </w:rPr>
        <w:t xml:space="preserve"> z 12. februára 2008 o nepriamych daniach z navyšovania kapitálu ( Ú. v. EÚ L 46, 21.2. 2008) v platnom znení,</w:t>
      </w:r>
    </w:p>
    <w:p w:rsidR="004F4B99" w:rsidRPr="00165B39" w:rsidP="004F4B99">
      <w:pPr>
        <w:numPr>
          <w:numId w:val="19"/>
        </w:numPr>
        <w:tabs>
          <w:tab w:val="clear" w:pos="360"/>
          <w:tab w:val="num" w:pos="851"/>
        </w:tabs>
        <w:bidi w:val="0"/>
        <w:spacing w:before="150" w:after="150"/>
        <w:ind w:left="851" w:hanging="425"/>
        <w:jc w:val="both"/>
        <w:rPr>
          <w:rFonts w:ascii="Times New Roman" w:hAnsi="Times New Roman"/>
        </w:rPr>
      </w:pPr>
      <w:r w:rsidRPr="00165B39">
        <w:rPr>
          <w:rFonts w:ascii="Times New Roman" w:hAnsi="Times New Roman"/>
        </w:rPr>
        <w:t xml:space="preserve">smernica Rady </w:t>
      </w:r>
      <w:r w:rsidRPr="00165B39">
        <w:rPr>
          <w:rFonts w:ascii="Times New Roman" w:hAnsi="Times New Roman"/>
          <w:u w:val="single"/>
        </w:rPr>
        <w:t>2009/133/ES</w:t>
      </w:r>
      <w:r w:rsidRPr="00165B39">
        <w:rPr>
          <w:rFonts w:ascii="Times New Roman" w:hAnsi="Times New Roman"/>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(Ú. v. EÚ L 310, 25.11. 2009) v platnom znení,</w:t>
      </w:r>
    </w:p>
    <w:p w:rsidR="004F4B99" w:rsidRPr="00165B39" w:rsidP="004F4B99">
      <w:pPr>
        <w:numPr>
          <w:numId w:val="19"/>
        </w:numPr>
        <w:tabs>
          <w:tab w:val="clear" w:pos="360"/>
          <w:tab w:val="num" w:pos="851"/>
        </w:tabs>
        <w:bidi w:val="0"/>
        <w:spacing w:before="150" w:after="150"/>
        <w:ind w:left="851" w:hanging="425"/>
        <w:jc w:val="both"/>
        <w:rPr>
          <w:rFonts w:ascii="Times New Roman" w:hAnsi="Times New Roman"/>
        </w:rPr>
      </w:pPr>
      <w:r w:rsidRPr="00165B39">
        <w:rPr>
          <w:rFonts w:ascii="Times New Roman" w:hAnsi="Times New Roman"/>
          <w:bCs/>
        </w:rPr>
        <w:t xml:space="preserve">nariadenie Európskeho parlamentu a Rady (ES) č. </w:t>
      </w:r>
      <w:r w:rsidRPr="00165B39">
        <w:rPr>
          <w:rFonts w:ascii="Times New Roman" w:hAnsi="Times New Roman"/>
          <w:bCs/>
          <w:u w:val="single"/>
        </w:rPr>
        <w:t>451/2008</w:t>
      </w:r>
      <w:r w:rsidRPr="00165B39">
        <w:rPr>
          <w:rFonts w:ascii="Times New Roman" w:hAnsi="Times New Roman"/>
          <w:bCs/>
        </w:rPr>
        <w:t xml:space="preserve"> z 23. apríla 2008, ktorým sa zavádza nová štatistická klasifikácia produktov podľa činností (CPA) a ktorým sa zrušuje nariadenie Rady (EHS) č. 3696/93 (</w:t>
      </w:r>
      <w:r w:rsidRPr="00165B39">
        <w:rPr>
          <w:rFonts w:ascii="Times New Roman" w:hAnsi="Times New Roman"/>
          <w:bCs/>
          <w:iCs/>
        </w:rPr>
        <w:t>Ú. v. EÚ L 145, 4.6.2008),</w:t>
      </w:r>
    </w:p>
    <w:p w:rsidR="004F4B99" w:rsidRPr="00165B39" w:rsidP="004F4B99">
      <w:pPr>
        <w:numPr>
          <w:numId w:val="35"/>
        </w:numPr>
        <w:tabs>
          <w:tab w:val="left" w:pos="851"/>
        </w:tabs>
        <w:bidi w:val="0"/>
        <w:ind w:left="867" w:hanging="357"/>
        <w:jc w:val="both"/>
        <w:rPr>
          <w:rFonts w:ascii="Times New Roman" w:hAnsi="Times New Roman"/>
        </w:rPr>
      </w:pPr>
      <w:r w:rsidRPr="00165B39">
        <w:rPr>
          <w:rFonts w:ascii="Times New Roman" w:hAnsi="Times New Roman"/>
        </w:rPr>
        <w:t xml:space="preserve">smernica Rady </w:t>
      </w:r>
      <w:r w:rsidRPr="00165B39">
        <w:rPr>
          <w:rFonts w:ascii="Times New Roman" w:hAnsi="Times New Roman"/>
          <w:u w:val="single"/>
        </w:rPr>
        <w:t>1986/635/EHS</w:t>
      </w:r>
      <w:r w:rsidRPr="00165B39">
        <w:rPr>
          <w:rFonts w:ascii="Times New Roman" w:hAnsi="Times New Roman"/>
        </w:rPr>
        <w:t xml:space="preserve"> z 8. decembra 1986 o ročnej účtovnej závierke a konsolidovaných účtoch bánk a iných finančných inštitúcií (Mimoriadne vydanie Ú. v. EÚ kap. 6/zv. 1) v platnom znení, </w:t>
      </w:r>
    </w:p>
    <w:p w:rsidR="004F4B99" w:rsidRPr="00165B39" w:rsidP="004F4B99">
      <w:pPr>
        <w:tabs>
          <w:tab w:val="left" w:pos="851"/>
        </w:tabs>
        <w:bidi w:val="0"/>
        <w:ind w:left="867"/>
        <w:jc w:val="both"/>
        <w:rPr>
          <w:rFonts w:ascii="Times New Roman" w:hAnsi="Times New Roman"/>
        </w:rPr>
      </w:pP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smernica Rady </w:t>
      </w:r>
      <w:r w:rsidRPr="000B2423">
        <w:rPr>
          <w:rFonts w:ascii="Times New Roman" w:hAnsi="Times New Roman"/>
          <w:u w:val="single"/>
        </w:rPr>
        <w:t>1991/674/EHS</w:t>
      </w:r>
      <w:r w:rsidRPr="00165B39">
        <w:rPr>
          <w:rFonts w:ascii="Times New Roman" w:hAnsi="Times New Roman"/>
        </w:rPr>
        <w:t xml:space="preserve"> z 19. decembra 1991 o ročných účtovných závierkach a konsolidovaných účtovných závierkach poisťovní (Mimoriadne vydanie Ú. v. EÚ kap. 6/zv. 1) v platnom znení, </w:t>
      </w: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smernica Európskeho parlamentu a Rady </w:t>
      </w:r>
      <w:r w:rsidRPr="000B2423">
        <w:rPr>
          <w:rFonts w:ascii="Times New Roman" w:hAnsi="Times New Roman"/>
          <w:u w:val="single"/>
        </w:rPr>
        <w:t>2003/41/ES</w:t>
      </w:r>
      <w:r w:rsidRPr="00165B39">
        <w:rPr>
          <w:rFonts w:ascii="Times New Roman" w:hAnsi="Times New Roman"/>
        </w:rPr>
        <w:t xml:space="preserve"> z 3. júna 2003 o činnostiach a dohľade nad inštitúciami zamestnaneckého dôchodkového zabezpečenia (Mimoriadne vydanie Ú. v. EÚ kap. 5/zv. 4) v platnom znení, </w:t>
      </w: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smernica Európskeho parlamentu a Rady </w:t>
      </w:r>
      <w:r w:rsidRPr="000B2423">
        <w:rPr>
          <w:rFonts w:ascii="Times New Roman" w:hAnsi="Times New Roman"/>
          <w:u w:val="single"/>
        </w:rPr>
        <w:t>2004/25/ES</w:t>
      </w:r>
      <w:r w:rsidRPr="00165B39">
        <w:rPr>
          <w:rFonts w:ascii="Times New Roman" w:hAnsi="Times New Roman"/>
        </w:rPr>
        <w:t xml:space="preserve"> z 21. apríla 2004 o ponukách na prevzatie (Mimoriadne vydanie Ú. v. EÚ kap. 17/zv. 2) v platnom znení,</w:t>
      </w: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smernica Európskeho parlamentu a Rady </w:t>
      </w:r>
      <w:r w:rsidRPr="000B2423">
        <w:rPr>
          <w:rFonts w:ascii="Times New Roman" w:hAnsi="Times New Roman"/>
          <w:u w:val="single"/>
        </w:rPr>
        <w:t>2006/43/ES</w:t>
      </w:r>
      <w:r w:rsidRPr="00165B39">
        <w:rPr>
          <w:rFonts w:ascii="Times New Roman" w:hAnsi="Times New Roman"/>
        </w:rPr>
        <w:t xml:space="preserve"> zo 17. mája 2006 o štatutárnom audite ročných účtovných závierok a konsolidovaných účtovných závierok, ktorou sa menia a dopĺňajú smernice Rady 78/660/EHS a 83/349/EHS a ktorou sa zrušuje smernica Rady 84/253/EHS (Ú. v. EÚ L 157, 9. 6. 2006), v platnom znení, </w:t>
      </w: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smernica Komisie </w:t>
      </w:r>
      <w:r w:rsidRPr="000B2423">
        <w:rPr>
          <w:rFonts w:ascii="Times New Roman" w:hAnsi="Times New Roman"/>
          <w:u w:val="single"/>
        </w:rPr>
        <w:t>2006/111/ES</w:t>
      </w:r>
      <w:r w:rsidRPr="00165B39">
        <w:rPr>
          <w:rFonts w:ascii="Times New Roman" w:hAnsi="Times New Roman"/>
        </w:rPr>
        <w:t xml:space="preserve"> zo 16. novembra 2006 o transparentnosti finančných vzťahov členských štátov a verejných podnikov a o finančnej transparentnosti v niektorých podnikoch (kodifikované znenie) (Ú. v. EÚ L 318, 17. 11. 2006), </w:t>
      </w: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smernica Európskeho parlamentu a Rady </w:t>
      </w:r>
      <w:r w:rsidRPr="000B2423">
        <w:rPr>
          <w:rFonts w:ascii="Times New Roman" w:hAnsi="Times New Roman"/>
          <w:u w:val="single"/>
        </w:rPr>
        <w:t>2009/101/ES</w:t>
      </w:r>
      <w:r w:rsidRPr="00165B39">
        <w:rPr>
          <w:rFonts w:ascii="Times New Roman" w:hAnsi="Times New Roman"/>
        </w:rPr>
        <w:t xml:space="preserve"> z 16. septembra 2009 o koordinácii záruk, ktoré sa od obchodných spoločností v zmysle článku 48 druhého odseku zmluvy vyžadujú v členských štátoch na ochranu záujmov spoločníkov a tretích osôb s cieľom zabezpečiť rovnocennosť týchto záruk (kodifikované znenie) (Ú. v. EÚ L 258, 1. 10. 2009) v platnom znení,</w:t>
      </w:r>
    </w:p>
    <w:p w:rsidR="004F4B99" w:rsidRPr="000B2423" w:rsidP="004F4B99">
      <w:pPr>
        <w:numPr>
          <w:numId w:val="35"/>
        </w:numPr>
        <w:tabs>
          <w:tab w:val="left" w:pos="851"/>
        </w:tabs>
        <w:bidi w:val="0"/>
        <w:spacing w:after="240"/>
        <w:ind w:left="867" w:hanging="357"/>
        <w:jc w:val="both"/>
        <w:rPr>
          <w:rFonts w:ascii="Times New Roman" w:hAnsi="Times New Roman"/>
        </w:rPr>
      </w:pPr>
      <w:r w:rsidRPr="00165B39">
        <w:rPr>
          <w:rFonts w:ascii="Times New Roman" w:hAnsi="Times New Roman"/>
        </w:rPr>
        <w:t xml:space="preserve">nariadenie Európskeho parlamentu a Rady (ES) č. </w:t>
      </w:r>
      <w:r w:rsidRPr="000B2423">
        <w:rPr>
          <w:rFonts w:ascii="Times New Roman" w:hAnsi="Times New Roman"/>
          <w:u w:val="single"/>
        </w:rPr>
        <w:t>1606/2002</w:t>
      </w:r>
      <w:r w:rsidRPr="00165B39">
        <w:rPr>
          <w:rFonts w:ascii="Times New Roman" w:hAnsi="Times New Roman"/>
        </w:rPr>
        <w:t xml:space="preserve"> z 19. júla 2002 o uplatňovaní medzinárodných účtovných noriem (Mimoriadne vydanie Ú. v. EÚ kap. 13/zv. 29) v platnom znení,</w:t>
      </w:r>
    </w:p>
    <w:p w:rsidR="004F4B99" w:rsidRPr="00165B39" w:rsidP="004F4B99">
      <w:pPr>
        <w:numPr>
          <w:numId w:val="35"/>
        </w:numPr>
        <w:tabs>
          <w:tab w:val="left" w:pos="851"/>
        </w:tabs>
        <w:bidi w:val="0"/>
        <w:ind w:left="867" w:hanging="357"/>
        <w:jc w:val="both"/>
        <w:rPr>
          <w:rFonts w:ascii="Times New Roman" w:hAnsi="Times New Roman"/>
        </w:rPr>
      </w:pPr>
      <w:r w:rsidRPr="00165B39">
        <w:rPr>
          <w:rFonts w:ascii="Times New Roman" w:hAnsi="Times New Roman"/>
        </w:rPr>
        <w:t xml:space="preserve">smernica Európskeho parlamentu a Rady </w:t>
      </w:r>
      <w:r w:rsidRPr="00A953BF">
        <w:rPr>
          <w:rFonts w:ascii="Times New Roman" w:hAnsi="Times New Roman"/>
          <w:u w:val="single"/>
        </w:rPr>
        <w:t>98/34/ES</w:t>
      </w:r>
      <w:r w:rsidRPr="00165B39">
        <w:rPr>
          <w:rFonts w:ascii="Times New Roman" w:hAnsi="Times New Roman"/>
        </w:rPr>
        <w:t xml:space="preserve"> z 22.júna 1998, ktorou sa stanovuje postup pri poskytovaní informácií v oblasti technických noriem a predpisov, ako aj pravidiel vzťahujúcich sa na služby informačnej spoločnosti (Mimoriadne vydanie Ú.v. EÚ kap. 13/ zv.20) v platnom znení.</w:t>
      </w:r>
    </w:p>
    <w:p w:rsidR="004F4B99" w:rsidRPr="00165B39" w:rsidP="004F4B99">
      <w:pPr>
        <w:bidi w:val="0"/>
        <w:adjustRightInd w:val="0"/>
        <w:spacing w:after="120"/>
        <w:ind w:left="870"/>
        <w:jc w:val="both"/>
        <w:rPr>
          <w:rFonts w:ascii="Times New Roman" w:hAnsi="Times New Roman"/>
        </w:rPr>
      </w:pPr>
    </w:p>
    <w:p w:rsidR="004F4B99" w:rsidRPr="00165B39" w:rsidP="004F4B99">
      <w:pPr>
        <w:numPr>
          <w:ilvl w:val="1"/>
          <w:numId w:val="10"/>
        </w:numPr>
        <w:bidi w:val="0"/>
        <w:spacing w:after="120"/>
        <w:rPr>
          <w:rFonts w:ascii="Times New Roman" w:hAnsi="Times New Roman"/>
          <w:lang w:eastAsia="cs-CZ"/>
        </w:rPr>
      </w:pPr>
      <w:r w:rsidRPr="00165B39">
        <w:rPr>
          <w:rFonts w:ascii="Times New Roman" w:hAnsi="Times New Roman"/>
          <w:lang w:eastAsia="cs-CZ"/>
        </w:rPr>
        <w:t>je obsiahnutá v judikatúre Súdneho dvora Európskej únie:</w:t>
      </w:r>
    </w:p>
    <w:p w:rsidR="004F4B99" w:rsidRPr="00165B39" w:rsidP="004F4B99">
      <w:pPr>
        <w:numPr>
          <w:numId w:val="14"/>
        </w:numPr>
        <w:bidi w:val="0"/>
        <w:spacing w:after="120"/>
        <w:jc w:val="both"/>
        <w:rPr>
          <w:rFonts w:ascii="Times New Roman" w:hAnsi="Times New Roman"/>
          <w:color w:val="000000"/>
        </w:rPr>
      </w:pPr>
      <w:r w:rsidRPr="00165B39">
        <w:rPr>
          <w:rFonts w:ascii="Times New Roman" w:hAnsi="Times New Roman"/>
          <w:color w:val="000000"/>
        </w:rPr>
        <w:t xml:space="preserve">rozhodnutie Súdneho dvora vo veci C - 28/95, </w:t>
      </w:r>
      <w:r w:rsidRPr="00165B39">
        <w:rPr>
          <w:rFonts w:ascii="Times New Roman" w:hAnsi="Times New Roman"/>
          <w:bCs/>
          <w:color w:val="000000"/>
        </w:rPr>
        <w:t>A.Leur-Bloem v. Inspecteur der Belastingdienst/Ondernemingen Amsterdam 2</w:t>
      </w:r>
      <w:r w:rsidRPr="00165B39">
        <w:rPr>
          <w:rFonts w:ascii="Times New Roman" w:hAnsi="Times New Roman"/>
          <w:color w:val="000000"/>
        </w:rPr>
        <w:t>,</w:t>
      </w:r>
      <w:r w:rsidRPr="00165B39">
        <w:rPr>
          <w:rFonts w:ascii="Times New Roman" w:hAnsi="Times New Roman"/>
        </w:rPr>
        <w:t xml:space="preserve"> [1997]</w:t>
      </w:r>
      <w:r w:rsidRPr="00165B39">
        <w:rPr>
          <w:rFonts w:ascii="Times New Roman" w:hAnsi="Times New Roman"/>
          <w:color w:val="000000"/>
        </w:rPr>
        <w:t>,</w:t>
      </w:r>
    </w:p>
    <w:p w:rsidR="004F4B99" w:rsidRPr="00165B39" w:rsidP="004F4B99">
      <w:pPr>
        <w:numPr>
          <w:numId w:val="15"/>
        </w:numPr>
        <w:bidi w:val="0"/>
        <w:spacing w:after="120"/>
        <w:jc w:val="both"/>
        <w:rPr>
          <w:rFonts w:ascii="Times New Roman" w:hAnsi="Times New Roman"/>
          <w:color w:val="000000"/>
        </w:rPr>
      </w:pPr>
      <w:r w:rsidRPr="00165B39">
        <w:rPr>
          <w:rFonts w:ascii="Times New Roman" w:hAnsi="Times New Roman"/>
          <w:color w:val="000000"/>
        </w:rPr>
        <w:t xml:space="preserve">rozhodnutie Súdneho dvora vo veci C - 43/2000, Andersen og Jensen ApS v. Skatteministeriet, [2002], </w:t>
      </w:r>
    </w:p>
    <w:p w:rsidR="004F4B99" w:rsidRPr="00165B39" w:rsidP="004F4B99">
      <w:pPr>
        <w:numPr>
          <w:numId w:val="16"/>
        </w:numPr>
        <w:bidi w:val="0"/>
        <w:spacing w:after="120"/>
        <w:jc w:val="both"/>
        <w:rPr>
          <w:rFonts w:ascii="Times New Roman" w:hAnsi="Times New Roman"/>
          <w:color w:val="000000"/>
        </w:rPr>
      </w:pPr>
      <w:r w:rsidRPr="00165B39">
        <w:rPr>
          <w:rFonts w:ascii="Times New Roman" w:hAnsi="Times New Roman"/>
          <w:color w:val="000000"/>
        </w:rPr>
        <w:t>rozhodnutie Súdneho dvora vo veci C - 522/04, Európska komisia v. Belgické kráľovstvo, [2007],</w:t>
      </w:r>
    </w:p>
    <w:p w:rsidR="004F4B99" w:rsidRPr="00165B39" w:rsidP="004F4B99">
      <w:pPr>
        <w:numPr>
          <w:numId w:val="17"/>
        </w:numPr>
        <w:bidi w:val="0"/>
        <w:spacing w:after="120"/>
        <w:jc w:val="both"/>
        <w:rPr>
          <w:rFonts w:ascii="Times New Roman" w:hAnsi="Times New Roman"/>
          <w:color w:val="000000"/>
          <w:lang w:val="cs-CZ"/>
        </w:rPr>
      </w:pPr>
      <w:r w:rsidRPr="00165B39">
        <w:rPr>
          <w:rFonts w:ascii="Times New Roman" w:hAnsi="Times New Roman"/>
          <w:color w:val="000000"/>
        </w:rPr>
        <w:t>rozhodnutie Súdneho dvora vo veci C - 294/99, Athinaï</w:t>
      </w:r>
      <w:r w:rsidRPr="00165B39">
        <w:rPr>
          <w:rFonts w:ascii="Times New Roman" w:hAnsi="Times New Roman"/>
          <w:color w:val="000000"/>
        </w:rPr>
        <w:t>ki Zythopoiia AE v. Elliniko Dimosio, [2001]</w:t>
      </w:r>
      <w:r w:rsidRPr="00165B39">
        <w:rPr>
          <w:rFonts w:ascii="Times New Roman" w:hAnsi="Times New Roman"/>
          <w:color w:val="000000"/>
          <w:lang w:val="cs-CZ"/>
        </w:rPr>
        <w:t>,</w:t>
      </w:r>
    </w:p>
    <w:p w:rsidR="004F4B99" w:rsidRPr="00165B39" w:rsidP="004F4B99">
      <w:pPr>
        <w:numPr>
          <w:numId w:val="17"/>
        </w:numPr>
        <w:bidi w:val="0"/>
        <w:spacing w:after="120"/>
        <w:jc w:val="both"/>
        <w:rPr>
          <w:rFonts w:ascii="Times New Roman" w:hAnsi="Times New Roman"/>
          <w:color w:val="000000"/>
          <w:lang w:val="cs-CZ"/>
        </w:rPr>
      </w:pPr>
      <w:r w:rsidRPr="00165B39">
        <w:rPr>
          <w:rFonts w:ascii="Times New Roman" w:hAnsi="Times New Roman"/>
        </w:rPr>
        <w:t xml:space="preserve">rozhodnutie Súdneho dvora vo veci C - 306/1999, Banque internationale pour l'Afrique occidentale SA (BIAO) v. Finanzamt für Großunternehmen in Hamburg, [2003], </w:t>
      </w:r>
    </w:p>
    <w:p w:rsidR="004F4B99" w:rsidRPr="00165B39" w:rsidP="004F4B99">
      <w:pPr>
        <w:numPr>
          <w:numId w:val="17"/>
        </w:numPr>
        <w:bidi w:val="0"/>
        <w:spacing w:after="120"/>
        <w:jc w:val="both"/>
        <w:rPr>
          <w:rFonts w:ascii="Times New Roman" w:hAnsi="Times New Roman"/>
          <w:color w:val="000000"/>
          <w:lang w:val="cs-CZ"/>
        </w:rPr>
      </w:pPr>
      <w:r w:rsidRPr="00165B39">
        <w:rPr>
          <w:rFonts w:ascii="Times New Roman" w:hAnsi="Times New Roman"/>
        </w:rPr>
        <w:t xml:space="preserve">rozhodnutie Súdneho dvora  vo veci C - 182/2000, Lutz GmbH a iní, [2002], </w:t>
      </w:r>
    </w:p>
    <w:p w:rsidR="004F4B99" w:rsidRPr="00165B39" w:rsidP="004F4B99">
      <w:pPr>
        <w:numPr>
          <w:numId w:val="17"/>
        </w:numPr>
        <w:bidi w:val="0"/>
        <w:spacing w:after="120"/>
        <w:jc w:val="both"/>
        <w:rPr>
          <w:rFonts w:ascii="Times New Roman" w:hAnsi="Times New Roman"/>
          <w:color w:val="000000"/>
          <w:lang w:val="cs-CZ"/>
        </w:rPr>
      </w:pPr>
      <w:r w:rsidRPr="00165B39">
        <w:rPr>
          <w:rFonts w:ascii="Times New Roman" w:hAnsi="Times New Roman"/>
        </w:rPr>
        <w:t>rozhodnutie Súdneho dvora vo veci C - 275/1997, DE + ES Bauunternehmung GmbH v. Finanzamt Bergheim, [1999],</w:t>
      </w:r>
    </w:p>
    <w:p w:rsidR="004F4B99" w:rsidRPr="00165B39" w:rsidP="004F4B99">
      <w:pPr>
        <w:numPr>
          <w:numId w:val="17"/>
        </w:numPr>
        <w:bidi w:val="0"/>
        <w:spacing w:after="120"/>
        <w:jc w:val="both"/>
        <w:rPr>
          <w:rFonts w:ascii="Times New Roman" w:hAnsi="Times New Roman"/>
          <w:color w:val="000000"/>
          <w:lang w:val="cs-CZ"/>
        </w:rPr>
      </w:pPr>
      <w:r w:rsidRPr="00165B39">
        <w:rPr>
          <w:rFonts w:ascii="Times New Roman" w:hAnsi="Times New Roman"/>
        </w:rPr>
        <w:t>rozhodnutie Súdneho dvora vo veci C - 272/1997, Európska komisia v. Spolková republika Nemecko, [1999]</w:t>
      </w:r>
      <w:r>
        <w:rPr>
          <w:rFonts w:ascii="Times New Roman" w:hAnsi="Times New Roman"/>
        </w:rPr>
        <w:t>,</w:t>
      </w:r>
    </w:p>
    <w:p w:rsidR="004F4B99" w:rsidRPr="00165B39" w:rsidP="004F4B99">
      <w:pPr>
        <w:numPr>
          <w:numId w:val="17"/>
        </w:numPr>
        <w:bidi w:val="0"/>
        <w:spacing w:after="120"/>
        <w:jc w:val="both"/>
        <w:rPr>
          <w:rFonts w:ascii="Times New Roman" w:hAnsi="Times New Roman"/>
          <w:lang w:eastAsia="cs-CZ"/>
        </w:rPr>
      </w:pPr>
      <w:r w:rsidRPr="00D734A4">
        <w:rPr>
          <w:rFonts w:ascii="Times New Roman" w:hAnsi="Times New Roman"/>
        </w:rPr>
        <w:t xml:space="preserve">rozsudok Súdneho dvora vo veci C - 374/06 z 13. decembra 2007 </w:t>
      </w:r>
      <w:r w:rsidRPr="00625479">
        <w:rPr>
          <w:rFonts w:ascii="Times New Roman" w:hAnsi="Times New Roman"/>
          <w:bCs/>
        </w:rPr>
        <w:t xml:space="preserve">BATIG </w:t>
      </w:r>
      <w:r w:rsidRPr="00625479">
        <w:rPr>
          <w:rFonts w:ascii="Times New Roman" w:hAnsi="Times New Roman"/>
        </w:rPr>
        <w:t>Gesellschaft</w:t>
      </w:r>
      <w:r w:rsidRPr="00625479">
        <w:rPr>
          <w:rFonts w:ascii="Times New Roman" w:hAnsi="Times New Roman"/>
          <w:bCs/>
        </w:rPr>
        <w:t xml:space="preserve"> für Beteiligungen mbH proti Hauptzollamt Bielefeld (Ú.v. EÚ C 51, 23.2.2008)</w:t>
      </w:r>
      <w:r w:rsidRPr="00165B39">
        <w:rPr>
          <w:rFonts w:ascii="Times New Roman" w:hAnsi="Times New Roman"/>
        </w:rPr>
        <w:t>.</w:t>
        <w:br/>
      </w:r>
    </w:p>
    <w:p w:rsidR="004F4B99" w:rsidRPr="00165B39" w:rsidP="004F4B99">
      <w:pPr>
        <w:numPr>
          <w:numId w:val="10"/>
        </w:numPr>
        <w:bidi w:val="0"/>
        <w:spacing w:after="120"/>
        <w:jc w:val="both"/>
        <w:rPr>
          <w:rFonts w:ascii="Times New Roman" w:hAnsi="Times New Roman"/>
          <w:b/>
          <w:bCs/>
        </w:rPr>
      </w:pPr>
      <w:r w:rsidRPr="00165B39">
        <w:rPr>
          <w:rFonts w:ascii="Times New Roman" w:hAnsi="Times New Roman"/>
          <w:b/>
          <w:bCs/>
        </w:rPr>
        <w:t>Záväzky Slovenskej republiky vo vzťahu k Európskej únii:</w:t>
      </w:r>
    </w:p>
    <w:p w:rsidR="004F4B99" w:rsidRPr="00165B39" w:rsidP="004F4B99">
      <w:pPr>
        <w:numPr>
          <w:numId w:val="18"/>
        </w:numPr>
        <w:tabs>
          <w:tab w:val="left" w:pos="425"/>
          <w:tab w:val="clear" w:pos="720"/>
        </w:tabs>
        <w:bidi w:val="0"/>
        <w:spacing w:after="120"/>
        <w:ind w:left="425" w:hanging="425"/>
        <w:jc w:val="both"/>
        <w:rPr>
          <w:rFonts w:ascii="Times New Roman" w:hAnsi="Times New Roman"/>
          <w:lang w:eastAsia="cs-CZ"/>
        </w:rPr>
      </w:pPr>
      <w:r w:rsidRPr="00165B39">
        <w:rPr>
          <w:rFonts w:ascii="Times New Roman" w:hAnsi="Times New Roman"/>
          <w:lang w:eastAsia="cs-CZ"/>
        </w:rPr>
        <w:t>Lehota na prebratie smernice 2013/34/EÚ je do 20. júla 2015.</w:t>
      </w:r>
    </w:p>
    <w:p w:rsidR="004F4B99" w:rsidRPr="00165B39" w:rsidP="004F4B99">
      <w:pPr>
        <w:numPr>
          <w:numId w:val="18"/>
        </w:numPr>
        <w:tabs>
          <w:tab w:val="left" w:pos="425"/>
          <w:tab w:val="clear" w:pos="720"/>
        </w:tabs>
        <w:bidi w:val="0"/>
        <w:spacing w:after="120"/>
        <w:ind w:left="425" w:hanging="425"/>
        <w:jc w:val="both"/>
        <w:rPr>
          <w:rFonts w:ascii="Times New Roman" w:hAnsi="Times New Roman"/>
          <w:lang w:eastAsia="cs-CZ"/>
        </w:rPr>
      </w:pPr>
      <w:r w:rsidRPr="00165B39">
        <w:rPr>
          <w:rFonts w:ascii="Times New Roman" w:hAnsi="Times New Roman"/>
          <w:lang w:eastAsia="cs-CZ"/>
        </w:rPr>
        <w:t>Lehota na predloženie návrhu právneho predpisu na rokovanie vlády podľa určenia gestorských ústredných orgánov štátnej správy zodpovedných za transpozíciu smerníc a vypracovanie tabuliek zhody k návrhom všeobecne záväzných právnych predpisov bola pre smernicu 2013/34/EÚ stanovená do 31. marca 2015.</w:t>
      </w:r>
    </w:p>
    <w:p w:rsidR="004F4B99" w:rsidP="004F4B99">
      <w:pPr>
        <w:numPr>
          <w:numId w:val="18"/>
        </w:numPr>
        <w:tabs>
          <w:tab w:val="left" w:pos="425"/>
          <w:tab w:val="clear" w:pos="720"/>
        </w:tabs>
        <w:bidi w:val="0"/>
        <w:spacing w:after="120"/>
        <w:ind w:left="425" w:hanging="425"/>
        <w:jc w:val="both"/>
        <w:rPr>
          <w:rFonts w:ascii="Times New Roman" w:hAnsi="Times New Roman"/>
          <w:lang w:eastAsia="cs-CZ"/>
        </w:rPr>
      </w:pPr>
      <w:r w:rsidRPr="00165B39">
        <w:rPr>
          <w:rFonts w:ascii="Times New Roman" w:hAnsi="Times New Roman"/>
          <w:lang w:eastAsia="cs-CZ"/>
        </w:rPr>
        <w:t>Proti SR nebolo začaté konanie o porušení Zmluvy o fungovaní Európskej únie podľa čl. 258 až 260.</w:t>
      </w:r>
    </w:p>
    <w:p w:rsidR="004F4B99" w:rsidP="004F4B99">
      <w:pPr>
        <w:numPr>
          <w:numId w:val="18"/>
        </w:numPr>
        <w:tabs>
          <w:tab w:val="left" w:pos="425"/>
          <w:tab w:val="clear" w:pos="720"/>
        </w:tabs>
        <w:bidi w:val="0"/>
        <w:spacing w:after="120"/>
        <w:ind w:left="425" w:hanging="425"/>
        <w:jc w:val="both"/>
        <w:rPr>
          <w:rFonts w:ascii="Times New Roman" w:hAnsi="Times New Roman"/>
          <w:lang w:eastAsia="cs-CZ"/>
        </w:rPr>
      </w:pPr>
      <w:r>
        <w:rPr>
          <w:rFonts w:ascii="Times New Roman" w:hAnsi="Times New Roman"/>
          <w:lang w:eastAsia="cs-CZ"/>
        </w:rPr>
        <w:t>Smernica 2013/34/EÚ bola prebratá do:</w:t>
      </w:r>
    </w:p>
    <w:p w:rsidR="004F4B99" w:rsidRPr="00097D68" w:rsidP="004F4B99">
      <w:pPr>
        <w:pStyle w:val="ListParagraph"/>
        <w:numPr>
          <w:numId w:val="17"/>
        </w:numPr>
        <w:tabs>
          <w:tab w:val="left" w:pos="425"/>
        </w:tabs>
        <w:bidi w:val="0"/>
        <w:spacing w:after="120"/>
        <w:jc w:val="both"/>
        <w:rPr>
          <w:rFonts w:ascii="Times New Roman" w:hAnsi="Times New Roman"/>
          <w:sz w:val="24"/>
          <w:szCs w:val="24"/>
          <w:lang w:eastAsia="cs-CZ"/>
        </w:rPr>
      </w:pPr>
      <w:r w:rsidRPr="00097D68">
        <w:rPr>
          <w:rFonts w:ascii="Times New Roman" w:hAnsi="Times New Roman"/>
          <w:sz w:val="24"/>
          <w:szCs w:val="24"/>
        </w:rPr>
        <w:t xml:space="preserve">zákona č. </w:t>
      </w:r>
      <w:r w:rsidRPr="00097D68">
        <w:rPr>
          <w:rFonts w:ascii="Times New Roman" w:hAnsi="Times New Roman"/>
          <w:sz w:val="24"/>
          <w:szCs w:val="24"/>
          <w:u w:val="single"/>
        </w:rPr>
        <w:t>431/2002</w:t>
      </w:r>
      <w:r w:rsidRPr="00097D68">
        <w:rPr>
          <w:rFonts w:ascii="Times New Roman" w:hAnsi="Times New Roman"/>
          <w:sz w:val="24"/>
          <w:szCs w:val="24"/>
        </w:rPr>
        <w:t xml:space="preserve"> Z. z. o účtovníctve v znení neskorších predpisov,</w:t>
      </w:r>
    </w:p>
    <w:p w:rsidR="004F4B99" w:rsidRPr="00FB0A8C"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sz w:val="24"/>
          <w:szCs w:val="24"/>
        </w:rPr>
        <w:t xml:space="preserve">opatrenia </w:t>
      </w:r>
      <w:r w:rsidRPr="00FB0A8C">
        <w:rPr>
          <w:rFonts w:ascii="Times New Roman" w:hAnsi="Times New Roman"/>
          <w:bCs/>
          <w:sz w:val="24"/>
          <w:szCs w:val="24"/>
        </w:rPr>
        <w:t xml:space="preserve">MF SR z 14. decembra 2005 č. </w:t>
      </w:r>
      <w:r w:rsidRPr="00FB0A8C">
        <w:rPr>
          <w:rFonts w:ascii="Times New Roman" w:hAnsi="Times New Roman"/>
          <w:bCs/>
          <w:sz w:val="24"/>
          <w:szCs w:val="24"/>
          <w:u w:val="single"/>
        </w:rPr>
        <w:t>MF/22933/2005-74</w:t>
      </w:r>
      <w:r w:rsidRPr="00FB0A8C">
        <w:rPr>
          <w:rFonts w:ascii="Times New Roman" w:hAnsi="Times New Roman"/>
          <w:bCs/>
          <w:sz w:val="24"/>
          <w:szCs w:val="24"/>
        </w:rPr>
        <w:t>, ktorým sa ustanovujú podrobnosti o usporiadaní a označovaní položiek individuálnej účtovnej závierky, obsahovom vymedzení týchto položiek a rozsahu údajov určených z účtovnej závierky na zverejnenie pre zdravotné poisťovne v znení neskorších predpisov,</w:t>
      </w:r>
    </w:p>
    <w:p w:rsidR="004F4B99" w:rsidRPr="00FB0A8C"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bCs/>
          <w:sz w:val="24"/>
          <w:szCs w:val="24"/>
        </w:rPr>
        <w:t xml:space="preserve">opatrenia Ministerstva financií Slovenskej republiky z 30. novembra 2005 č. </w:t>
      </w:r>
      <w:r w:rsidRPr="00FB0A8C">
        <w:rPr>
          <w:rFonts w:ascii="Times New Roman" w:hAnsi="Times New Roman"/>
          <w:bCs/>
          <w:sz w:val="24"/>
          <w:szCs w:val="24"/>
          <w:u w:val="single"/>
        </w:rPr>
        <w:t>MF/22930/2005-74</w:t>
      </w:r>
      <w:r w:rsidRPr="00FB0A8C">
        <w:rPr>
          <w:rFonts w:ascii="Times New Roman" w:hAnsi="Times New Roman"/>
          <w:bCs/>
          <w:sz w:val="24"/>
          <w:szCs w:val="24"/>
        </w:rPr>
        <w:t>, ktorým sa ustanovujú podrobnosti o postupoch účtovania a rámcovej účtovej  osnove pre zdravotné poisťovne v znení neskorších predpisov</w:t>
      </w:r>
    </w:p>
    <w:p w:rsidR="004F4B99"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sz w:val="24"/>
          <w:szCs w:val="24"/>
        </w:rPr>
        <w:t xml:space="preserve">opatrenia Ministerstva financií Slovenskej republiky č. </w:t>
      </w:r>
      <w:r w:rsidRPr="00FB0A8C">
        <w:rPr>
          <w:rFonts w:ascii="Times New Roman" w:hAnsi="Times New Roman"/>
          <w:sz w:val="24"/>
          <w:szCs w:val="24"/>
          <w:u w:val="single"/>
        </w:rPr>
        <w:t>MF/15464/2013-74</w:t>
      </w:r>
      <w:r w:rsidRPr="00FB0A8C">
        <w:rPr>
          <w:rFonts w:ascii="Times New Roman" w:hAnsi="Times New Roman"/>
          <w:sz w:val="24"/>
          <w:szCs w:val="24"/>
        </w:rPr>
        <w:t>, ktorým sa ustanovujú podrobnosti o usporiadaní, označovaní a obsahovom vymedzení položiek individuálnej účtovnej závierky a rozsahu údajov určených z individuálnej účtovnej závierky na zverejnenie pre mikro účtovné jednotky,</w:t>
      </w:r>
    </w:p>
    <w:p w:rsidR="004F4B99" w:rsidRPr="00D80451" w:rsidP="004F4B99">
      <w:pPr>
        <w:pStyle w:val="ListParagraph"/>
        <w:numPr>
          <w:numId w:val="17"/>
        </w:numPr>
        <w:tabs>
          <w:tab w:val="left" w:pos="425"/>
        </w:tabs>
        <w:bidi w:val="0"/>
        <w:spacing w:after="120"/>
        <w:jc w:val="both"/>
        <w:rPr>
          <w:rFonts w:ascii="Times New Roman" w:hAnsi="Times New Roman"/>
          <w:sz w:val="24"/>
          <w:szCs w:val="24"/>
          <w:lang w:eastAsia="cs-CZ"/>
        </w:rPr>
      </w:pPr>
      <w:r w:rsidRPr="00D80451">
        <w:rPr>
          <w:rFonts w:ascii="Times New Roman" w:hAnsi="Times New Roman"/>
          <w:sz w:val="24"/>
          <w:szCs w:val="24"/>
          <w:u w:val="single"/>
        </w:rPr>
        <w:t>návrhu opatrenia</w:t>
      </w:r>
      <w:r w:rsidRPr="00D80451">
        <w:rPr>
          <w:rFonts w:ascii="Times New Roman" w:hAnsi="Times New Roman"/>
          <w:sz w:val="24"/>
          <w:szCs w:val="24"/>
        </w:rPr>
        <w:t xml:space="preserve"> Ministerstva financií Slovenskej republiky č. </w:t>
      </w:r>
      <w:r w:rsidRPr="00D80451">
        <w:rPr>
          <w:rFonts w:ascii="Times New Roman" w:hAnsi="Times New Roman"/>
          <w:sz w:val="24"/>
          <w:szCs w:val="24"/>
          <w:u w:val="single"/>
        </w:rPr>
        <w:t>MF/18008/2014-74</w:t>
      </w:r>
      <w:r w:rsidRPr="00D80451">
        <w:rPr>
          <w:rFonts w:ascii="Times New Roman" w:hAnsi="Times New Roman"/>
          <w:sz w:val="24"/>
          <w:szCs w:val="24"/>
        </w:rPr>
        <w:t>, ktorým sa mení a dopĺňa opatrenie Ministerstva financií Slovenskej republiky č. MF/15464/2013-74, ktorým sa ustanovujú podrobnosti o usporiadaní, označovaní a obsahovom vymedzení položiek individuálnej účtovnej závierky a rozsahu údajov určených z individuálnej účtovnej závierky na zverejnenie pre mikro účtovné jednotky,</w:t>
      </w:r>
    </w:p>
    <w:p w:rsidR="004F4B99" w:rsidRPr="00FB0A8C"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color w:val="000000"/>
          <w:sz w:val="24"/>
          <w:szCs w:val="24"/>
        </w:rPr>
        <w:t xml:space="preserve">opatrenia </w:t>
      </w:r>
      <w:r w:rsidRPr="00FB0A8C">
        <w:rPr>
          <w:rFonts w:ascii="Times New Roman" w:hAnsi="Times New Roman"/>
          <w:bCs/>
          <w:color w:val="000000"/>
          <w:sz w:val="24"/>
          <w:szCs w:val="24"/>
        </w:rPr>
        <w:t xml:space="preserve">Ministerstva financií Slovenskej republiky zo 16. decembra 2002 č. </w:t>
      </w:r>
      <w:r w:rsidRPr="00FB0A8C">
        <w:rPr>
          <w:rFonts w:ascii="Times New Roman" w:hAnsi="Times New Roman"/>
          <w:bCs/>
          <w:color w:val="000000"/>
          <w:sz w:val="24"/>
          <w:szCs w:val="24"/>
          <w:u w:val="single"/>
        </w:rPr>
        <w:t>23054/2002-92</w:t>
      </w:r>
      <w:r w:rsidRPr="00FB0A8C">
        <w:rPr>
          <w:rFonts w:ascii="Times New Roman" w:hAnsi="Times New Roman"/>
          <w:bCs/>
          <w:color w:val="000000"/>
          <w:sz w:val="24"/>
          <w:szCs w:val="24"/>
        </w:rPr>
        <w:t xml:space="preserve">, </w:t>
      </w:r>
      <w:r w:rsidRPr="00FB0A8C">
        <w:rPr>
          <w:rFonts w:ascii="Times New Roman" w:hAnsi="Times New Roman"/>
          <w:bCs/>
          <w:sz w:val="24"/>
          <w:szCs w:val="24"/>
        </w:rPr>
        <w:t>ktorým sa ustanovujú podrobnosti o postupoch účtovania a rámcovej účtovej osnove pre podnikateľov účtujúcich v sústave podvojného účtovníctva v znení neskorších predpisov,</w:t>
      </w:r>
    </w:p>
    <w:p w:rsidR="004F4B99"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sz w:val="24"/>
          <w:szCs w:val="24"/>
        </w:rPr>
        <w:t xml:space="preserve">opatrenia Ministerstva financií Slovenskej republiky z 31. marca 2003 č. </w:t>
      </w:r>
      <w:r w:rsidRPr="00FB0A8C">
        <w:rPr>
          <w:rFonts w:ascii="Times New Roman" w:hAnsi="Times New Roman"/>
          <w:bCs/>
          <w:sz w:val="24"/>
          <w:szCs w:val="24"/>
          <w:u w:val="single"/>
        </w:rPr>
        <w:t>4455/2003-92</w:t>
      </w:r>
      <w:r w:rsidRPr="00FB0A8C">
        <w:rPr>
          <w:rFonts w:ascii="Times New Roman" w:hAnsi="Times New Roman"/>
          <w:sz w:val="24"/>
          <w:szCs w:val="24"/>
        </w:rPr>
        <w:t>, ktorým sa ustanovujú podrobnosti o usporiadaní, označovaní a obsahovom vymedzení položiek individuálnej účtovnej závierky a rozsahu údajov určených z individuálnej účtovnej závierky na zverejnenie pre podnikateľov účtujúcich v sústave podvojného účtovníctva v znení neskorších predpisov,</w:t>
      </w:r>
    </w:p>
    <w:p w:rsidR="004F4B99" w:rsidP="004F4B99">
      <w:pPr>
        <w:pStyle w:val="ListParagraph"/>
        <w:numPr>
          <w:numId w:val="17"/>
        </w:numPr>
        <w:tabs>
          <w:tab w:val="left" w:pos="425"/>
        </w:tabs>
        <w:bidi w:val="0"/>
        <w:spacing w:after="120"/>
        <w:jc w:val="both"/>
        <w:rPr>
          <w:rFonts w:ascii="Times New Roman" w:hAnsi="Times New Roman"/>
          <w:sz w:val="24"/>
          <w:szCs w:val="24"/>
          <w:lang w:eastAsia="cs-CZ"/>
        </w:rPr>
      </w:pPr>
      <w:r w:rsidRPr="00D80451">
        <w:rPr>
          <w:rFonts w:ascii="Times New Roman" w:hAnsi="Times New Roman"/>
          <w:sz w:val="24"/>
          <w:szCs w:val="24"/>
          <w:u w:val="single"/>
        </w:rPr>
        <w:t>návrhu opatrenia</w:t>
      </w:r>
      <w:r w:rsidRPr="00D80451">
        <w:rPr>
          <w:rFonts w:ascii="Times New Roman" w:hAnsi="Times New Roman"/>
          <w:sz w:val="24"/>
          <w:szCs w:val="24"/>
        </w:rPr>
        <w:t xml:space="preserve"> Ministerstva financií Slovenskej republiky č. </w:t>
      </w:r>
      <w:r w:rsidRPr="00D80451">
        <w:rPr>
          <w:rFonts w:ascii="Times New Roman" w:hAnsi="Times New Roman"/>
          <w:sz w:val="24"/>
          <w:szCs w:val="24"/>
          <w:u w:val="single"/>
        </w:rPr>
        <w:t>MF/16232/2014 -74</w:t>
      </w:r>
      <w:r w:rsidRPr="00D80451">
        <w:rPr>
          <w:rFonts w:ascii="Times New Roman" w:hAnsi="Times New Roman"/>
          <w:sz w:val="24"/>
          <w:szCs w:val="24"/>
        </w:rPr>
        <w:t>, ktorým sa mení a dopĺňa opatrenie Ministerstva financií Slovenskej republiky z 10. decembra 2008 č.MF/22273/2008-74,  ktorým sa ustanovujú podrobnosti o usporiadaní a označovaní položiek účtovnej závierky, obsahovom vymedzení týchto položiek a rozsahu údajov určených z účtovnej závierky na zverejnenie, o rámcovej účtovej osnove a postupoch účtovania pre Fond ochrany vkladov, Garančný fond investícií, inštitúcie elektronických peňazí a pobočky zahraničných finančných inštitúcií a o zmene niektorých opatrení v znení neskorších predpisov,</w:t>
      </w:r>
    </w:p>
    <w:p w:rsidR="004F4B99" w:rsidP="004F4B99">
      <w:pPr>
        <w:pStyle w:val="ListParagraph"/>
        <w:numPr>
          <w:numId w:val="17"/>
        </w:numPr>
        <w:tabs>
          <w:tab w:val="left" w:pos="425"/>
        </w:tabs>
        <w:bidi w:val="0"/>
        <w:spacing w:after="120"/>
        <w:jc w:val="both"/>
        <w:rPr>
          <w:rFonts w:ascii="Times New Roman" w:hAnsi="Times New Roman"/>
          <w:sz w:val="24"/>
          <w:szCs w:val="24"/>
          <w:lang w:eastAsia="cs-CZ"/>
        </w:rPr>
      </w:pPr>
      <w:r w:rsidRPr="00775010">
        <w:rPr>
          <w:rFonts w:ascii="Times New Roman" w:hAnsi="Times New Roman"/>
          <w:sz w:val="24"/>
          <w:szCs w:val="24"/>
          <w:u w:val="single"/>
        </w:rPr>
        <w:t>návrhu opatrenia</w:t>
      </w:r>
      <w:r w:rsidRPr="00775010">
        <w:rPr>
          <w:rFonts w:ascii="Times New Roman" w:hAnsi="Times New Roman"/>
          <w:sz w:val="24"/>
          <w:szCs w:val="24"/>
        </w:rPr>
        <w:t xml:space="preserve"> Ministerstva financií Slovenskej republiky č. </w:t>
      </w:r>
      <w:r w:rsidRPr="00775010">
        <w:rPr>
          <w:rFonts w:ascii="Times New Roman" w:hAnsi="Times New Roman"/>
          <w:sz w:val="24"/>
          <w:szCs w:val="24"/>
          <w:u w:val="single"/>
        </w:rPr>
        <w:t>MF/18007/2014-74</w:t>
      </w:r>
      <w:r w:rsidRPr="00775010">
        <w:rPr>
          <w:rFonts w:ascii="Times New Roman" w:hAnsi="Times New Roman"/>
          <w:sz w:val="24"/>
          <w:szCs w:val="24"/>
        </w:rPr>
        <w:t>, ktorým sa mení a dopĺňa opatrenie Ministerstva financií Slovenskej republiky z 13. decembra 2007 č. MF/25835/2007-74, ktorým sa ustanovujú podrobnosti o usporiadaní a označovaní položiek účtovnej závierky, obsahovom vymedzení týchto položiek a rozsahu údajov určených z účtovnej závierky na zverejnenie, o rámcovej účtovej osnove a postupoch účtovania pre podielové fondy, dôchodkové fondy a doplnkové dôchodkové fondy v znení neskorších predpisov,</w:t>
      </w:r>
    </w:p>
    <w:p w:rsidR="004F4B99" w:rsidRPr="00775010" w:rsidP="004F4B99">
      <w:pPr>
        <w:pStyle w:val="ListParagraph"/>
        <w:numPr>
          <w:numId w:val="17"/>
        </w:numPr>
        <w:bidi w:val="0"/>
        <w:jc w:val="both"/>
        <w:rPr>
          <w:rFonts w:ascii="Times New Roman" w:hAnsi="Times New Roman"/>
          <w:sz w:val="24"/>
          <w:szCs w:val="24"/>
        </w:rPr>
      </w:pPr>
      <w:r w:rsidRPr="00775010">
        <w:rPr>
          <w:rFonts w:ascii="Times New Roman" w:hAnsi="Times New Roman"/>
          <w:sz w:val="24"/>
          <w:szCs w:val="24"/>
          <w:u w:val="single"/>
        </w:rPr>
        <w:t>návrhu opatrenia</w:t>
      </w:r>
      <w:r w:rsidRPr="00775010">
        <w:rPr>
          <w:rFonts w:ascii="Times New Roman" w:hAnsi="Times New Roman"/>
          <w:sz w:val="24"/>
          <w:szCs w:val="24"/>
        </w:rPr>
        <w:t xml:space="preserve"> Ministerstva financií Slovenskej republiky č. </w:t>
      </w:r>
      <w:r w:rsidRPr="00775010">
        <w:rPr>
          <w:rFonts w:ascii="Times New Roman" w:hAnsi="Times New Roman"/>
          <w:sz w:val="24"/>
          <w:szCs w:val="24"/>
          <w:u w:val="single"/>
        </w:rPr>
        <w:t>MF/16228/2014-74</w:t>
      </w:r>
      <w:r w:rsidRPr="00775010">
        <w:rPr>
          <w:rFonts w:ascii="Times New Roman" w:hAnsi="Times New Roman"/>
          <w:sz w:val="24"/>
          <w:szCs w:val="24"/>
        </w:rPr>
        <w:t>, ktorým sa mení a dopĺňa opatrenie Ministerstva financií Slovenskej republiky z 18. decembra 2007 č. MF/26307/2007-74, ktorým sa ustanovujú podrobnosti o usporiadaní a označovaní položiek účtovnej závierky, obsahovom vymedzení týchto položiek a rozsahu údajov určených z účtovnej závierky na zverejnenie, o rámcovej účtovej osnove a postupoch účtovania pre obchodníkov s cennými papiermi a pobočky zahraničných obchodníkov s cennými papiermi a o zmene a doplnení niektorých opatrení v znení neskorších predpisov</w:t>
      </w:r>
      <w:r>
        <w:rPr>
          <w:rFonts w:ascii="Times New Roman" w:hAnsi="Times New Roman"/>
          <w:sz w:val="24"/>
          <w:szCs w:val="24"/>
        </w:rPr>
        <w:t>,</w:t>
      </w:r>
    </w:p>
    <w:p w:rsidR="004F4B99" w:rsidRPr="00FB0A8C"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sz w:val="24"/>
          <w:szCs w:val="24"/>
        </w:rPr>
        <w:t xml:space="preserve">zákona č. </w:t>
      </w:r>
      <w:r w:rsidRPr="00FB0A8C">
        <w:rPr>
          <w:rFonts w:ascii="Times New Roman" w:hAnsi="Times New Roman"/>
          <w:sz w:val="24"/>
          <w:szCs w:val="24"/>
          <w:u w:val="single"/>
        </w:rPr>
        <w:t>540/2007</w:t>
      </w:r>
      <w:r w:rsidRPr="00FB0A8C">
        <w:rPr>
          <w:rFonts w:ascii="Times New Roman" w:hAnsi="Times New Roman"/>
          <w:sz w:val="24"/>
          <w:szCs w:val="24"/>
        </w:rPr>
        <w:t xml:space="preserve"> Z. z. o audítoroch, audite a dohľade nad výkonom auditu a o zmene a doplnení zákona č. 431/2002 Z. z. o účtovníctve v znení neskorších predpisov,</w:t>
      </w:r>
    </w:p>
    <w:p w:rsidR="004F4B99" w:rsidRPr="00FB0A8C"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sz w:val="24"/>
          <w:szCs w:val="24"/>
        </w:rPr>
        <w:t xml:space="preserve">zákona č. </w:t>
      </w:r>
      <w:r w:rsidRPr="00FB0A8C">
        <w:rPr>
          <w:rFonts w:ascii="Times New Roman" w:hAnsi="Times New Roman"/>
          <w:sz w:val="24"/>
          <w:szCs w:val="24"/>
          <w:u w:val="single"/>
        </w:rPr>
        <w:t>513/1991</w:t>
      </w:r>
      <w:r w:rsidRPr="00FB0A8C">
        <w:rPr>
          <w:rFonts w:ascii="Times New Roman" w:hAnsi="Times New Roman"/>
          <w:sz w:val="24"/>
          <w:szCs w:val="24"/>
        </w:rPr>
        <w:t xml:space="preserve"> Zb. Obchodný zákonník v znení neskorších predpisov,</w:t>
      </w:r>
    </w:p>
    <w:p w:rsidR="004F4B99" w:rsidP="004F4B99">
      <w:pPr>
        <w:pStyle w:val="ListParagraph"/>
        <w:numPr>
          <w:numId w:val="17"/>
        </w:numPr>
        <w:tabs>
          <w:tab w:val="left" w:pos="425"/>
        </w:tabs>
        <w:bidi w:val="0"/>
        <w:spacing w:after="120"/>
        <w:jc w:val="both"/>
        <w:rPr>
          <w:rFonts w:ascii="Times New Roman" w:hAnsi="Times New Roman"/>
          <w:sz w:val="24"/>
          <w:szCs w:val="24"/>
          <w:lang w:eastAsia="cs-CZ"/>
        </w:rPr>
      </w:pPr>
      <w:r w:rsidRPr="00FB0A8C">
        <w:rPr>
          <w:rFonts w:ascii="Times New Roman" w:hAnsi="Times New Roman"/>
          <w:sz w:val="24"/>
          <w:szCs w:val="24"/>
        </w:rPr>
        <w:t xml:space="preserve">zákona č. </w:t>
      </w:r>
      <w:r w:rsidRPr="00FB0A8C">
        <w:rPr>
          <w:rFonts w:ascii="Times New Roman" w:hAnsi="Times New Roman"/>
          <w:sz w:val="24"/>
          <w:szCs w:val="24"/>
          <w:u w:val="single"/>
        </w:rPr>
        <w:t>530/2003</w:t>
      </w:r>
      <w:r w:rsidRPr="00FB0A8C">
        <w:rPr>
          <w:rFonts w:ascii="Times New Roman" w:hAnsi="Times New Roman"/>
          <w:sz w:val="24"/>
          <w:szCs w:val="24"/>
        </w:rPr>
        <w:t xml:space="preserve"> Z. z. o obchodnom registri a o zmene a doplnení niektorých zákonov v znení neskorších predpisov</w:t>
      </w:r>
      <w:r>
        <w:rPr>
          <w:rFonts w:ascii="Times New Roman" w:hAnsi="Times New Roman"/>
          <w:sz w:val="24"/>
          <w:szCs w:val="24"/>
        </w:rPr>
        <w:t>.</w:t>
      </w:r>
    </w:p>
    <w:p w:rsidR="004F4B99" w:rsidRPr="00FB0A8C" w:rsidP="004F4B99">
      <w:pPr>
        <w:pStyle w:val="ListParagraph"/>
        <w:tabs>
          <w:tab w:val="left" w:pos="425"/>
        </w:tabs>
        <w:bidi w:val="0"/>
        <w:spacing w:after="120"/>
        <w:ind w:left="870"/>
        <w:jc w:val="both"/>
        <w:rPr>
          <w:rFonts w:ascii="Times New Roman" w:hAnsi="Times New Roman"/>
          <w:sz w:val="24"/>
          <w:szCs w:val="24"/>
          <w:lang w:eastAsia="cs-CZ"/>
        </w:rPr>
      </w:pPr>
    </w:p>
    <w:p w:rsidR="004F4B99" w:rsidRPr="00D734A4" w:rsidP="004F4B99">
      <w:pPr>
        <w:tabs>
          <w:tab w:val="left" w:pos="425"/>
        </w:tabs>
        <w:bidi w:val="0"/>
        <w:spacing w:after="120"/>
        <w:ind w:left="425"/>
        <w:jc w:val="both"/>
        <w:rPr>
          <w:rFonts w:ascii="Times New Roman" w:hAnsi="Times New Roman"/>
          <w:lang w:eastAsia="cs-CZ"/>
        </w:rPr>
      </w:pPr>
      <w:r w:rsidRPr="00D734A4">
        <w:rPr>
          <w:rFonts w:ascii="Times New Roman" w:hAnsi="Times New Roman"/>
        </w:rPr>
        <w:t xml:space="preserve">Smernica 98/34/ES </w:t>
      </w:r>
      <w:r w:rsidRPr="00D734A4">
        <w:rPr>
          <w:rFonts w:ascii="Times New Roman" w:hAnsi="Times New Roman"/>
          <w:lang w:eastAsia="cs-CZ"/>
        </w:rPr>
        <w:t>bola</w:t>
      </w:r>
      <w:r w:rsidRPr="00D734A4">
        <w:rPr>
          <w:rFonts w:ascii="Times New Roman" w:hAnsi="Times New Roman"/>
        </w:rPr>
        <w:t xml:space="preserve"> prebratá do zákona č. 264/1999 Z.z. o technických požiadavkách na výrobky a o posudzovaní zhody a o zmene a doplnení niektorých zákonov v znení neskorších predpisov a do nariadenia vlády č. 453/2002 Z.z. o postupoch pri poskytovaní informácií v oblasti technických predpisov a technických noriem. </w:t>
      </w:r>
    </w:p>
    <w:p w:rsidR="004F4B99" w:rsidRPr="00165B39" w:rsidP="004F4B99">
      <w:pPr>
        <w:tabs>
          <w:tab w:val="left" w:pos="425"/>
        </w:tabs>
        <w:bidi w:val="0"/>
        <w:jc w:val="both"/>
        <w:rPr>
          <w:rFonts w:ascii="Times New Roman" w:hAnsi="Times New Roman"/>
          <w:lang w:eastAsia="cs-CZ"/>
        </w:rPr>
      </w:pPr>
    </w:p>
    <w:p w:rsidR="004F4B99" w:rsidRPr="00165B39" w:rsidP="004F4B99">
      <w:pPr>
        <w:numPr>
          <w:numId w:val="10"/>
        </w:numPr>
        <w:bidi w:val="0"/>
        <w:spacing w:after="120"/>
        <w:jc w:val="both"/>
        <w:rPr>
          <w:rFonts w:ascii="Times New Roman" w:hAnsi="Times New Roman"/>
          <w:b/>
          <w:bCs/>
        </w:rPr>
      </w:pPr>
      <w:r w:rsidRPr="00165B39">
        <w:rPr>
          <w:rFonts w:ascii="Times New Roman" w:hAnsi="Times New Roman"/>
          <w:b/>
          <w:bCs/>
        </w:rPr>
        <w:t>Stupeň zlučiteľnosti návrhu zákona s právom Európskej únie:</w:t>
      </w:r>
    </w:p>
    <w:p w:rsidR="004F4B99" w:rsidRPr="00165B39" w:rsidP="004F4B99">
      <w:pPr>
        <w:bidi w:val="0"/>
        <w:spacing w:after="120"/>
        <w:ind w:left="425"/>
        <w:jc w:val="both"/>
        <w:rPr>
          <w:rFonts w:ascii="Times New Roman" w:hAnsi="Times New Roman"/>
        </w:rPr>
      </w:pPr>
      <w:r w:rsidRPr="00165B39">
        <w:rPr>
          <w:rFonts w:ascii="Times New Roman" w:hAnsi="Times New Roman"/>
        </w:rPr>
        <w:t>Čl. I návrhu zákona (novela z</w:t>
      </w:r>
      <w:r>
        <w:rPr>
          <w:rFonts w:ascii="Times New Roman" w:hAnsi="Times New Roman"/>
        </w:rPr>
        <w:t xml:space="preserve">ákona </w:t>
      </w:r>
      <w:r w:rsidRPr="00165B39">
        <w:rPr>
          <w:rFonts w:ascii="Times New Roman" w:hAnsi="Times New Roman"/>
        </w:rPr>
        <w:t>č. 595/2003 Z.z.) so smernicami, ktoré sa týkajú oblasti daní je úplne zlučiteľný.</w:t>
      </w:r>
    </w:p>
    <w:p w:rsidR="004F4B99" w:rsidP="004F4B99">
      <w:pPr>
        <w:bidi w:val="0"/>
        <w:spacing w:after="240"/>
        <w:ind w:left="425"/>
        <w:jc w:val="both"/>
        <w:rPr>
          <w:rFonts w:ascii="Times New Roman" w:hAnsi="Times New Roman"/>
        </w:rPr>
      </w:pPr>
      <w:r w:rsidRPr="00165B39">
        <w:rPr>
          <w:rFonts w:ascii="Times New Roman" w:hAnsi="Times New Roman"/>
        </w:rPr>
        <w:t xml:space="preserve">Čl. III návrhu zákona (novela </w:t>
      </w:r>
      <w:r>
        <w:rPr>
          <w:rFonts w:ascii="Times New Roman" w:hAnsi="Times New Roman"/>
        </w:rPr>
        <w:t xml:space="preserve">zákona </w:t>
      </w:r>
      <w:r w:rsidRPr="00165B39">
        <w:rPr>
          <w:rFonts w:ascii="Times New Roman" w:hAnsi="Times New Roman"/>
        </w:rPr>
        <w:t>č. 431/2002 Z.z.) so smernicou 2013/34/EÚ je čiastočne zlučiteľný, s ostatnými smernicami z oblasti účtovníctva je úplne zlučiteľný.</w:t>
      </w:r>
    </w:p>
    <w:p w:rsidR="004F4B99" w:rsidRPr="00165B39" w:rsidP="004F4B99">
      <w:pPr>
        <w:bidi w:val="0"/>
        <w:spacing w:after="240"/>
        <w:ind w:left="425"/>
        <w:jc w:val="both"/>
        <w:rPr>
          <w:rFonts w:ascii="Times New Roman" w:hAnsi="Times New Roman"/>
        </w:rPr>
      </w:pPr>
      <w:r>
        <w:rPr>
          <w:rFonts w:ascii="Times New Roman" w:hAnsi="Times New Roman"/>
        </w:rPr>
        <w:t>Čl. V návrhu zákona (novela zákona č. 289/2008 Z.z.) so smernicou 98/34/ES je úplne zlučiteľný.</w:t>
      </w:r>
    </w:p>
    <w:p w:rsidR="004F4B99" w:rsidRPr="00165B39" w:rsidP="004F4B99">
      <w:pPr>
        <w:numPr>
          <w:numId w:val="10"/>
        </w:numPr>
        <w:bidi w:val="0"/>
        <w:spacing w:after="120"/>
        <w:jc w:val="both"/>
        <w:rPr>
          <w:rFonts w:ascii="Times New Roman" w:hAnsi="Times New Roman"/>
          <w:b/>
          <w:bCs/>
        </w:rPr>
      </w:pPr>
      <w:r w:rsidRPr="00165B39">
        <w:rPr>
          <w:rFonts w:ascii="Times New Roman" w:hAnsi="Times New Roman"/>
          <w:b/>
          <w:bCs/>
        </w:rPr>
        <w:t xml:space="preserve">Gestor a spolupracujúce rezorty: </w:t>
      </w:r>
    </w:p>
    <w:p w:rsidR="004F4B99" w:rsidP="004F4B99">
      <w:pPr>
        <w:bidi w:val="0"/>
        <w:spacing w:after="120"/>
        <w:ind w:left="360"/>
        <w:jc w:val="both"/>
        <w:rPr>
          <w:rFonts w:ascii="Times New Roman" w:hAnsi="Times New Roman"/>
        </w:rPr>
      </w:pPr>
      <w:r w:rsidRPr="00165B39">
        <w:rPr>
          <w:rFonts w:ascii="Times New Roman" w:hAnsi="Times New Roman"/>
        </w:rPr>
        <w:t xml:space="preserve"> Ministerstvo financií Slovenskej republiky</w:t>
      </w:r>
    </w:p>
    <w:p w:rsidR="004F4B99" w:rsidP="004F4B99">
      <w:pPr>
        <w:bidi w:val="0"/>
        <w:spacing w:after="120"/>
        <w:ind w:left="360"/>
        <w:jc w:val="both"/>
        <w:rPr>
          <w:rFonts w:ascii="Times New Roman" w:hAnsi="Times New Roman"/>
        </w:rPr>
      </w:pPr>
      <w:r>
        <w:rPr>
          <w:rFonts w:ascii="Times New Roman" w:hAnsi="Times New Roman"/>
        </w:rPr>
        <w:t xml:space="preserve"> Úrad pre normalizáciu, metrológiu a skúšobníctvo SR</w:t>
      </w:r>
      <w:r w:rsidRPr="00165B39">
        <w:rPr>
          <w:rFonts w:ascii="Times New Roman" w:hAnsi="Times New Roman"/>
        </w:rPr>
        <w:t>.</w:t>
      </w:r>
    </w:p>
    <w:p w:rsidR="004F4B99" w:rsidP="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9107A4">
      <w:pPr>
        <w:bidi w:val="0"/>
        <w:rPr>
          <w:rFonts w:ascii="Times New Roman" w:hAnsi="Times New Roman"/>
        </w:rPr>
      </w:pPr>
    </w:p>
    <w:p w:rsidR="009107A4">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pPr>
        <w:bidi w:val="0"/>
        <w:rPr>
          <w:rFonts w:ascii="Times New Roman" w:hAnsi="Times New Roman"/>
        </w:rPr>
      </w:pPr>
    </w:p>
    <w:p w:rsidR="004F4B99" w:rsidRPr="00E37FC6" w:rsidP="004F4B99">
      <w:pPr>
        <w:shd w:val="clear" w:color="auto" w:fill="FFFFFF"/>
        <w:bidi w:val="0"/>
        <w:rPr>
          <w:rFonts w:ascii="Times New Roman" w:hAnsi="Times New Roman"/>
          <w:b/>
          <w:u w:val="single"/>
        </w:rPr>
      </w:pPr>
      <w:r w:rsidRPr="00E37FC6">
        <w:rPr>
          <w:rFonts w:ascii="Times New Roman" w:hAnsi="Times New Roman"/>
          <w:b/>
          <w:u w:val="single"/>
        </w:rPr>
        <w:t xml:space="preserve">Osobitná časť </w:t>
      </w:r>
    </w:p>
    <w:p w:rsidR="004F4B99" w:rsidRPr="00E37FC6" w:rsidP="004F4B99">
      <w:pPr>
        <w:shd w:val="clear" w:color="auto" w:fill="FFFFFF"/>
        <w:bidi w:val="0"/>
        <w:rPr>
          <w:rFonts w:ascii="Times New Roman" w:hAnsi="Times New Roman"/>
        </w:rPr>
      </w:pPr>
    </w:p>
    <w:p w:rsidR="004F4B99" w:rsidRPr="00E37FC6" w:rsidP="004F4B99">
      <w:pPr>
        <w:shd w:val="clear" w:color="auto" w:fill="FFFFFF"/>
        <w:bidi w:val="0"/>
        <w:rPr>
          <w:rFonts w:ascii="Times New Roman" w:hAnsi="Times New Roman"/>
          <w:b/>
        </w:rPr>
      </w:pPr>
      <w:r w:rsidRPr="00E37FC6">
        <w:rPr>
          <w:rFonts w:ascii="Times New Roman" w:hAnsi="Times New Roman"/>
          <w:b/>
        </w:rPr>
        <w:t>K Čl. I</w:t>
      </w:r>
    </w:p>
    <w:p w:rsidR="004F4B99" w:rsidRPr="00E37FC6" w:rsidP="004F4B99">
      <w:pPr>
        <w:shd w:val="clear" w:color="auto" w:fill="FFFFFF"/>
        <w:bidi w:val="0"/>
        <w:rPr>
          <w:rFonts w:ascii="Times New Roman" w:hAnsi="Times New Roman"/>
          <w:b/>
        </w:rPr>
      </w:pPr>
    </w:p>
    <w:p w:rsidR="004F4B99" w:rsidRPr="00E37FC6" w:rsidP="004F4B99">
      <w:pPr>
        <w:bidi w:val="0"/>
        <w:jc w:val="both"/>
        <w:rPr>
          <w:rFonts w:ascii="Times New Roman" w:hAnsi="Times New Roman"/>
          <w:b/>
          <w:bCs/>
        </w:rPr>
      </w:pPr>
      <w:r w:rsidRPr="00E37FC6">
        <w:rPr>
          <w:rFonts w:ascii="Times New Roman" w:hAnsi="Times New Roman"/>
          <w:b/>
          <w:bCs/>
        </w:rPr>
        <w:t>K bodom 1, 37 a 8</w:t>
      </w:r>
      <w:r>
        <w:rPr>
          <w:rFonts w:ascii="Times New Roman" w:hAnsi="Times New Roman"/>
          <w:b/>
          <w:bCs/>
        </w:rPr>
        <w:t>7</w:t>
      </w:r>
      <w:r w:rsidRPr="00E37FC6">
        <w:rPr>
          <w:rFonts w:ascii="Times New Roman" w:hAnsi="Times New Roman"/>
          <w:b/>
          <w:bCs/>
        </w:rPr>
        <w:t xml:space="preserve"> - § 2 písm. i), § 19 ods. 2 písm. t) a príloha č. 6 </w:t>
      </w:r>
    </w:p>
    <w:p w:rsidR="004F4B99" w:rsidRPr="00E37FC6" w:rsidP="004F4B99">
      <w:pPr>
        <w:bidi w:val="0"/>
        <w:jc w:val="both"/>
        <w:rPr>
          <w:rFonts w:ascii="Times New Roman" w:hAnsi="Times New Roman"/>
        </w:rPr>
      </w:pPr>
      <w:r w:rsidRPr="00E37FC6">
        <w:rPr>
          <w:rFonts w:ascii="Times New Roman" w:hAnsi="Times New Roman"/>
        </w:rPr>
        <w:t xml:space="preserve">Podľa navrhovaných úprav v ustanovení § 2 písm. i) zákona sa spresňuje definícia daňového výdavku o primeranosť výšky uplatňovaných výdavkov v prípade výdavkov súvisiacich s využívaním majetku, ktorý má charakter osobnej potreby a s ním súvisiacich výdavkov, k dosiahnutým zdaniteľným príjmom. Majetok, ktorého sa to týka je vymedzený v navrhovanej prílohe č. 6 k zákonu. Ide o taký majetok, ako napr. kosačky, televízory, prístroje pre domácnosť (napr. mikrovlnné rúry), nábytok. Položkou 18 – Ostatné nezaradené sa rozumie majetok, ktorý sa využíva aj na osobnú potrebu a nie je uvedený pod niektorou z predchádzajúcich položiek, napr. autosedačky a pod. V nadväznosti na úpravu vykonanú v  § 2 písm. i) zákona sa dopĺňa § 19 ods. 2 o nové písm. t) zákona, v ktorom sa obmedzuje výška výdavkov na obstaranie, prevádzkovanie, opravy a udržiavanie a technické zhodnotenie majetku s charakterom osobnej potreby. Podľa tohto znenia si daňovník bude môcť uplatniť daňové výdavky súvisiace s predmetným majetkom vo výške 100 % len, ak tento bude využívaný výlučne na podnikanie. V opačnom prípade bude uplatňovať len 80 % z preukázateľných výdavkov súvisiacich s určeným majetkom avšak len za predpokladu, že majetok nevyužíva na podnikanie v oveľa menšej miere. Rozsah 80 % až 100 % sa neakceptuje. Napr., ak v hoteli majú počet zakúpených televízorov zodpovedajúci počtu izieb a ostatných spoločenských priestorov, je možné uznať plnú výšku výdavkov súvisiacich s týmto majetkom. </w:t>
      </w:r>
    </w:p>
    <w:p w:rsidR="004F4B99" w:rsidRPr="00E37FC6" w:rsidP="004F4B99">
      <w:pPr>
        <w:bidi w:val="0"/>
        <w:jc w:val="both"/>
        <w:rPr>
          <w:rFonts w:ascii="Times New Roman" w:hAnsi="Times New Roman"/>
        </w:rPr>
      </w:pPr>
      <w:r w:rsidRPr="00E37FC6">
        <w:rPr>
          <w:rFonts w:ascii="Times New Roman" w:hAnsi="Times New Roman"/>
        </w:rPr>
        <w:t>Výdavky na prevádzkovanie, opravy a udržiavanie motorového vozidla nekráti na výšku 80 % podľa § 19 ods. 2 písm. t) zákona zamestnávateľ, ktorý dáva zamestnancovi k dispozícií motorové vozidlo aj na súkromné účely, pričom takto daný nepeňažný príjem formou poskytnutia motorového vozidla zdaňuje podľa § 5 ods. 3 písm. a).</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Zároveň stále platí základná zásada pre možnosť uplatnenia daňového výdavku podľa § 2 zákona a to, že môže ísť len o majetok a s ním súvisiace výdavky, ktorý skutočne daňovníkovi slúži na dosiahnutie, zabezpečenie a udržanie zdaniteľných príjmov. </w:t>
      </w:r>
    </w:p>
    <w:p w:rsidR="004F4B99" w:rsidP="004F4B99">
      <w:pPr>
        <w:shd w:val="clear" w:color="auto" w:fill="FFFFFF"/>
        <w:bidi w:val="0"/>
        <w:jc w:val="both"/>
        <w:rPr>
          <w:rFonts w:ascii="Times New Roman" w:hAnsi="Times New Roman"/>
        </w:rPr>
      </w:pPr>
    </w:p>
    <w:p w:rsidR="004F4B99" w:rsidRPr="00991EA8" w:rsidP="004F4B99">
      <w:pPr>
        <w:shd w:val="clear" w:color="auto" w:fill="FFFFFF"/>
        <w:bidi w:val="0"/>
        <w:jc w:val="both"/>
        <w:rPr>
          <w:rFonts w:ascii="Times New Roman" w:hAnsi="Times New Roman"/>
          <w:i/>
          <w:u w:val="single"/>
        </w:rPr>
      </w:pPr>
      <w:r w:rsidRPr="00991EA8">
        <w:rPr>
          <w:rFonts w:ascii="Times New Roman" w:hAnsi="Times New Roman"/>
          <w:i/>
          <w:u w:val="single"/>
        </w:rPr>
        <w:t>Príklad 1:</w:t>
      </w:r>
    </w:p>
    <w:p w:rsidR="004F4B99" w:rsidRPr="00991EA8" w:rsidP="004F4B99">
      <w:pPr>
        <w:bidi w:val="0"/>
        <w:jc w:val="both"/>
        <w:rPr>
          <w:rFonts w:ascii="Times New Roman" w:hAnsi="Times New Roman"/>
          <w:i/>
        </w:rPr>
      </w:pPr>
      <w:r w:rsidRPr="00991EA8">
        <w:rPr>
          <w:rFonts w:ascii="Times New Roman" w:hAnsi="Times New Roman"/>
          <w:i/>
        </w:rPr>
        <w:t>Daňovník (právnická osoba) v januári v</w:t>
      </w:r>
      <w:r>
        <w:rPr>
          <w:rFonts w:ascii="Times New Roman" w:hAnsi="Times New Roman"/>
          <w:i/>
        </w:rPr>
        <w:t> </w:t>
      </w:r>
      <w:r w:rsidRPr="00991EA8">
        <w:rPr>
          <w:rFonts w:ascii="Times New Roman" w:hAnsi="Times New Roman"/>
          <w:i/>
        </w:rPr>
        <w:t>roku</w:t>
      </w:r>
      <w:r>
        <w:rPr>
          <w:rFonts w:ascii="Times New Roman" w:hAnsi="Times New Roman"/>
          <w:i/>
        </w:rPr>
        <w:t xml:space="preserve"> 2015</w:t>
      </w:r>
      <w:r w:rsidRPr="00991EA8">
        <w:rPr>
          <w:rFonts w:ascii="Times New Roman" w:hAnsi="Times New Roman"/>
          <w:i/>
        </w:rPr>
        <w:t xml:space="preserve"> obstará fotoaparát v hodnote 4 000 eur, ktorý používa aj na osobné potreby. Podľa navrhovanej úpravy výdavky na obstaranie, prevádzkovanie, opravy a udržiavanie a technické zhodnotenie majetku uvedeného v prílohe č. 6 možno uplatniť najviac do výšky 80 %. Fotoaparát </w:t>
      </w:r>
      <w:r>
        <w:rPr>
          <w:rFonts w:ascii="Times New Roman" w:hAnsi="Times New Roman"/>
          <w:i/>
        </w:rPr>
        <w:t xml:space="preserve">patrí do 1 odpisovej skupiny, a zároveň </w:t>
      </w:r>
      <w:r w:rsidRPr="00991EA8">
        <w:rPr>
          <w:rFonts w:ascii="Times New Roman" w:hAnsi="Times New Roman"/>
          <w:i/>
        </w:rPr>
        <w:t>je zaradený do zoznamu majetku (príloha č. 6), pri ktorom sa posudzujú všetky súvisiace výdavky podľa § 19 ods. 2 písm. t), a preto ročný daňový odpis sa vypočíta nasledovne:</w:t>
      </w:r>
    </w:p>
    <w:p w:rsidR="004F4B99" w:rsidRPr="00991EA8" w:rsidP="004F4B99">
      <w:pPr>
        <w:bidi w:val="0"/>
        <w:jc w:val="both"/>
        <w:rPr>
          <w:rFonts w:ascii="Times New Roman" w:hAnsi="Times New Roman"/>
          <w:i/>
        </w:rPr>
      </w:pPr>
    </w:p>
    <w:p w:rsidR="004F4B99" w:rsidRPr="00991EA8" w:rsidP="004F4B99">
      <w:pPr>
        <w:bidi w:val="0"/>
        <w:jc w:val="both"/>
        <w:rPr>
          <w:rFonts w:ascii="Times New Roman" w:hAnsi="Times New Roman"/>
          <w:i/>
        </w:rPr>
      </w:pPr>
      <w:r w:rsidRPr="00991EA8">
        <w:rPr>
          <w:rFonts w:ascii="Times New Roman" w:hAnsi="Times New Roman"/>
          <w:i/>
        </w:rPr>
        <w:t xml:space="preserve">4 000 </w:t>
      </w:r>
      <w:r>
        <w:rPr>
          <w:rFonts w:ascii="Times New Roman" w:hAnsi="Times New Roman"/>
          <w:i/>
        </w:rPr>
        <w:t>/</w:t>
      </w:r>
      <w:r w:rsidRPr="00991EA8">
        <w:rPr>
          <w:rFonts w:ascii="Times New Roman" w:hAnsi="Times New Roman"/>
          <w:i/>
        </w:rPr>
        <w:t xml:space="preserve"> 4 </w:t>
      </w:r>
      <w:r>
        <w:rPr>
          <w:rFonts w:ascii="Times New Roman" w:hAnsi="Times New Roman"/>
          <w:i/>
        </w:rPr>
        <w:t>x</w:t>
      </w:r>
      <w:r w:rsidRPr="00991EA8">
        <w:rPr>
          <w:rFonts w:ascii="Times New Roman" w:hAnsi="Times New Roman"/>
          <w:i/>
        </w:rPr>
        <w:t xml:space="preserve"> 80 % = 800 eur</w:t>
      </w:r>
    </w:p>
    <w:p w:rsidR="004F4B99" w:rsidRPr="00991EA8" w:rsidP="004F4B99">
      <w:pPr>
        <w:bidi w:val="0"/>
        <w:jc w:val="both"/>
        <w:rPr>
          <w:rFonts w:ascii="Times New Roman" w:hAnsi="Times New Roman"/>
          <w:i/>
        </w:rPr>
      </w:pPr>
    </w:p>
    <w:p w:rsidR="004F4B99" w:rsidRPr="00991EA8" w:rsidP="004F4B99">
      <w:pPr>
        <w:bidi w:val="0"/>
        <w:jc w:val="both"/>
        <w:rPr>
          <w:rFonts w:ascii="Times New Roman" w:hAnsi="Times New Roman"/>
          <w:i/>
        </w:rPr>
      </w:pPr>
      <w:r w:rsidRPr="00991EA8">
        <w:rPr>
          <w:rFonts w:ascii="Times New Roman" w:hAnsi="Times New Roman"/>
          <w:i/>
        </w:rPr>
        <w:t>Tabuľka (v eur):</w:t>
        <w:tab/>
      </w:r>
    </w:p>
    <w:tbl>
      <w:tblPr>
        <w:tblStyle w:val="TableNormal"/>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4"/>
        <w:gridCol w:w="1646"/>
        <w:gridCol w:w="3067"/>
        <w:gridCol w:w="2693"/>
      </w:tblGrid>
      <w:tr>
        <w:tblPrEx>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613"/>
        </w:trPr>
        <w:tc>
          <w:tcPr>
            <w:tcW w:w="67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rok</w:t>
            </w:r>
          </w:p>
        </w:tc>
        <w:tc>
          <w:tcPr>
            <w:tcW w:w="1646"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účtovný/daňový odpis</w:t>
            </w:r>
          </w:p>
        </w:tc>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krátenie daňových odpisov podľa §19 ods. 2 písm. t)</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úprava základu dane podľa §17 ods. 2</w:t>
            </w:r>
          </w:p>
        </w:tc>
      </w:tr>
      <w:tr>
        <w:tblPrEx>
          <w:tblW w:w="8080" w:type="dxa"/>
          <w:tblInd w:w="70" w:type="dxa"/>
          <w:tblCellMar>
            <w:left w:w="70" w:type="dxa"/>
            <w:right w:w="70" w:type="dxa"/>
          </w:tblCellMar>
          <w:tblLook w:val="04A0"/>
        </w:tblPrEx>
        <w:trPr>
          <w:trHeight w:hRule="exact" w:val="284"/>
        </w:trPr>
        <w:tc>
          <w:tcPr>
            <w:tcW w:w="67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2015</w:t>
            </w:r>
          </w:p>
        </w:tc>
        <w:tc>
          <w:tcPr>
            <w:tcW w:w="164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1 000</w:t>
            </w:r>
          </w:p>
        </w:tc>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800</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200</w:t>
            </w:r>
          </w:p>
        </w:tc>
      </w:tr>
      <w:tr>
        <w:tblPrEx>
          <w:tblW w:w="8080" w:type="dxa"/>
          <w:tblInd w:w="70" w:type="dxa"/>
          <w:tblCellMar>
            <w:left w:w="70" w:type="dxa"/>
            <w:right w:w="70" w:type="dxa"/>
          </w:tblCellMar>
          <w:tblLook w:val="04A0"/>
        </w:tblPrEx>
        <w:trPr>
          <w:trHeight w:hRule="exact" w:val="284"/>
        </w:trPr>
        <w:tc>
          <w:tcPr>
            <w:tcW w:w="67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2</w:t>
            </w:r>
            <w:r>
              <w:rPr>
                <w:rFonts w:ascii="Times New Roman" w:hAnsi="Times New Roman"/>
                <w:i/>
                <w:szCs w:val="22"/>
              </w:rPr>
              <w:t>016</w:t>
            </w:r>
          </w:p>
        </w:tc>
        <w:tc>
          <w:tcPr>
            <w:tcW w:w="164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1 000</w:t>
            </w:r>
          </w:p>
        </w:tc>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800</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200</w:t>
            </w:r>
          </w:p>
        </w:tc>
      </w:tr>
      <w:tr>
        <w:tblPrEx>
          <w:tblW w:w="8080" w:type="dxa"/>
          <w:tblInd w:w="70" w:type="dxa"/>
          <w:tblCellMar>
            <w:left w:w="70" w:type="dxa"/>
            <w:right w:w="70" w:type="dxa"/>
          </w:tblCellMar>
          <w:tblLook w:val="04A0"/>
        </w:tblPrEx>
        <w:trPr>
          <w:trHeight w:hRule="exact" w:val="284"/>
        </w:trPr>
        <w:tc>
          <w:tcPr>
            <w:tcW w:w="67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Pr>
                <w:rFonts w:ascii="Times New Roman" w:hAnsi="Times New Roman"/>
                <w:i/>
                <w:szCs w:val="22"/>
              </w:rPr>
              <w:t>2017</w:t>
            </w:r>
          </w:p>
        </w:tc>
        <w:tc>
          <w:tcPr>
            <w:tcW w:w="164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1 000</w:t>
            </w:r>
          </w:p>
        </w:tc>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800</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200</w:t>
            </w:r>
          </w:p>
        </w:tc>
      </w:tr>
      <w:tr>
        <w:tblPrEx>
          <w:tblW w:w="8080" w:type="dxa"/>
          <w:tblInd w:w="70" w:type="dxa"/>
          <w:tblCellMar>
            <w:left w:w="70" w:type="dxa"/>
            <w:right w:w="70" w:type="dxa"/>
          </w:tblCellMar>
          <w:tblLook w:val="04A0"/>
        </w:tblPrEx>
        <w:trPr>
          <w:trHeight w:hRule="exact" w:val="284"/>
        </w:trPr>
        <w:tc>
          <w:tcPr>
            <w:tcW w:w="67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Pr>
                <w:rFonts w:ascii="Times New Roman" w:hAnsi="Times New Roman"/>
                <w:i/>
                <w:szCs w:val="22"/>
              </w:rPr>
              <w:t>2018</w:t>
            </w:r>
          </w:p>
        </w:tc>
        <w:tc>
          <w:tcPr>
            <w:tcW w:w="1646"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1 000</w:t>
            </w:r>
          </w:p>
        </w:tc>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800</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200</w:t>
            </w:r>
          </w:p>
        </w:tc>
      </w:tr>
      <w:tr>
        <w:tblPrEx>
          <w:tblW w:w="8080" w:type="dxa"/>
          <w:tblInd w:w="70" w:type="dxa"/>
          <w:tblCellMar>
            <w:left w:w="70" w:type="dxa"/>
            <w:right w:w="70" w:type="dxa"/>
          </w:tblCellMar>
          <w:tblLook w:val="04A0"/>
        </w:tblPrEx>
        <w:trPr>
          <w:trHeight w:hRule="exact" w:val="284"/>
        </w:trPr>
        <w:tc>
          <w:tcPr>
            <w:tcW w:w="674"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91EA8" w:rsidP="004F4B99">
            <w:pPr>
              <w:bidi w:val="0"/>
              <w:jc w:val="center"/>
              <w:rPr>
                <w:rFonts w:ascii="Times New Roman" w:hAnsi="Times New Roman"/>
                <w:b/>
                <w:i/>
                <w:szCs w:val="22"/>
              </w:rPr>
            </w:pPr>
            <w:r w:rsidRPr="00991EA8">
              <w:rPr>
                <w:rFonts w:ascii="Times New Roman" w:hAnsi="Times New Roman"/>
                <w:b/>
                <w:i/>
                <w:szCs w:val="22"/>
              </w:rPr>
              <w:t>spolu</w:t>
            </w:r>
          </w:p>
        </w:tc>
        <w:tc>
          <w:tcPr>
            <w:tcW w:w="1646"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91EA8" w:rsidP="004F4B99">
            <w:pPr>
              <w:bidi w:val="0"/>
              <w:jc w:val="center"/>
              <w:rPr>
                <w:rFonts w:ascii="Times New Roman" w:hAnsi="Times New Roman"/>
                <w:b/>
                <w:i/>
                <w:szCs w:val="22"/>
              </w:rPr>
            </w:pPr>
            <w:r w:rsidRPr="00991EA8">
              <w:rPr>
                <w:rFonts w:ascii="Times New Roman" w:hAnsi="Times New Roman"/>
                <w:b/>
                <w:i/>
                <w:szCs w:val="22"/>
              </w:rPr>
              <w:t>4 000</w:t>
            </w:r>
          </w:p>
        </w:tc>
        <w:tc>
          <w:tcPr>
            <w:tcW w:w="3067"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b/>
                <w:i/>
                <w:szCs w:val="22"/>
              </w:rPr>
            </w:pPr>
            <w:r w:rsidRPr="00991EA8">
              <w:rPr>
                <w:rFonts w:ascii="Times New Roman" w:hAnsi="Times New Roman"/>
                <w:b/>
                <w:i/>
                <w:szCs w:val="22"/>
              </w:rPr>
              <w:t>3200</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b/>
                <w:i/>
                <w:szCs w:val="22"/>
              </w:rPr>
            </w:pPr>
            <w:r w:rsidRPr="00991EA8">
              <w:rPr>
                <w:rFonts w:ascii="Times New Roman" w:hAnsi="Times New Roman"/>
                <w:b/>
                <w:i/>
                <w:szCs w:val="22"/>
              </w:rPr>
              <w:t>800</w:t>
            </w:r>
          </w:p>
        </w:tc>
      </w:tr>
    </w:tbl>
    <w:p w:rsidR="004F4B99" w:rsidRPr="00E37FC6" w:rsidP="004F4B99">
      <w:pPr>
        <w:shd w:val="clear" w:color="auto" w:fill="FFFFFF"/>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2 - § 2 písm. j) a k)</w:t>
      </w:r>
    </w:p>
    <w:p w:rsidR="004F4B99" w:rsidRPr="00E37FC6" w:rsidP="004F4B99">
      <w:pPr>
        <w:bidi w:val="0"/>
        <w:jc w:val="both"/>
        <w:rPr>
          <w:rFonts w:ascii="Times New Roman" w:hAnsi="Times New Roman"/>
        </w:rPr>
      </w:pPr>
      <w:r w:rsidRPr="00E37FC6">
        <w:rPr>
          <w:rFonts w:ascii="Times New Roman" w:hAnsi="Times New Roman"/>
        </w:rPr>
        <w:t xml:space="preserve">Navrhovaná zmena je vykonaná v nadväznosti na zmenu účtovania nevýznamných súm výnosov a nákladov, ak ide o každoročne sa opakujúce plnenia, o ktorých sa už neúčtuje na účtoch časového rozlíšenia, ale ktoré sa zahŕňajú priamo do nákladov alebo výnosov daného účtovného obdobia, v ktorom sa o nich účtuje.  </w:t>
      </w:r>
    </w:p>
    <w:p w:rsidR="004F4B99" w:rsidRPr="00E37FC6" w:rsidP="004F4B99">
      <w:pPr>
        <w:shd w:val="clear" w:color="auto" w:fill="FFFFFF"/>
        <w:bidi w:val="0"/>
        <w:rPr>
          <w:rFonts w:ascii="Times New Roman" w:hAnsi="Times New Roman"/>
          <w:b/>
        </w:rPr>
      </w:pPr>
    </w:p>
    <w:p w:rsidR="004F4B99" w:rsidRPr="00E37FC6" w:rsidP="004F4B99">
      <w:pPr>
        <w:pStyle w:val="ListParagraph"/>
        <w:bidi w:val="0"/>
        <w:spacing w:after="0" w:line="240" w:lineRule="auto"/>
        <w:ind w:left="0"/>
        <w:jc w:val="both"/>
        <w:rPr>
          <w:rFonts w:ascii="Times New Roman" w:hAnsi="Times New Roman"/>
          <w:b/>
          <w:sz w:val="24"/>
          <w:szCs w:val="24"/>
        </w:rPr>
      </w:pPr>
      <w:r w:rsidRPr="00E37FC6">
        <w:rPr>
          <w:rFonts w:ascii="Times New Roman" w:hAnsi="Times New Roman"/>
          <w:b/>
          <w:sz w:val="24"/>
          <w:szCs w:val="24"/>
        </w:rPr>
        <w:t>K bodom 3 a 4 - § 2 písm. s) druhý až piaty bod</w:t>
      </w:r>
    </w:p>
    <w:p w:rsidR="004F4B99" w:rsidRPr="00E37FC6" w:rsidP="004F4B99">
      <w:pPr>
        <w:bidi w:val="0"/>
        <w:jc w:val="both"/>
        <w:rPr>
          <w:rFonts w:ascii="Times New Roman" w:hAnsi="Times New Roman"/>
        </w:rPr>
      </w:pPr>
      <w:r w:rsidRPr="00E37FC6">
        <w:rPr>
          <w:rFonts w:ascii="Times New Roman" w:hAnsi="Times New Roman"/>
        </w:rPr>
        <w:t>Úprava sa navrhuje v nadväznosti na zmenu spôsobu uplatňovania daňových odpisov podľa   § 27 a § 28 zákona, pričom dôjde k zjednoteniu podmienok odpisovania hmotného majetku, bez ohľadu na spôsob jeho obstarania. Rovnako bude postupovať aj nový nájomca, ak bol na neho postúpený predmet finančného prenájmu (akoby ho kúpil), to znamená,  že hmotný majetok obstaraný na základe finančného prenájmu u tohto nového nájomcu musí splniť podmienku doby trvania nájmu minimálne 60 % doby odpisovania. Na základe splnenia podmienky doby trvania nájmu nový nájomca zaradí predmet finančného prenájmu ako novoobstaraný majetok a odpisuje ho počas doby odpisovania ustanovenej v § 26 zákona. Osobitne sa ustanovuje doba trvania nájmu pozemku, na ktorom je umiestnená budova alebo stavba v závislosti od toho, v ktorej odpisovej skupine je zaradená táto budova alebo stavba ako aj doba trvania nájmu pozemku, na ktorom nie je umiestnená budova.</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5 - § 3 ods. 1 písm. b)</w:t>
      </w:r>
    </w:p>
    <w:p w:rsidR="004F4B99" w:rsidRPr="00E37FC6" w:rsidP="004F4B99">
      <w:pPr>
        <w:bidi w:val="0"/>
        <w:jc w:val="both"/>
        <w:rPr>
          <w:rFonts w:ascii="Times New Roman" w:hAnsi="Times New Roman"/>
        </w:rPr>
      </w:pPr>
      <w:r w:rsidRPr="00E37FC6">
        <w:rPr>
          <w:rFonts w:ascii="Times New Roman" w:hAnsi="Times New Roman"/>
        </w:rPr>
        <w:t>Ide o legislatívno-technickú úpravu.</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 xml:space="preserve">K bodu 6 - § 4 ods. 6, § 17 ods. 4 a § 43 ods. 7 </w:t>
      </w:r>
    </w:p>
    <w:p w:rsidR="004F4B99" w:rsidRPr="00E37FC6" w:rsidP="004F4B99">
      <w:pPr>
        <w:bidi w:val="0"/>
        <w:jc w:val="both"/>
        <w:rPr>
          <w:rFonts w:ascii="Times New Roman" w:hAnsi="Times New Roman"/>
        </w:rPr>
      </w:pPr>
      <w:r w:rsidRPr="00E37FC6">
        <w:rPr>
          <w:rFonts w:ascii="Times New Roman" w:hAnsi="Times New Roman"/>
        </w:rPr>
        <w:t>Ide o legislatívno-technickú úpravu.</w:t>
      </w:r>
    </w:p>
    <w:p w:rsidR="004F4B99" w:rsidRPr="00E37FC6" w:rsidP="004F4B99">
      <w:pPr>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7, 32, 75 až 77 a 8</w:t>
      </w:r>
      <w:r>
        <w:rPr>
          <w:rFonts w:ascii="Times New Roman" w:hAnsi="Times New Roman"/>
          <w:b/>
        </w:rPr>
        <w:t>7</w:t>
      </w:r>
      <w:r w:rsidRPr="00E37FC6">
        <w:rPr>
          <w:rFonts w:ascii="Times New Roman" w:hAnsi="Times New Roman"/>
          <w:b/>
        </w:rPr>
        <w:t xml:space="preserve"> - § 5 ods. 3 písm. d), § 19 ods.  2 písm. c) siedmy bod, § 35 ods. 3 písm. a) a ods. 6, § 39 ods. 2 písm. f) a príloha č. 7</w:t>
      </w:r>
    </w:p>
    <w:p w:rsidR="004F4B99" w:rsidRPr="00E37FC6" w:rsidP="004F4B99">
      <w:pPr>
        <w:bidi w:val="0"/>
        <w:jc w:val="both"/>
        <w:rPr>
          <w:rFonts w:ascii="Times New Roman" w:hAnsi="Times New Roman"/>
        </w:rPr>
      </w:pPr>
      <w:r w:rsidRPr="00E37FC6">
        <w:rPr>
          <w:rFonts w:ascii="Times New Roman" w:hAnsi="Times New Roman"/>
        </w:rPr>
        <w:t xml:space="preserve">Poskytovanie zamestnaneckých benefitov zamestnancom ich zamestnávateľom nad rámec dohodnutej mzdy prispieva k významnej motivácii zamestnancov k lepším výkonom, k ich spokojnosti s pracovnými podmienkami u zamestnávateľa a k posilneniu pozitívneho vzťahu zamestnanca k zamestnávateľovi. Zamestnanecké benefity vždy predstavujú pre zamestnanca peňažné alebo nepeňažné plnenie. Ak zamestnávateľ poskytne zamestnancovi nepeňažné plnenie (napr. wellness poukážky, pobytový zájazd, náklady na bývanie, školné pre dieťa), pri výpočte jeho zdaniteľnej mzdy má možnosť postupovať dvoma spôsobmi. </w:t>
      </w:r>
    </w:p>
    <w:p w:rsidR="004F4B99" w:rsidRPr="00E37FC6" w:rsidP="004F4B99">
      <w:pPr>
        <w:bidi w:val="0"/>
        <w:jc w:val="both"/>
        <w:rPr>
          <w:rFonts w:ascii="Times New Roman" w:hAnsi="Times New Roman"/>
          <w:b/>
        </w:rPr>
      </w:pPr>
    </w:p>
    <w:p w:rsidR="004F4B99" w:rsidRPr="00E37FC6" w:rsidP="004F4B99">
      <w:pPr>
        <w:bidi w:val="0"/>
        <w:jc w:val="both"/>
        <w:rPr>
          <w:rFonts w:ascii="Times New Roman" w:hAnsi="Times New Roman"/>
        </w:rPr>
      </w:pPr>
      <w:r w:rsidRPr="00E37FC6">
        <w:rPr>
          <w:rFonts w:ascii="Times New Roman" w:hAnsi="Times New Roman"/>
          <w:b/>
        </w:rPr>
        <w:t>1. metóda</w:t>
      </w:r>
    </w:p>
    <w:p w:rsidR="004F4B99" w:rsidRPr="00E37FC6" w:rsidP="004F4B99">
      <w:pPr>
        <w:bidi w:val="0"/>
        <w:jc w:val="both"/>
        <w:rPr>
          <w:rFonts w:ascii="Times New Roman" w:hAnsi="Times New Roman"/>
        </w:rPr>
      </w:pPr>
      <w:r w:rsidRPr="00E37FC6">
        <w:rPr>
          <w:rFonts w:ascii="Times New Roman" w:hAnsi="Times New Roman"/>
          <w:u w:val="single"/>
        </w:rPr>
        <w:t>Bez navyšovania nepeňažného príjmu</w:t>
      </w:r>
      <w:r w:rsidRPr="00E37FC6">
        <w:rPr>
          <w:rFonts w:ascii="Times New Roman" w:hAnsi="Times New Roman"/>
        </w:rPr>
        <w:t xml:space="preserve"> – zamestnávateľ postupuje spôsobom ako v prípade peňažného plnenia;  nepeňažné plnenie predstavuje pre zamestnanca zdaniteľný príjem zo závislej činnosti podľa § 5 zákona a je súčasťou zdaniteľnej mzdy zúčtovanej a vyplatenej zamestnancovi za kalendárny mesiac alebo zdaňovacie obdobie, znížený o sumy zrazené na poistné a príspevky, ktoré je povinný platiť zamestnanec ako aj o nezdaniteľnú časť základu dane na daňovníka [§ 11 ods. 2 písm. a) zákona], upravené v ustanovení § 35 zákona. Preddavok na daň zo zdaniteľnej mzdy zúčtovanej a vyplatenej zamestnancovi za kalendárny mesiac alebo zdaňovacie obdobie je 19 % z tej časti zdaniteľnej mzdy, ktorá nepresiahne 1/12 sumy 176,8-násobku platného životného minima vrátane a 25 % z tej časti zdaniteľnej mzdy, ktorá presiahne 1/12 sumy 176,8-násobku platného životného minima.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Pri použití tejto metódy sumy zrazené na poistné do zdravotnej poisťovne (ZP) a sumy zrazené na poistné a povinné príspevky do Sociálnej poisťovne (SP) a tiež preddavok na daň ako súčasť mzdových nákladov zamestnávateľa platí zamestnanec sám, t. j. čistý nepeňažný príjem zamestnanca je v tomto prípade nižší, ako je cena poskytovaného zamestnaneckého benefitu.</w:t>
      </w:r>
    </w:p>
    <w:p w:rsidR="004F4B99" w:rsidRPr="00E37FC6" w:rsidP="004F4B99">
      <w:pPr>
        <w:bidi w:val="0"/>
        <w:jc w:val="both"/>
        <w:rPr>
          <w:rFonts w:ascii="Times New Roman" w:hAnsi="Times New Roman"/>
        </w:rPr>
      </w:pPr>
    </w:p>
    <w:p w:rsidR="004F4B99" w:rsidRPr="00E37FC6" w:rsidP="004F4B99">
      <w:pPr>
        <w:bidi w:val="0"/>
        <w:rPr>
          <w:rFonts w:ascii="Times New Roman" w:hAnsi="Times New Roman"/>
          <w:i/>
          <w:u w:val="single"/>
        </w:rPr>
      </w:pPr>
      <w:r w:rsidRPr="00E37FC6">
        <w:rPr>
          <w:rFonts w:ascii="Times New Roman" w:hAnsi="Times New Roman"/>
          <w:i/>
          <w:u w:val="single"/>
        </w:rPr>
        <w:t xml:space="preserve">Príklad </w:t>
      </w:r>
      <w:r>
        <w:rPr>
          <w:rFonts w:ascii="Times New Roman" w:hAnsi="Times New Roman"/>
          <w:i/>
          <w:u w:val="single"/>
        </w:rPr>
        <w:t>2</w:t>
      </w:r>
      <w:r w:rsidRPr="00E37FC6">
        <w:rPr>
          <w:rFonts w:ascii="Times New Roman" w:hAnsi="Times New Roman"/>
          <w:i/>
          <w:u w:val="single"/>
        </w:rPr>
        <w:t>:</w:t>
      </w:r>
    </w:p>
    <w:p w:rsidR="004F4B99" w:rsidRPr="00E37FC6" w:rsidP="004F4B99">
      <w:pPr>
        <w:bidi w:val="0"/>
        <w:jc w:val="both"/>
        <w:rPr>
          <w:rFonts w:ascii="Times New Roman" w:hAnsi="Times New Roman"/>
          <w:i/>
        </w:rPr>
      </w:pPr>
      <w:r w:rsidRPr="00E37FC6">
        <w:rPr>
          <w:rFonts w:ascii="Times New Roman" w:hAnsi="Times New Roman"/>
          <w:i/>
        </w:rPr>
        <w:t>Zamestnávateľ poskytne svojmu zamestnancovi zájazd v hodnote 2 400 eur. Zamestnanec nemá v danom mesiaci iný príjem zo závislej činnosti.</w:t>
      </w:r>
    </w:p>
    <w:p w:rsidR="004F4B99" w:rsidRPr="00E37FC6" w:rsidP="004F4B99">
      <w:pPr>
        <w:bidi w:val="0"/>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Výpočet poistného na ZP a poistného a povinných príspevkov na SP</w:t>
      </w:r>
      <w:r w:rsidRPr="00E37FC6">
        <w:rPr>
          <w:rFonts w:ascii="Times New Roman" w:hAnsi="Times New Roman"/>
        </w:rPr>
        <w:t xml:space="preserve"> </w:t>
      </w:r>
      <w:r w:rsidRPr="00E37FC6">
        <w:rPr>
          <w:rFonts w:ascii="Times New Roman" w:hAnsi="Times New Roman"/>
          <w:i/>
          <w:u w:val="single"/>
        </w:rPr>
        <w:t>za zamestnanca</w:t>
      </w:r>
      <w:r w:rsidRPr="00E37FC6">
        <w:rPr>
          <w:rFonts w:ascii="Times New Roman" w:hAnsi="Times New Roman"/>
          <w:i/>
        </w:rPr>
        <w:t xml:space="preserve">     (zjednodušene)        </w:t>
      </w:r>
    </w:p>
    <w:p w:rsidR="004F4B99" w:rsidRPr="00E37FC6" w:rsidP="004F4B99">
      <w:pPr>
        <w:bidi w:val="0"/>
        <w:ind w:firstLine="708"/>
        <w:rPr>
          <w:rFonts w:ascii="Times New Roman" w:hAnsi="Times New Roman"/>
          <w:i/>
        </w:rPr>
      </w:pPr>
      <w:r w:rsidRPr="00E37FC6">
        <w:rPr>
          <w:rFonts w:ascii="Times New Roman" w:hAnsi="Times New Roman"/>
          <w:b/>
          <w:i/>
        </w:rPr>
        <w:tab/>
        <w:tab/>
        <w:tab/>
        <w:tab/>
      </w:r>
      <w:r w:rsidRPr="00E37FC6">
        <w:rPr>
          <w:rFonts w:ascii="Times New Roman" w:hAnsi="Times New Roman"/>
          <w:i/>
        </w:rPr>
        <w:t xml:space="preserve">13,4 % z 2 400 </w:t>
        <w:tab/>
        <w:tab/>
        <w:tab/>
        <w:t>= 321,60 eur</w:t>
        <w:tab/>
        <w:t xml:space="preserve">   </w:t>
      </w:r>
    </w:p>
    <w:p w:rsidR="004F4B99" w:rsidRPr="00E37FC6" w:rsidP="004F4B99">
      <w:pPr>
        <w:bidi w:val="0"/>
        <w:rPr>
          <w:rFonts w:ascii="Times New Roman" w:hAnsi="Times New Roman"/>
          <w:i/>
        </w:rPr>
      </w:pPr>
    </w:p>
    <w:p w:rsidR="004F4B99" w:rsidRPr="00E37FC6" w:rsidP="004F4B99">
      <w:pPr>
        <w:bidi w:val="0"/>
        <w:rPr>
          <w:rFonts w:ascii="Times New Roman" w:hAnsi="Times New Roman"/>
          <w:i/>
        </w:rPr>
      </w:pPr>
      <w:r w:rsidRPr="00E37FC6">
        <w:rPr>
          <w:rFonts w:ascii="Times New Roman" w:hAnsi="Times New Roman"/>
          <w:i/>
        </w:rPr>
        <w:t>Výpočet preddavku na daň</w:t>
        <w:tab/>
        <w:tab/>
        <w:t xml:space="preserve">19 % x (2 400 – 321,60)  </w:t>
        <w:tab/>
        <w:tab/>
        <w:t>= 394,89 eura</w:t>
      </w:r>
    </w:p>
    <w:p w:rsidR="004F4B99" w:rsidRPr="00E37FC6" w:rsidP="004F4B99">
      <w:pPr>
        <w:bidi w:val="0"/>
        <w:rPr>
          <w:rFonts w:ascii="Times New Roman" w:hAnsi="Times New Roman"/>
          <w:b/>
          <w:i/>
        </w:rPr>
      </w:pPr>
    </w:p>
    <w:p w:rsidR="004F4B99" w:rsidRPr="00E37FC6" w:rsidP="004F4B99">
      <w:pPr>
        <w:bidi w:val="0"/>
        <w:jc w:val="both"/>
        <w:rPr>
          <w:rFonts w:ascii="Times New Roman" w:hAnsi="Times New Roman"/>
          <w:b/>
          <w:i/>
        </w:rPr>
      </w:pPr>
      <w:r w:rsidRPr="00E37FC6">
        <w:rPr>
          <w:rFonts w:ascii="Times New Roman" w:hAnsi="Times New Roman"/>
          <w:b/>
          <w:i/>
        </w:rPr>
        <w:t xml:space="preserve">Nepeňažné plnenie </w:t>
      </w:r>
      <w:r w:rsidRPr="00E37FC6">
        <w:rPr>
          <w:rFonts w:ascii="Times New Roman" w:hAnsi="Times New Roman"/>
          <w:i/>
        </w:rPr>
        <w:t>po zrazení povinného poistného a príspevkov a preddavkov na daň</w:t>
      </w:r>
      <w:r w:rsidRPr="00E37FC6">
        <w:rPr>
          <w:rFonts w:ascii="Times New Roman" w:hAnsi="Times New Roman"/>
          <w:b/>
          <w:i/>
        </w:rPr>
        <w:t xml:space="preserve">            </w:t>
        <w:tab/>
        <w:tab/>
        <w:tab/>
        <w:tab/>
        <w:tab/>
      </w:r>
      <w:r w:rsidRPr="00E37FC6">
        <w:rPr>
          <w:rFonts w:ascii="Times New Roman" w:hAnsi="Times New Roman"/>
          <w:i/>
        </w:rPr>
        <w:t>2 400 – 321,60 – 394,89</w:t>
      </w:r>
      <w:r w:rsidRPr="00E37FC6">
        <w:rPr>
          <w:rFonts w:ascii="Times New Roman" w:hAnsi="Times New Roman"/>
          <w:b/>
          <w:i/>
        </w:rPr>
        <w:t xml:space="preserve"> </w:t>
        <w:tab/>
        <w:tab/>
        <w:t>= 1 683,51 eura</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 xml:space="preserve">Výpočet poistného na ZP a poistného a povinných príspevkov na SP </w:t>
      </w:r>
      <w:r w:rsidRPr="00E37FC6">
        <w:rPr>
          <w:rFonts w:ascii="Times New Roman" w:hAnsi="Times New Roman"/>
          <w:i/>
          <w:u w:val="single"/>
        </w:rPr>
        <w:t>za zamestnávateľa</w:t>
      </w:r>
      <w:r w:rsidRPr="00E37FC6">
        <w:rPr>
          <w:rFonts w:ascii="Times New Roman" w:hAnsi="Times New Roman"/>
          <w:i/>
        </w:rPr>
        <w:t xml:space="preserve"> (zjednodušene)        </w:t>
      </w:r>
    </w:p>
    <w:p w:rsidR="004F4B99" w:rsidRPr="00E37FC6" w:rsidP="004F4B99">
      <w:pPr>
        <w:bidi w:val="0"/>
        <w:jc w:val="both"/>
        <w:rPr>
          <w:rFonts w:ascii="Times New Roman" w:hAnsi="Times New Roman"/>
          <w:i/>
        </w:rPr>
      </w:pPr>
      <w:r w:rsidRPr="00E37FC6">
        <w:rPr>
          <w:rFonts w:ascii="Times New Roman" w:hAnsi="Times New Roman"/>
          <w:i/>
        </w:rPr>
        <w:tab/>
        <w:tab/>
        <w:tab/>
        <w:tab/>
        <w:tab/>
        <w:t xml:space="preserve">35,2 % z 2 400  </w:t>
        <w:tab/>
        <w:tab/>
        <w:tab/>
        <w:t>= 844,80 eur</w:t>
      </w:r>
    </w:p>
    <w:p w:rsidR="004F4B99" w:rsidRPr="00E37FC6" w:rsidP="004F4B99">
      <w:pPr>
        <w:bidi w:val="0"/>
        <w:jc w:val="both"/>
        <w:rPr>
          <w:rFonts w:ascii="Times New Roman" w:hAnsi="Times New Roman"/>
          <w:b/>
          <w:i/>
        </w:rPr>
      </w:pPr>
      <w:r w:rsidRPr="00E37FC6">
        <w:rPr>
          <w:rFonts w:ascii="Times New Roman" w:hAnsi="Times New Roman"/>
          <w:b/>
          <w:i/>
        </w:rPr>
        <w:t xml:space="preserve">Celkové náklady zamestnávateľa </w:t>
        <w:tab/>
      </w:r>
      <w:r w:rsidRPr="00E37FC6">
        <w:rPr>
          <w:rFonts w:ascii="Times New Roman" w:hAnsi="Times New Roman"/>
          <w:i/>
        </w:rPr>
        <w:t>2 400 + 844,80</w:t>
      </w:r>
      <w:r w:rsidRPr="00E37FC6">
        <w:rPr>
          <w:rFonts w:ascii="Times New Roman" w:hAnsi="Times New Roman"/>
          <w:b/>
          <w:i/>
        </w:rPr>
        <w:t xml:space="preserve"> </w:t>
        <w:tab/>
        <w:tab/>
        <w:tab/>
        <w:t>= 3 244,80 eura</w:t>
      </w:r>
    </w:p>
    <w:p w:rsidR="004F4B99" w:rsidRPr="00E37FC6" w:rsidP="004F4B99">
      <w:pPr>
        <w:bidi w:val="0"/>
        <w:jc w:val="both"/>
        <w:rPr>
          <w:rFonts w:ascii="Times New Roman" w:hAnsi="Times New Roman"/>
          <w:b/>
          <w:bCs/>
        </w:rPr>
      </w:pPr>
    </w:p>
    <w:p w:rsidR="004F4B99" w:rsidRPr="00E37FC6" w:rsidP="004F4B99">
      <w:pPr>
        <w:bidi w:val="0"/>
        <w:jc w:val="both"/>
        <w:rPr>
          <w:rFonts w:ascii="Times New Roman" w:hAnsi="Times New Roman"/>
        </w:rPr>
      </w:pPr>
      <w:r w:rsidRPr="00E37FC6">
        <w:rPr>
          <w:rFonts w:ascii="Times New Roman" w:hAnsi="Times New Roman"/>
          <w:b/>
          <w:bCs/>
        </w:rPr>
        <w:t>2. metóda</w:t>
      </w:r>
    </w:p>
    <w:p w:rsidR="004F4B99" w:rsidRPr="00E37FC6" w:rsidP="004F4B99">
      <w:pPr>
        <w:bidi w:val="0"/>
        <w:jc w:val="both"/>
        <w:rPr>
          <w:rFonts w:ascii="Times New Roman" w:hAnsi="Times New Roman"/>
        </w:rPr>
      </w:pPr>
      <w:r w:rsidRPr="00E37FC6">
        <w:rPr>
          <w:rFonts w:ascii="Times New Roman" w:hAnsi="Times New Roman"/>
          <w:u w:val="single"/>
        </w:rPr>
        <w:t>S využitím navýšenia nepeňažného plnenia</w:t>
      </w:r>
      <w:r w:rsidRPr="00E37FC6">
        <w:rPr>
          <w:rFonts w:ascii="Times New Roman" w:hAnsi="Times New Roman"/>
        </w:rPr>
        <w:t xml:space="preserve"> – nepeňažné plnenie, ktoré predstavuje pre zamestnanca zdaniteľný príjem zo závislej činnosti (§ 5 zákona), zamestnávateľ:</w:t>
      </w:r>
    </w:p>
    <w:p w:rsidR="004F4B99" w:rsidRPr="00E37FC6" w:rsidP="004F4B99">
      <w:pPr>
        <w:pStyle w:val="ListParagraph"/>
        <w:numPr>
          <w:numId w:val="38"/>
        </w:numPr>
        <w:bidi w:val="0"/>
        <w:jc w:val="both"/>
        <w:rPr>
          <w:rFonts w:ascii="Times New Roman" w:hAnsi="Times New Roman"/>
          <w:sz w:val="24"/>
          <w:szCs w:val="24"/>
        </w:rPr>
      </w:pPr>
      <w:r w:rsidRPr="00E37FC6">
        <w:rPr>
          <w:rFonts w:ascii="Times New Roman" w:hAnsi="Times New Roman"/>
          <w:sz w:val="24"/>
          <w:szCs w:val="24"/>
        </w:rPr>
        <w:t xml:space="preserve">najprv navýši o preddavok na daň, o povinné poistné, ktoré je povinný platiť zamestnanec podľa osobitných predpisov (§ 35 zákona). Takto navýšené nepeňažné plnenie (NNP) je súčasťou úhrnu zdaniteľných príjmov zo závislej činnosti zamestnanca za kalendárny mesiac alebo zdaňovacie obdobie. </w:t>
      </w:r>
    </w:p>
    <w:p w:rsidR="004F4B99" w:rsidRPr="00E37FC6" w:rsidP="004F4B99">
      <w:pPr>
        <w:pStyle w:val="ListParagraph"/>
        <w:numPr>
          <w:numId w:val="38"/>
        </w:numPr>
        <w:bidi w:val="0"/>
        <w:jc w:val="both"/>
        <w:rPr>
          <w:rFonts w:ascii="Times New Roman" w:hAnsi="Times New Roman"/>
          <w:sz w:val="24"/>
          <w:szCs w:val="24"/>
        </w:rPr>
      </w:pPr>
      <w:r w:rsidRPr="00E37FC6">
        <w:rPr>
          <w:rFonts w:ascii="Times New Roman" w:hAnsi="Times New Roman"/>
          <w:sz w:val="24"/>
          <w:szCs w:val="24"/>
        </w:rPr>
        <w:t xml:space="preserve">pri výpočte zdaniteľnej mzdy týmto spôsobom je zamestnávateľ povinný odviesť za zamestnanca sumy, ktoré je povinný platiť zamestnanec [§ 35 ods. 1 písm. a) zákona] a tiež preddavok na daň zo zdaniteľnej mzdy zúčtovanej a vyplatenej zamestnancovi za kalendárny mesiac alebo zdaňovacie obdobie. </w:t>
      </w:r>
    </w:p>
    <w:p w:rsidR="004F4B99" w:rsidRPr="00E37FC6" w:rsidP="004F4B99">
      <w:pPr>
        <w:bidi w:val="0"/>
        <w:jc w:val="both"/>
        <w:rPr>
          <w:rFonts w:ascii="Times New Roman" w:hAnsi="Times New Roman"/>
        </w:rPr>
      </w:pPr>
      <w:r w:rsidRPr="00E37FC6">
        <w:rPr>
          <w:rFonts w:ascii="Times New Roman" w:hAnsi="Times New Roman"/>
        </w:rPr>
        <w:t xml:space="preserve">Takto navýšené nepeňažné plnenie spolu s ostatnými príjmami zo závislej činnosti tvorí vymeriavací základ zamestnávateľa, z ktorého je zamestnávateľ povinný odviesť poistné a povinné príspevky. Ide o daňový výdavok podľa § 19 ods. 3 písm. i) zákona. </w:t>
      </w:r>
    </w:p>
    <w:p w:rsidR="004F4B99" w:rsidRPr="00E37FC6" w:rsidP="004F4B99">
      <w:pPr>
        <w:bidi w:val="0"/>
        <w:jc w:val="both"/>
        <w:rPr>
          <w:rFonts w:ascii="Times New Roman" w:hAnsi="Times New Roman"/>
          <w:b/>
        </w:rPr>
      </w:pPr>
    </w:p>
    <w:p w:rsidR="004F4B99" w:rsidRPr="00E37FC6" w:rsidP="004F4B99">
      <w:pPr>
        <w:bidi w:val="0"/>
        <w:jc w:val="both"/>
        <w:rPr>
          <w:rFonts w:ascii="Times New Roman" w:hAnsi="Times New Roman"/>
        </w:rPr>
      </w:pPr>
      <w:r w:rsidRPr="00E37FC6">
        <w:rPr>
          <w:rFonts w:ascii="Times New Roman" w:hAnsi="Times New Roman"/>
          <w:b/>
        </w:rPr>
        <w:t>Progresivita v zdaňovaní</w:t>
      </w:r>
      <w:r w:rsidRPr="00E37FC6">
        <w:rPr>
          <w:rFonts w:ascii="Times New Roman" w:hAnsi="Times New Roman"/>
        </w:rPr>
        <w:t xml:space="preserve"> podľa § 35 ods. 2 zákona sa uplatní rovnako aj v prípade výpočtu navýšeného nepeňažného príjmu zamestnanca; preddavok na daň je 19 % z tej časti zdaniteľnej mzdy, ktorá nepresiahne 1/12 sumy 176,8-násobku platného životného minima vrátane a 25 % z tej časti zdaniteľnej mzdy, ktorá presiahne 1/12 sumy 176,8-násobku platného životného minima.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lang w:eastAsia="en-US"/>
        </w:rPr>
      </w:pPr>
      <w:r w:rsidRPr="00E37FC6">
        <w:rPr>
          <w:rFonts w:ascii="Times New Roman" w:hAnsi="Times New Roman"/>
          <w:lang w:eastAsia="en-US"/>
        </w:rPr>
        <w:t xml:space="preserve">Na účely výpočtu navýšenia nepeňažného plnenia podľa § 5 ods. 3 písm. d) zákona zamestnávateľ najprv vypočíta sumu plnenia (P) rozhodujúcu na uplatnenie sadzby dane [§ 15 písm. a) zákona] podľa prílohy č. 7 zákona, ktorej prekročenie bude znamenať uplatnenie progresie vo výpočte preddavkov na daň, nasledovne:  </w:t>
      </w:r>
    </w:p>
    <w:p w:rsidR="004F4B99" w:rsidRPr="00E37FC6" w:rsidP="004F4B99">
      <w:pPr>
        <w:bidi w:val="0"/>
        <w:jc w:val="both"/>
        <w:rPr>
          <w:rFonts w:ascii="Times New Roman" w:hAnsi="Times New Roman"/>
        </w:rPr>
      </w:pPr>
    </w:p>
    <w:p w:rsidR="004F4B99" w:rsidRPr="00E37FC6" w:rsidP="004F4B99">
      <w:pPr>
        <w:bidi w:val="0"/>
        <w:ind w:left="708" w:firstLine="708"/>
        <w:rPr>
          <w:rFonts w:ascii="Times New Roman" w:hAnsi="Times New Roman"/>
          <w:b/>
          <w:lang w:eastAsia="en-US"/>
        </w:rPr>
      </w:pPr>
      <w:r w:rsidRPr="00E37FC6">
        <w:rPr>
          <w:rFonts w:ascii="Times New Roman" w:hAnsi="Times New Roman"/>
          <w:b/>
          <w:lang w:eastAsia="en-US"/>
        </w:rPr>
        <w:t>P = 1/12 zo sumy 176,8-násobku PŽM  x  (1 - SD</w:t>
      </w:r>
      <w:r w:rsidRPr="00E37FC6">
        <w:rPr>
          <w:rFonts w:ascii="Times New Roman" w:hAnsi="Times New Roman"/>
          <w:b/>
          <w:vertAlign w:val="subscript"/>
          <w:lang w:eastAsia="en-US"/>
        </w:rPr>
        <w:t>1</w:t>
      </w:r>
      <w:r w:rsidRPr="00E37FC6">
        <w:rPr>
          <w:rFonts w:ascii="Times New Roman" w:hAnsi="Times New Roman"/>
          <w:b/>
          <w:lang w:eastAsia="en-US"/>
        </w:rPr>
        <w:t>)</w:t>
      </w:r>
    </w:p>
    <w:p w:rsidR="004F4B99" w:rsidRPr="00E37FC6" w:rsidP="004F4B99">
      <w:pPr>
        <w:bidi w:val="0"/>
        <w:rPr>
          <w:rFonts w:ascii="Times New Roman" w:hAnsi="Times New Roman"/>
          <w:lang w:eastAsia="en-US"/>
        </w:rPr>
      </w:pPr>
      <w:r w:rsidRPr="00E37FC6">
        <w:rPr>
          <w:rFonts w:ascii="Times New Roman" w:hAnsi="Times New Roman"/>
          <w:lang w:eastAsia="en-US"/>
        </w:rPr>
        <w:t>kde</w:t>
      </w:r>
    </w:p>
    <w:p w:rsidR="004F4B99" w:rsidRPr="00E37FC6" w:rsidP="004F4B99">
      <w:pPr>
        <w:bidi w:val="0"/>
        <w:rPr>
          <w:rFonts w:ascii="Times New Roman" w:hAnsi="Times New Roman"/>
          <w:lang w:eastAsia="en-US"/>
        </w:rPr>
      </w:pPr>
    </w:p>
    <w:p w:rsidR="004F4B99" w:rsidRPr="00E37FC6" w:rsidP="004F4B99">
      <w:pPr>
        <w:bidi w:val="0"/>
        <w:jc w:val="both"/>
        <w:rPr>
          <w:rFonts w:ascii="Times New Roman" w:hAnsi="Times New Roman"/>
          <w:lang w:eastAsia="en-US"/>
        </w:rPr>
      </w:pPr>
      <w:r w:rsidRPr="00E37FC6">
        <w:rPr>
          <w:rFonts w:ascii="Times New Roman" w:hAnsi="Times New Roman"/>
          <w:lang w:eastAsia="en-US"/>
        </w:rPr>
        <w:t>P   je plnenie rozhodujúce na uplatnenie sadzby dane [§ 15 písm. a) zákona],</w:t>
      </w:r>
    </w:p>
    <w:p w:rsidR="004F4B99" w:rsidRPr="00E37FC6" w:rsidP="004F4B99">
      <w:pPr>
        <w:bidi w:val="0"/>
        <w:jc w:val="both"/>
        <w:rPr>
          <w:rFonts w:ascii="Times New Roman" w:hAnsi="Times New Roman"/>
          <w:lang w:eastAsia="en-US"/>
        </w:rPr>
      </w:pPr>
      <w:r w:rsidRPr="00E37FC6">
        <w:rPr>
          <w:rFonts w:ascii="Times New Roman" w:hAnsi="Times New Roman"/>
          <w:lang w:eastAsia="en-US"/>
        </w:rPr>
        <w:t>SD</w:t>
      </w:r>
      <w:r w:rsidRPr="00E37FC6">
        <w:rPr>
          <w:rFonts w:ascii="Times New Roman" w:hAnsi="Times New Roman"/>
          <w:vertAlign w:val="subscript"/>
          <w:lang w:eastAsia="en-US"/>
        </w:rPr>
        <w:t>1</w:t>
      </w:r>
      <w:r w:rsidRPr="00E37FC6">
        <w:rPr>
          <w:rFonts w:ascii="Times New Roman" w:hAnsi="Times New Roman"/>
          <w:lang w:eastAsia="en-US"/>
        </w:rPr>
        <w:t xml:space="preserve">  je sadzba dane podľa § 15 písm. a) prvého bodu zákona vyjadrená desatinným číslom,</w:t>
      </w:r>
    </w:p>
    <w:p w:rsidR="004F4B99" w:rsidRPr="00E37FC6" w:rsidP="004F4B99">
      <w:pPr>
        <w:autoSpaceDE w:val="0"/>
        <w:autoSpaceDN w:val="0"/>
        <w:bidi w:val="0"/>
        <w:adjustRightInd w:val="0"/>
        <w:jc w:val="both"/>
        <w:rPr>
          <w:rFonts w:ascii="Times New Roman" w:hAnsi="Times New Roman"/>
          <w:lang w:eastAsia="en-US"/>
        </w:rPr>
      </w:pPr>
      <w:r w:rsidRPr="00E37FC6">
        <w:rPr>
          <w:rFonts w:ascii="Times New Roman" w:hAnsi="Times New Roman"/>
          <w:lang w:eastAsia="en-US"/>
        </w:rPr>
        <w:t>PŽM je životné minimum platné k 1.1. príslušného zdaňovacieho obdobia.</w:t>
      </w:r>
    </w:p>
    <w:p w:rsidR="004F4B99" w:rsidRPr="00E37FC6" w:rsidP="004F4B99">
      <w:pPr>
        <w:autoSpaceDE w:val="0"/>
        <w:autoSpaceDN w:val="0"/>
        <w:bidi w:val="0"/>
        <w:adjustRightInd w:val="0"/>
        <w:rPr>
          <w:rFonts w:ascii="Times New Roman" w:hAnsi="Times New Roman"/>
          <w:lang w:eastAsia="en-US"/>
        </w:rPr>
      </w:pPr>
    </w:p>
    <w:p w:rsidR="004F4B99" w:rsidRPr="00E37FC6" w:rsidP="004F4B99">
      <w:pPr>
        <w:pStyle w:val="ListParagraph"/>
        <w:numPr>
          <w:numId w:val="39"/>
        </w:numPr>
        <w:autoSpaceDE w:val="0"/>
        <w:autoSpaceDN w:val="0"/>
        <w:bidi w:val="0"/>
        <w:adjustRightInd w:val="0"/>
        <w:jc w:val="both"/>
        <w:rPr>
          <w:rFonts w:ascii="Times New Roman" w:hAnsi="Times New Roman"/>
          <w:sz w:val="24"/>
          <w:szCs w:val="24"/>
        </w:rPr>
      </w:pPr>
      <w:r w:rsidRPr="00E37FC6">
        <w:rPr>
          <w:rFonts w:ascii="Times New Roman" w:hAnsi="Times New Roman"/>
          <w:sz w:val="24"/>
          <w:szCs w:val="24"/>
        </w:rPr>
        <w:t xml:space="preserve">176,8-násobok PŽM je hraničná hodnota, prekročením ktorej sa sadzba dane zo základu dane fyzickej osoby zisteného podľa § 4 zákona zvyšuje z 19 % na 25 %, </w:t>
      </w:r>
    </w:p>
    <w:p w:rsidR="004F4B99" w:rsidRPr="00E37FC6" w:rsidP="004F4B99">
      <w:pPr>
        <w:pStyle w:val="ListParagraph"/>
        <w:numPr>
          <w:numId w:val="39"/>
        </w:numPr>
        <w:autoSpaceDE w:val="0"/>
        <w:autoSpaceDN w:val="0"/>
        <w:bidi w:val="0"/>
        <w:adjustRightInd w:val="0"/>
        <w:jc w:val="both"/>
        <w:rPr>
          <w:rFonts w:ascii="Times New Roman" w:hAnsi="Times New Roman"/>
          <w:sz w:val="24"/>
          <w:szCs w:val="24"/>
        </w:rPr>
      </w:pPr>
      <w:r w:rsidRPr="00E37FC6">
        <w:rPr>
          <w:rFonts w:ascii="Times New Roman" w:hAnsi="Times New Roman"/>
          <w:sz w:val="24"/>
          <w:szCs w:val="24"/>
        </w:rPr>
        <w:t xml:space="preserve">1/12 zo sumy 176,8-násobku životného minima platného k 1.1.2015 je 2 918,53 eura </w:t>
      </w:r>
    </w:p>
    <w:p w:rsidR="004F4B99" w:rsidRPr="00E37FC6" w:rsidP="004F4B99">
      <w:pPr>
        <w:pStyle w:val="ListParagraph"/>
        <w:autoSpaceDE w:val="0"/>
        <w:autoSpaceDN w:val="0"/>
        <w:bidi w:val="0"/>
        <w:adjustRightInd w:val="0"/>
        <w:jc w:val="both"/>
        <w:rPr>
          <w:rFonts w:ascii="Times New Roman" w:hAnsi="Times New Roman"/>
          <w:sz w:val="24"/>
          <w:szCs w:val="24"/>
        </w:rPr>
      </w:pPr>
      <w:r w:rsidRPr="00E37FC6">
        <w:rPr>
          <w:rFonts w:ascii="Times New Roman" w:hAnsi="Times New Roman"/>
          <w:sz w:val="24"/>
          <w:szCs w:val="24"/>
        </w:rPr>
        <w:t>(35 022,31 / 12) = 2 918,53 eura,</w:t>
      </w:r>
    </w:p>
    <w:p w:rsidR="004F4B99" w:rsidRPr="00E37FC6" w:rsidP="004F4B99">
      <w:pPr>
        <w:pStyle w:val="ListParagraph"/>
        <w:numPr>
          <w:numId w:val="39"/>
        </w:numPr>
        <w:autoSpaceDE w:val="0"/>
        <w:autoSpaceDN w:val="0"/>
        <w:bidi w:val="0"/>
        <w:adjustRightInd w:val="0"/>
        <w:jc w:val="both"/>
        <w:rPr>
          <w:rFonts w:ascii="Times New Roman" w:hAnsi="Times New Roman"/>
          <w:sz w:val="24"/>
          <w:szCs w:val="24"/>
        </w:rPr>
      </w:pPr>
      <w:r w:rsidRPr="00E37FC6">
        <w:rPr>
          <w:rFonts w:ascii="Times New Roman" w:hAnsi="Times New Roman"/>
          <w:sz w:val="24"/>
          <w:szCs w:val="24"/>
        </w:rPr>
        <w:t xml:space="preserve">pre rok 2015 je suma plnenia (P) rovná 2 364,0093. </w:t>
      </w:r>
    </w:p>
    <w:p w:rsidR="004F4B99" w:rsidRPr="00E37FC6" w:rsidP="004F4B99">
      <w:pPr>
        <w:autoSpaceDE w:val="0"/>
        <w:autoSpaceDN w:val="0"/>
        <w:bidi w:val="0"/>
        <w:adjustRightInd w:val="0"/>
        <w:jc w:val="both"/>
        <w:rPr>
          <w:rFonts w:ascii="Times New Roman" w:hAnsi="Times New Roman"/>
        </w:rPr>
      </w:pPr>
      <w:r w:rsidRPr="00E37FC6">
        <w:rPr>
          <w:rFonts w:ascii="Times New Roman" w:hAnsi="Times New Roman"/>
        </w:rPr>
        <w:t xml:space="preserve">Ak poskytnutý nepeňažný príjem je v sume nižšej alebo rovnej ako 2 364,0093, potom navýšené nepeňažné plnenie (NNP) z tohto príjmu, ktoré tvorí základ dane, je hodnota nižšia alebo rovná 2 918,53 eur a pri výpočte NNP sa použije sadzba dane podľa § 15 písm. a) prvého bodu zákona (19 %). </w:t>
      </w:r>
    </w:p>
    <w:p w:rsidR="004F4B99" w:rsidRPr="00E37FC6" w:rsidP="004F4B99">
      <w:pPr>
        <w:autoSpaceDE w:val="0"/>
        <w:autoSpaceDN w:val="0"/>
        <w:bidi w:val="0"/>
        <w:adjustRightInd w:val="0"/>
        <w:jc w:val="both"/>
        <w:rPr>
          <w:rFonts w:ascii="Times New Roman" w:hAnsi="Times New Roman"/>
        </w:rPr>
      </w:pPr>
    </w:p>
    <w:p w:rsidR="004F4B99" w:rsidRPr="00E37FC6" w:rsidP="004F4B99">
      <w:pPr>
        <w:autoSpaceDE w:val="0"/>
        <w:autoSpaceDN w:val="0"/>
        <w:bidi w:val="0"/>
        <w:adjustRightInd w:val="0"/>
        <w:jc w:val="both"/>
        <w:rPr>
          <w:rFonts w:ascii="Times New Roman" w:hAnsi="Times New Roman"/>
        </w:rPr>
      </w:pPr>
      <w:r w:rsidRPr="00E37FC6">
        <w:rPr>
          <w:rFonts w:ascii="Times New Roman" w:hAnsi="Times New Roman"/>
        </w:rPr>
        <w:t xml:space="preserve">Ak zamestnávateľ poskytne nepeňažný príjem zamestnancovi vo vyššej sume ako 2 364,0093, potom na účely výpočtu NNP z tohto príjmu musí časť príjmu v sume 2 364,00 navýšiť o     19 % a zvyšnú časť príjmu v sume rozdielu nepeňažného príjmu a hodnoty plnenia (2 364,0093) z titulu daňovej progresie navýšiť o 25 %, t.j.  sadzbou dane podľa § 15 písm. a) druhého bodu zákona.   </w:t>
      </w:r>
    </w:p>
    <w:p w:rsidR="004F4B99" w:rsidRPr="00E37FC6" w:rsidP="004F4B99">
      <w:pPr>
        <w:autoSpaceDE w:val="0"/>
        <w:autoSpaceDN w:val="0"/>
        <w:bidi w:val="0"/>
        <w:adjustRightInd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 xml:space="preserve">1. Ak suma nepeňažného plnenia poskytnutého zamestnancovi </w:t>
      </w:r>
      <w:r w:rsidRPr="00E37FC6">
        <w:rPr>
          <w:rFonts w:ascii="Times New Roman" w:hAnsi="Times New Roman"/>
          <w:b/>
        </w:rPr>
        <w:t>je rovná alebo nižšia</w:t>
      </w:r>
      <w:r w:rsidRPr="00E37FC6">
        <w:rPr>
          <w:rFonts w:ascii="Times New Roman" w:hAnsi="Times New Roman"/>
        </w:rPr>
        <w:t xml:space="preserve"> ako vypočítaná suma plnenia (P), potom suma navýšeného nepeňažného plnenia (NNP) sa vypočíta nasledovne: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ČNP = NP / (1 - SD</w:t>
      </w:r>
      <w:r w:rsidRPr="00E37FC6">
        <w:rPr>
          <w:rFonts w:ascii="Times New Roman" w:hAnsi="Times New Roman"/>
          <w:b/>
          <w:vertAlign w:val="subscript"/>
        </w:rPr>
        <w:t>1</w:t>
      </w:r>
      <w:r w:rsidRPr="00E37FC6">
        <w:rPr>
          <w:rFonts w:ascii="Times New Roman" w:hAnsi="Times New Roman"/>
          <w:b/>
        </w:rPr>
        <w:t xml:space="preserve">)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kde</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ČNP je nepeňažné plnenie čiastočne navýšené o preddavok na daň,</w:t>
      </w:r>
    </w:p>
    <w:p w:rsidR="004F4B99" w:rsidRPr="00E37FC6" w:rsidP="004F4B99">
      <w:pPr>
        <w:bidi w:val="0"/>
        <w:jc w:val="both"/>
        <w:rPr>
          <w:rFonts w:ascii="Times New Roman" w:hAnsi="Times New Roman"/>
        </w:rPr>
      </w:pPr>
      <w:r w:rsidRPr="00E37FC6">
        <w:rPr>
          <w:rFonts w:ascii="Times New Roman" w:hAnsi="Times New Roman"/>
        </w:rPr>
        <w:t>NP   je nepeňažné plnenie poskytnuté zamestnancovi,</w:t>
      </w:r>
    </w:p>
    <w:p w:rsidR="004F4B99" w:rsidRPr="00E37FC6" w:rsidP="004F4B99">
      <w:pPr>
        <w:bidi w:val="0"/>
        <w:jc w:val="both"/>
        <w:rPr>
          <w:rFonts w:ascii="Times New Roman" w:hAnsi="Times New Roman"/>
        </w:rPr>
      </w:pPr>
      <w:r w:rsidRPr="00E37FC6">
        <w:rPr>
          <w:rFonts w:ascii="Times New Roman" w:hAnsi="Times New Roman"/>
        </w:rPr>
        <w:t>SD</w:t>
      </w:r>
      <w:r w:rsidRPr="00E37FC6">
        <w:rPr>
          <w:rFonts w:ascii="Times New Roman" w:hAnsi="Times New Roman"/>
          <w:vertAlign w:val="subscript"/>
        </w:rPr>
        <w:t>1</w:t>
      </w:r>
      <w:r w:rsidRPr="00E37FC6">
        <w:rPr>
          <w:rFonts w:ascii="Times New Roman" w:hAnsi="Times New Roman"/>
        </w:rPr>
        <w:t xml:space="preserve">  je sadzba dane podľa § 15 písm. a) prvého bodu zákona vyjadrená desatinným číslom,</w:t>
      </w:r>
    </w:p>
    <w:p w:rsidR="004F4B99" w:rsidRPr="00E37FC6" w:rsidP="004F4B99">
      <w:pPr>
        <w:bidi w:val="0"/>
        <w:jc w:val="both"/>
        <w:rPr>
          <w:rFonts w:ascii="Times New Roman" w:hAnsi="Times New Roman"/>
          <w:lang w:eastAsia="en-US"/>
        </w:rPr>
      </w:pPr>
    </w:p>
    <w:p w:rsidR="004F4B99" w:rsidRPr="00E37FC6" w:rsidP="004F4B99">
      <w:pPr>
        <w:bidi w:val="0"/>
        <w:jc w:val="both"/>
        <w:rPr>
          <w:rFonts w:ascii="Times New Roman" w:hAnsi="Times New Roman"/>
          <w:lang w:eastAsia="en-US"/>
        </w:rPr>
      </w:pPr>
      <w:r w:rsidRPr="00E37FC6">
        <w:rPr>
          <w:rFonts w:ascii="Times New Roman" w:hAnsi="Times New Roman"/>
          <w:lang w:eastAsia="en-US"/>
        </w:rPr>
        <w:t>Nepeňažné plnenie čiastočne navýšené o preddavok na daň (ČNP) zamestnávateľ navýši o povinné poistné, ktoré je povinný platiť zamestnanec podľa osobitných predpisov [§ 35 ods. 1 písm. a) zákona] nasledovným spôsobom:</w:t>
      </w:r>
    </w:p>
    <w:p w:rsidR="004F4B99" w:rsidRPr="00E37FC6" w:rsidP="004F4B99">
      <w:pPr>
        <w:bidi w:val="0"/>
        <w:jc w:val="both"/>
        <w:rPr>
          <w:rFonts w:ascii="Times New Roman" w:hAnsi="Times New Roman"/>
          <w:lang w:eastAsia="en-US"/>
        </w:rPr>
      </w:pPr>
    </w:p>
    <w:p w:rsidR="004F4B99" w:rsidRPr="00E37FC6" w:rsidP="004F4B99">
      <w:pPr>
        <w:bidi w:val="0"/>
        <w:jc w:val="both"/>
        <w:rPr>
          <w:rFonts w:ascii="Times New Roman" w:hAnsi="Times New Roman"/>
          <w:b/>
          <w:lang w:eastAsia="en-US"/>
        </w:rPr>
      </w:pPr>
      <w:r w:rsidRPr="00E37FC6">
        <w:rPr>
          <w:rFonts w:ascii="Times New Roman" w:hAnsi="Times New Roman"/>
          <w:b/>
          <w:lang w:eastAsia="en-US"/>
        </w:rPr>
        <w:t>NNP = ČNP / (1 - PP)</w:t>
      </w:r>
    </w:p>
    <w:p w:rsidR="004F4B99" w:rsidRPr="00E37FC6" w:rsidP="004F4B99">
      <w:pPr>
        <w:bidi w:val="0"/>
        <w:jc w:val="both"/>
        <w:rPr>
          <w:rFonts w:ascii="Times New Roman" w:hAnsi="Times New Roman"/>
          <w:lang w:eastAsia="en-US"/>
        </w:rPr>
      </w:pPr>
    </w:p>
    <w:p w:rsidR="004F4B99" w:rsidRPr="00E37FC6" w:rsidP="004F4B99">
      <w:pPr>
        <w:bidi w:val="0"/>
        <w:jc w:val="both"/>
        <w:rPr>
          <w:rFonts w:ascii="Times New Roman" w:hAnsi="Times New Roman"/>
          <w:lang w:eastAsia="en-US"/>
        </w:rPr>
      </w:pPr>
      <w:r w:rsidRPr="00E37FC6">
        <w:rPr>
          <w:rFonts w:ascii="Times New Roman" w:hAnsi="Times New Roman"/>
          <w:lang w:eastAsia="en-US"/>
        </w:rPr>
        <w:t>kde</w:t>
      </w:r>
    </w:p>
    <w:p w:rsidR="004F4B99" w:rsidRPr="00E37FC6" w:rsidP="004F4B99">
      <w:pPr>
        <w:bidi w:val="0"/>
        <w:jc w:val="both"/>
        <w:rPr>
          <w:rFonts w:ascii="Times New Roman" w:hAnsi="Times New Roman"/>
          <w:lang w:eastAsia="en-US"/>
        </w:rPr>
      </w:pPr>
    </w:p>
    <w:p w:rsidR="004F4B99" w:rsidRPr="00E37FC6" w:rsidP="004F4B99">
      <w:pPr>
        <w:bidi w:val="0"/>
        <w:jc w:val="both"/>
        <w:rPr>
          <w:rFonts w:ascii="Times New Roman" w:hAnsi="Times New Roman"/>
          <w:lang w:eastAsia="en-US"/>
        </w:rPr>
      </w:pPr>
      <w:r w:rsidRPr="00E37FC6">
        <w:rPr>
          <w:rFonts w:ascii="Times New Roman" w:hAnsi="Times New Roman"/>
          <w:lang w:eastAsia="en-US"/>
        </w:rPr>
        <w:t>NNP je navýšené nepeňažné plnenie,</w:t>
      </w:r>
    </w:p>
    <w:p w:rsidR="004F4B99" w:rsidRPr="00E37FC6" w:rsidP="004F4B99">
      <w:pPr>
        <w:bidi w:val="0"/>
        <w:jc w:val="both"/>
        <w:rPr>
          <w:rFonts w:ascii="Times New Roman" w:hAnsi="Times New Roman"/>
          <w:lang w:eastAsia="en-US"/>
        </w:rPr>
      </w:pPr>
      <w:r w:rsidRPr="00E37FC6">
        <w:rPr>
          <w:rFonts w:ascii="Times New Roman" w:hAnsi="Times New Roman"/>
          <w:lang w:eastAsia="en-US"/>
        </w:rPr>
        <w:t>ČNP je nepeňažné plnenie čiastočne navýšené o preddavok na daň,</w:t>
      </w:r>
    </w:p>
    <w:p w:rsidR="004F4B99" w:rsidRPr="00E37FC6" w:rsidP="004F4B99">
      <w:pPr>
        <w:bidi w:val="0"/>
        <w:jc w:val="both"/>
        <w:rPr>
          <w:rFonts w:ascii="Times New Roman" w:hAnsi="Times New Roman"/>
          <w:lang w:eastAsia="en-US"/>
        </w:rPr>
      </w:pPr>
      <w:r w:rsidRPr="00E37FC6">
        <w:rPr>
          <w:rFonts w:ascii="Times New Roman" w:hAnsi="Times New Roman"/>
          <w:lang w:eastAsia="en-US"/>
        </w:rPr>
        <w:t>PP  je  úhrn sadzieb pre platenie povinného poistného plateného zamestnancom podľa osobitných predpisov (zákon č. 580/2004 Z. z. v znení neskorších predpisov, zákon                         č. 461/2003 Z. z. v znení neskorších predpisov, zákon č. 328/2002 Z. z. v znení neskorších predpisov) vyjadrený desatinným číslom.</w:t>
      </w:r>
    </w:p>
    <w:p w:rsidR="004F4B99" w:rsidRPr="00E37FC6" w:rsidP="004F4B99">
      <w:pPr>
        <w:bidi w:val="0"/>
        <w:jc w:val="both"/>
        <w:rPr>
          <w:rFonts w:ascii="Times New Roman" w:hAnsi="Times New Roman"/>
          <w:lang w:eastAsia="en-US"/>
        </w:rPr>
      </w:pPr>
    </w:p>
    <w:p w:rsidR="004F4B99" w:rsidRPr="00E37FC6" w:rsidP="004F4B99">
      <w:pPr>
        <w:bidi w:val="0"/>
        <w:jc w:val="both"/>
        <w:rPr>
          <w:rFonts w:ascii="Times New Roman" w:hAnsi="Times New Roman"/>
        </w:rPr>
      </w:pPr>
      <w:r w:rsidRPr="00E37FC6">
        <w:rPr>
          <w:rFonts w:ascii="Times New Roman" w:hAnsi="Times New Roman"/>
        </w:rPr>
        <w:t xml:space="preserve">2. Ak suma nepeňažného plnenia poskytnutého zamestnancovi </w:t>
      </w:r>
      <w:r w:rsidRPr="00E37FC6">
        <w:rPr>
          <w:rFonts w:ascii="Times New Roman" w:hAnsi="Times New Roman"/>
          <w:b/>
        </w:rPr>
        <w:t>je vyššia</w:t>
      </w:r>
      <w:r w:rsidRPr="00E37FC6">
        <w:rPr>
          <w:rFonts w:ascii="Times New Roman" w:hAnsi="Times New Roman"/>
        </w:rPr>
        <w:t xml:space="preserve"> ako vypočítaná suma plnenia (P), potom suma navýšeného nepeňažného plnenia (NNP) sa vypočíta nasledovne:</w:t>
      </w:r>
    </w:p>
    <w:p w:rsidR="004F4B99" w:rsidRPr="00E37FC6" w:rsidP="004F4B99">
      <w:pPr>
        <w:bidi w:val="0"/>
        <w:jc w:val="both"/>
        <w:rPr>
          <w:rFonts w:ascii="Times New Roman" w:hAnsi="Times New Roman"/>
        </w:rPr>
      </w:pPr>
      <w:r w:rsidRPr="00E37FC6">
        <w:rPr>
          <w:rFonts w:ascii="Times New Roman" w:hAnsi="Times New Roman"/>
        </w:rPr>
        <w:t xml:space="preserve"> </w:t>
      </w:r>
    </w:p>
    <w:p w:rsidR="004F4B99" w:rsidRPr="00E37FC6" w:rsidP="004F4B99">
      <w:pPr>
        <w:bidi w:val="0"/>
        <w:jc w:val="both"/>
        <w:rPr>
          <w:rFonts w:ascii="Times New Roman" w:hAnsi="Times New Roman"/>
          <w:b/>
        </w:rPr>
      </w:pPr>
      <w:r w:rsidRPr="00E37FC6">
        <w:rPr>
          <w:rFonts w:ascii="Times New Roman" w:hAnsi="Times New Roman"/>
          <w:b/>
        </w:rPr>
        <w:t>ČNP = P / (1 - SD</w:t>
      </w:r>
      <w:r w:rsidRPr="00E37FC6">
        <w:rPr>
          <w:rFonts w:ascii="Times New Roman" w:hAnsi="Times New Roman"/>
          <w:b/>
          <w:vertAlign w:val="subscript"/>
        </w:rPr>
        <w:t>1</w:t>
      </w:r>
      <w:r w:rsidRPr="00E37FC6">
        <w:rPr>
          <w:rFonts w:ascii="Times New Roman" w:hAnsi="Times New Roman"/>
          <w:b/>
        </w:rPr>
        <w:t>) + (NP – P) / (1 – SD</w:t>
      </w:r>
      <w:r w:rsidRPr="00E37FC6">
        <w:rPr>
          <w:rFonts w:ascii="Times New Roman" w:hAnsi="Times New Roman"/>
          <w:b/>
          <w:vertAlign w:val="subscript"/>
        </w:rPr>
        <w:t>2</w:t>
      </w:r>
      <w:r w:rsidRPr="00E37FC6">
        <w:rPr>
          <w:rFonts w:ascii="Times New Roman" w:hAnsi="Times New Roman"/>
          <w:b/>
        </w:rPr>
        <w:t>)</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kde</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ČNP je nepeňažné plnenie čiastočne navýšené o preddavok na daň,</w:t>
      </w:r>
    </w:p>
    <w:p w:rsidR="004F4B99" w:rsidRPr="00E37FC6" w:rsidP="004F4B99">
      <w:pPr>
        <w:bidi w:val="0"/>
        <w:jc w:val="both"/>
        <w:rPr>
          <w:rFonts w:ascii="Times New Roman" w:hAnsi="Times New Roman"/>
        </w:rPr>
      </w:pPr>
      <w:r w:rsidRPr="00E37FC6">
        <w:rPr>
          <w:rFonts w:ascii="Times New Roman" w:hAnsi="Times New Roman"/>
        </w:rPr>
        <w:t>P   je plnenie rozhodujúce na uplatnenie sadzby dane [§ 15 písm. a) zákona],</w:t>
      </w:r>
    </w:p>
    <w:p w:rsidR="004F4B99" w:rsidRPr="00E37FC6" w:rsidP="004F4B99">
      <w:pPr>
        <w:bidi w:val="0"/>
        <w:jc w:val="both"/>
        <w:rPr>
          <w:rFonts w:ascii="Times New Roman" w:hAnsi="Times New Roman"/>
        </w:rPr>
      </w:pPr>
      <w:r w:rsidRPr="00E37FC6">
        <w:rPr>
          <w:rFonts w:ascii="Times New Roman" w:hAnsi="Times New Roman"/>
        </w:rPr>
        <w:t>NP   je nepeňažné plnenie poskytnuté zamestnancovi,</w:t>
      </w:r>
    </w:p>
    <w:p w:rsidR="004F4B99" w:rsidRPr="00E37FC6" w:rsidP="004F4B99">
      <w:pPr>
        <w:bidi w:val="0"/>
        <w:jc w:val="both"/>
        <w:rPr>
          <w:rFonts w:ascii="Times New Roman" w:hAnsi="Times New Roman"/>
        </w:rPr>
      </w:pPr>
      <w:r w:rsidRPr="00E37FC6">
        <w:rPr>
          <w:rFonts w:ascii="Times New Roman" w:hAnsi="Times New Roman"/>
        </w:rPr>
        <w:t>SD</w:t>
      </w:r>
      <w:r w:rsidRPr="00E37FC6">
        <w:rPr>
          <w:rFonts w:ascii="Times New Roman" w:hAnsi="Times New Roman"/>
          <w:vertAlign w:val="subscript"/>
        </w:rPr>
        <w:t>1</w:t>
      </w:r>
      <w:r w:rsidRPr="00E37FC6">
        <w:rPr>
          <w:rFonts w:ascii="Times New Roman" w:hAnsi="Times New Roman"/>
        </w:rPr>
        <w:t xml:space="preserve">  je sadzba dane podľa § 15 písm. a) prvého bodu zákona vyjadrená desatinným číslom,</w:t>
      </w:r>
    </w:p>
    <w:p w:rsidR="004F4B99" w:rsidRPr="00E37FC6" w:rsidP="004F4B99">
      <w:pPr>
        <w:bidi w:val="0"/>
        <w:jc w:val="both"/>
        <w:rPr>
          <w:rFonts w:ascii="Times New Roman" w:hAnsi="Times New Roman"/>
        </w:rPr>
      </w:pPr>
      <w:r w:rsidRPr="00E37FC6">
        <w:rPr>
          <w:rFonts w:ascii="Times New Roman" w:hAnsi="Times New Roman"/>
        </w:rPr>
        <w:t>SD</w:t>
      </w:r>
      <w:r w:rsidRPr="00E37FC6">
        <w:rPr>
          <w:rFonts w:ascii="Times New Roman" w:hAnsi="Times New Roman"/>
          <w:vertAlign w:val="subscript"/>
        </w:rPr>
        <w:t>2</w:t>
      </w:r>
      <w:r w:rsidRPr="00E37FC6">
        <w:rPr>
          <w:rFonts w:ascii="Times New Roman" w:hAnsi="Times New Roman"/>
        </w:rPr>
        <w:t xml:space="preserve">  je sadzba dane podľa § 15 písm. a) druhého bodu zákona vyjadrená desatinným číslom,</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Nepeňažné plnenie čiastočne navýšené o preddavok na daň (ČNP) zamestnávateľ navýši o povinné poistné, ktoré je povinný platiť zamestnanec podľa osobitných predpisov [§ 35 ods. 1 písm. a) zákona] nasledovným spôsobom:</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NNP = ČNP / (1 - PP)</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kde</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NNP je navýšené nepeňažné plnenie,</w:t>
      </w:r>
    </w:p>
    <w:p w:rsidR="004F4B99" w:rsidRPr="00E37FC6" w:rsidP="004F4B99">
      <w:pPr>
        <w:bidi w:val="0"/>
        <w:jc w:val="both"/>
        <w:rPr>
          <w:rFonts w:ascii="Times New Roman" w:hAnsi="Times New Roman"/>
        </w:rPr>
      </w:pPr>
      <w:r w:rsidRPr="00E37FC6">
        <w:rPr>
          <w:rFonts w:ascii="Times New Roman" w:hAnsi="Times New Roman"/>
        </w:rPr>
        <w:t>ČNP je nepeňažné plnenie čiastočne navýšené o preddavok na daň,</w:t>
      </w:r>
    </w:p>
    <w:p w:rsidR="004F4B99" w:rsidRPr="00E37FC6" w:rsidP="004F4B99">
      <w:pPr>
        <w:bidi w:val="0"/>
        <w:jc w:val="both"/>
        <w:rPr>
          <w:rFonts w:ascii="Times New Roman" w:hAnsi="Times New Roman"/>
        </w:rPr>
      </w:pPr>
      <w:r w:rsidRPr="00E37FC6">
        <w:rPr>
          <w:rFonts w:ascii="Times New Roman" w:hAnsi="Times New Roman"/>
        </w:rPr>
        <w:t>PP  je  úhrn sadzieb pre platenie povinného poistného plateného zamestnancom podľa osobitných predpisov (zákon č. 580/2004 Z. z. v znení neskorších predpisov, zákon č. 461/2003 Z. z. v znení neskorších predpisov, zákon č. 328/2002 Z. z. v znení neskorších predpisov) vyjadrený desatinným číslom.</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i/>
          <w:iCs/>
          <w:u w:val="single"/>
        </w:rPr>
      </w:pPr>
      <w:r w:rsidRPr="00E37FC6">
        <w:rPr>
          <w:rFonts w:ascii="Times New Roman" w:hAnsi="Times New Roman"/>
          <w:i/>
          <w:iCs/>
          <w:u w:val="single"/>
        </w:rPr>
        <w:t xml:space="preserve">Príklad </w:t>
      </w:r>
      <w:r>
        <w:rPr>
          <w:rFonts w:ascii="Times New Roman" w:hAnsi="Times New Roman"/>
          <w:i/>
          <w:iCs/>
          <w:u w:val="single"/>
        </w:rPr>
        <w:t>3</w:t>
      </w:r>
      <w:r w:rsidRPr="00E37FC6">
        <w:rPr>
          <w:rFonts w:ascii="Times New Roman" w:hAnsi="Times New Roman"/>
          <w:i/>
          <w:iCs/>
          <w:u w:val="single"/>
        </w:rPr>
        <w:t>:</w:t>
      </w:r>
    </w:p>
    <w:p w:rsidR="004F4B99" w:rsidRPr="00E37FC6" w:rsidP="004F4B99">
      <w:pPr>
        <w:bidi w:val="0"/>
        <w:jc w:val="both"/>
        <w:rPr>
          <w:rFonts w:ascii="Times New Roman" w:hAnsi="Times New Roman"/>
          <w:i/>
          <w:iCs/>
        </w:rPr>
      </w:pPr>
      <w:r w:rsidRPr="00E37FC6">
        <w:rPr>
          <w:rFonts w:ascii="Times New Roman" w:hAnsi="Times New Roman"/>
          <w:i/>
          <w:iCs/>
        </w:rPr>
        <w:t xml:space="preserve">Ak cena zájazdu, ktorý poskytne zamestnávateľ svojmu zamestnancovi je 2 400 eur a zamestnanec nemá v danom mesiaci iný príjem zo závislej činnosti, pri uplatnení metódy s využitím navýšenia nepeňažného plnenia zamestnávateľ vypočíta NNP nasledovným spôsobom: </w:t>
      </w:r>
    </w:p>
    <w:p w:rsidR="004F4B99" w:rsidRPr="00E37FC6" w:rsidP="004F4B99">
      <w:pPr>
        <w:bidi w:val="0"/>
        <w:jc w:val="both"/>
        <w:rPr>
          <w:rFonts w:ascii="Times New Roman" w:hAnsi="Times New Roman"/>
          <w:i/>
          <w:iCs/>
        </w:rPr>
      </w:pPr>
    </w:p>
    <w:p w:rsidR="004F4B99" w:rsidRPr="00E37FC6" w:rsidP="004F4B99">
      <w:pPr>
        <w:bidi w:val="0"/>
        <w:jc w:val="both"/>
        <w:rPr>
          <w:rFonts w:ascii="Times New Roman" w:hAnsi="Times New Roman"/>
          <w:i/>
          <w:iCs/>
        </w:rPr>
      </w:pPr>
      <w:r w:rsidRPr="00E37FC6">
        <w:rPr>
          <w:rFonts w:ascii="Times New Roman" w:hAnsi="Times New Roman"/>
          <w:i/>
          <w:iCs/>
        </w:rPr>
        <w:t>P = 1/12 zo sumy 176,8-násobku PŽM  x (1 - SD</w:t>
      </w:r>
      <w:r w:rsidRPr="00E37FC6">
        <w:rPr>
          <w:rFonts w:ascii="Times New Roman" w:hAnsi="Times New Roman"/>
          <w:i/>
          <w:iCs/>
          <w:vertAlign w:val="subscript"/>
        </w:rPr>
        <w:t>1</w:t>
      </w:r>
      <w:r w:rsidRPr="00E37FC6">
        <w:rPr>
          <w:rFonts w:ascii="Times New Roman" w:hAnsi="Times New Roman"/>
          <w:i/>
          <w:iCs/>
        </w:rPr>
        <w:t>)</w:t>
      </w:r>
    </w:p>
    <w:p w:rsidR="004F4B99" w:rsidRPr="00E37FC6" w:rsidP="004F4B99">
      <w:pPr>
        <w:bidi w:val="0"/>
        <w:jc w:val="both"/>
        <w:rPr>
          <w:rFonts w:ascii="Times New Roman" w:hAnsi="Times New Roman"/>
          <w:i/>
          <w:iCs/>
        </w:rPr>
      </w:pPr>
      <w:r w:rsidRPr="00E37FC6">
        <w:rPr>
          <w:rFonts w:ascii="Times New Roman" w:hAnsi="Times New Roman"/>
          <w:i/>
          <w:iCs/>
        </w:rPr>
        <w:t>P = 2918,53 x 0,81 = 2 364,0093</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ČNP = P / (1 - SD</w:t>
      </w:r>
      <w:r w:rsidRPr="00E37FC6">
        <w:rPr>
          <w:rFonts w:ascii="Times New Roman" w:hAnsi="Times New Roman"/>
          <w:i/>
          <w:vertAlign w:val="subscript"/>
        </w:rPr>
        <w:t>1</w:t>
      </w:r>
      <w:r w:rsidRPr="00E37FC6">
        <w:rPr>
          <w:rFonts w:ascii="Times New Roman" w:hAnsi="Times New Roman"/>
          <w:i/>
        </w:rPr>
        <w:t>) + (NP – P) / (1 – SD</w:t>
      </w:r>
      <w:r w:rsidRPr="00E37FC6">
        <w:rPr>
          <w:rFonts w:ascii="Times New Roman" w:hAnsi="Times New Roman"/>
          <w:i/>
          <w:vertAlign w:val="subscript"/>
        </w:rPr>
        <w:t>2</w:t>
      </w:r>
      <w:r w:rsidRPr="00E37FC6">
        <w:rPr>
          <w:rFonts w:ascii="Times New Roman" w:hAnsi="Times New Roman"/>
          <w:i/>
        </w:rPr>
        <w:t>)</w:t>
      </w:r>
    </w:p>
    <w:p w:rsidR="004F4B99" w:rsidRPr="00E37FC6" w:rsidP="004F4B99">
      <w:pPr>
        <w:bidi w:val="0"/>
        <w:jc w:val="both"/>
        <w:rPr>
          <w:rFonts w:ascii="Times New Roman" w:hAnsi="Times New Roman"/>
          <w:i/>
        </w:rPr>
      </w:pPr>
      <w:r w:rsidRPr="00E37FC6">
        <w:rPr>
          <w:rFonts w:ascii="Times New Roman" w:hAnsi="Times New Roman"/>
          <w:i/>
        </w:rPr>
        <w:t xml:space="preserve">ČNP = 2 364,0093 / 0,81 + (2 400 – 2 364,0093) / 0,75  </w:t>
      </w:r>
    </w:p>
    <w:p w:rsidR="004F4B99" w:rsidRPr="00E37FC6" w:rsidP="004F4B99">
      <w:pPr>
        <w:bidi w:val="0"/>
        <w:jc w:val="both"/>
        <w:rPr>
          <w:rFonts w:ascii="Times New Roman" w:hAnsi="Times New Roman"/>
          <w:i/>
        </w:rPr>
      </w:pPr>
      <w:r w:rsidRPr="00E37FC6">
        <w:rPr>
          <w:rFonts w:ascii="Times New Roman" w:hAnsi="Times New Roman"/>
          <w:i/>
        </w:rPr>
        <w:t xml:space="preserve">ČNP = 2 918,53 + 47,9876 = </w:t>
      </w:r>
      <w:r w:rsidRPr="00E37FC6">
        <w:rPr>
          <w:rFonts w:ascii="Times New Roman" w:hAnsi="Times New Roman"/>
          <w:b/>
          <w:i/>
        </w:rPr>
        <w:t>2 966,5176</w:t>
      </w:r>
      <w:r w:rsidRPr="00E37FC6">
        <w:rPr>
          <w:rFonts w:ascii="Times New Roman" w:hAnsi="Times New Roman"/>
          <w:i/>
        </w:rPr>
        <w:t xml:space="preserve"> [nepeňažné plnenie čiastočne navýšené o preddavok na daň (566,51)pri uplatnení daňovej progresie]</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iCs/>
        </w:rPr>
      </w:pPr>
      <w:r w:rsidRPr="00E37FC6">
        <w:rPr>
          <w:rFonts w:ascii="Times New Roman" w:hAnsi="Times New Roman"/>
          <w:i/>
          <w:iCs/>
        </w:rPr>
        <w:t>NNP = ČNP / (1 - PP)</w:t>
      </w:r>
    </w:p>
    <w:p w:rsidR="004F4B99" w:rsidRPr="00E37FC6" w:rsidP="004F4B99">
      <w:pPr>
        <w:bidi w:val="0"/>
        <w:jc w:val="both"/>
        <w:rPr>
          <w:rFonts w:ascii="Times New Roman" w:hAnsi="Times New Roman"/>
          <w:i/>
          <w:iCs/>
        </w:rPr>
      </w:pPr>
      <w:r w:rsidRPr="00E37FC6">
        <w:rPr>
          <w:rFonts w:ascii="Times New Roman" w:hAnsi="Times New Roman"/>
          <w:i/>
          <w:iCs/>
        </w:rPr>
        <w:t xml:space="preserve">NNP= 2 966,5176 / 0,866 = 3 425,53995381 = </w:t>
      </w:r>
      <w:r w:rsidRPr="00E37FC6">
        <w:rPr>
          <w:rFonts w:ascii="Times New Roman" w:hAnsi="Times New Roman"/>
          <w:b/>
          <w:i/>
          <w:iCs/>
        </w:rPr>
        <w:t>3 425,53</w:t>
      </w:r>
      <w:r w:rsidRPr="00E37FC6">
        <w:rPr>
          <w:rFonts w:ascii="Times New Roman" w:hAnsi="Times New Roman"/>
          <w:i/>
          <w:iCs/>
        </w:rPr>
        <w:t xml:space="preserve"> eur (zaokrúhľovanie § 47 ods.1 zákona)</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b/>
          <w:i/>
        </w:rPr>
        <w:t>NNP je zdaniteľným príjmom</w:t>
      </w:r>
      <w:r w:rsidRPr="00E37FC6">
        <w:rPr>
          <w:rFonts w:ascii="Times New Roman" w:hAnsi="Times New Roman"/>
          <w:i/>
        </w:rPr>
        <w:t xml:space="preserve"> zamestnanca zo závislej činnosti a zároveň tvorí</w:t>
      </w:r>
      <w:r w:rsidRPr="00E37FC6">
        <w:rPr>
          <w:rFonts w:ascii="Times New Roman" w:hAnsi="Times New Roman"/>
          <w:b/>
          <w:bCs/>
          <w:i/>
        </w:rPr>
        <w:t xml:space="preserve"> vymeriavací základ </w:t>
      </w:r>
      <w:r w:rsidRPr="00E37FC6">
        <w:rPr>
          <w:rFonts w:ascii="Times New Roman" w:hAnsi="Times New Roman"/>
          <w:i/>
        </w:rPr>
        <w:t>pre platenie odvodov do SP a ZP</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iCs/>
        </w:rPr>
      </w:pPr>
      <w:r w:rsidRPr="00E37FC6">
        <w:rPr>
          <w:rFonts w:ascii="Times New Roman" w:hAnsi="Times New Roman"/>
          <w:b/>
          <w:i/>
          <w:iCs/>
        </w:rPr>
        <w:t xml:space="preserve">Výpočet povinného poistného </w:t>
      </w:r>
      <w:r w:rsidRPr="00E37FC6">
        <w:rPr>
          <w:rFonts w:ascii="Times New Roman" w:hAnsi="Times New Roman"/>
          <w:i/>
          <w:iCs/>
        </w:rPr>
        <w:t xml:space="preserve">na ZP a SP </w:t>
      </w:r>
      <w:r w:rsidRPr="00E37FC6">
        <w:rPr>
          <w:rFonts w:ascii="Times New Roman" w:hAnsi="Times New Roman"/>
          <w:i/>
          <w:iCs/>
          <w:u w:val="single"/>
        </w:rPr>
        <w:t>za zamestnanca</w:t>
      </w:r>
      <w:r w:rsidRPr="00E37FC6">
        <w:rPr>
          <w:rFonts w:ascii="Times New Roman" w:hAnsi="Times New Roman"/>
          <w:b/>
          <w:i/>
          <w:iCs/>
        </w:rPr>
        <w:t xml:space="preserve"> </w:t>
      </w:r>
      <w:r w:rsidRPr="00E37FC6">
        <w:rPr>
          <w:rFonts w:ascii="Times New Roman" w:hAnsi="Times New Roman"/>
          <w:i/>
          <w:iCs/>
        </w:rPr>
        <w:t>(zjednodušene)</w:t>
      </w:r>
    </w:p>
    <w:p w:rsidR="004F4B99" w:rsidRPr="00E37FC6" w:rsidP="004F4B99">
      <w:pPr>
        <w:bidi w:val="0"/>
        <w:ind w:left="3540" w:firstLine="708"/>
        <w:jc w:val="both"/>
        <w:rPr>
          <w:rFonts w:ascii="Times New Roman" w:hAnsi="Times New Roman"/>
          <w:i/>
          <w:iCs/>
        </w:rPr>
      </w:pPr>
      <w:r w:rsidRPr="00E37FC6">
        <w:rPr>
          <w:rFonts w:ascii="Times New Roman" w:hAnsi="Times New Roman"/>
          <w:i/>
          <w:iCs/>
        </w:rPr>
        <w:t xml:space="preserve">13,4 % z 3 425,53                        = 459,02 eura </w:t>
      </w:r>
    </w:p>
    <w:p w:rsidR="004F4B99" w:rsidRPr="00E37FC6" w:rsidP="004F4B99">
      <w:pPr>
        <w:bidi w:val="0"/>
        <w:ind w:firstLine="708"/>
        <w:jc w:val="both"/>
        <w:rPr>
          <w:rFonts w:ascii="Times New Roman" w:hAnsi="Times New Roman"/>
          <w:i/>
          <w:iCs/>
        </w:rPr>
      </w:pPr>
    </w:p>
    <w:p w:rsidR="004F4B99" w:rsidRPr="00E37FC6" w:rsidP="004F4B99">
      <w:pPr>
        <w:bidi w:val="0"/>
        <w:rPr>
          <w:rFonts w:ascii="Times New Roman" w:hAnsi="Times New Roman"/>
          <w:i/>
          <w:iCs/>
        </w:rPr>
      </w:pPr>
      <w:r w:rsidRPr="00E37FC6">
        <w:rPr>
          <w:rFonts w:ascii="Times New Roman" w:hAnsi="Times New Roman"/>
          <w:b/>
          <w:i/>
          <w:iCs/>
        </w:rPr>
        <w:t xml:space="preserve">Výpočet preddavkov na daň </w:t>
      </w:r>
      <w:r w:rsidRPr="00E37FC6">
        <w:rPr>
          <w:rFonts w:ascii="Times New Roman" w:hAnsi="Times New Roman"/>
          <w:i/>
          <w:iCs/>
        </w:rPr>
        <w:t xml:space="preserve">               </w:t>
        <w:tab/>
        <w:t xml:space="preserve">19 % x 2 918,53                           =554,5207         </w:t>
      </w:r>
    </w:p>
    <w:p w:rsidR="004F4B99" w:rsidRPr="00E37FC6" w:rsidP="004F4B99">
      <w:pPr>
        <w:tabs>
          <w:tab w:val="left" w:pos="5670"/>
          <w:tab w:val="left" w:pos="6946"/>
        </w:tabs>
        <w:bidi w:val="0"/>
        <w:rPr>
          <w:rFonts w:ascii="Times New Roman" w:hAnsi="Times New Roman"/>
          <w:i/>
          <w:iCs/>
        </w:rPr>
      </w:pPr>
      <w:r w:rsidRPr="00E37FC6">
        <w:rPr>
          <w:rFonts w:ascii="Times New Roman" w:hAnsi="Times New Roman"/>
          <w:i/>
          <w:iCs/>
        </w:rPr>
        <w:t xml:space="preserve">(ČZD = 3 425,53 – 459,02 = 2 966,51 eur)  </w:t>
      </w:r>
      <w:r w:rsidRPr="00E37FC6">
        <w:rPr>
          <w:rFonts w:ascii="Times New Roman" w:hAnsi="Times New Roman"/>
          <w:i/>
          <w:iCs/>
          <w:u w:val="single"/>
        </w:rPr>
        <w:t xml:space="preserve">25 % x 47,98 (2 966,51–2 918,53)=11,995   </w:t>
      </w:r>
      <w:r w:rsidRPr="00E37FC6">
        <w:rPr>
          <w:rFonts w:ascii="Times New Roman" w:hAnsi="Times New Roman"/>
          <w:i/>
          <w:iCs/>
        </w:rPr>
        <w:t> </w:t>
      </w:r>
    </w:p>
    <w:p w:rsidR="004F4B99" w:rsidRPr="00E37FC6" w:rsidP="004F4B99">
      <w:pPr>
        <w:tabs>
          <w:tab w:val="left" w:pos="5670"/>
          <w:tab w:val="left" w:pos="6521"/>
          <w:tab w:val="left" w:pos="6663"/>
          <w:tab w:val="left" w:pos="6946"/>
        </w:tabs>
        <w:bidi w:val="0"/>
        <w:rPr>
          <w:rFonts w:ascii="Times New Roman" w:hAnsi="Times New Roman"/>
          <w:i/>
          <w:iCs/>
        </w:rPr>
      </w:pPr>
      <w:r w:rsidRPr="00E37FC6">
        <w:rPr>
          <w:rFonts w:ascii="Times New Roman" w:hAnsi="Times New Roman"/>
          <w:i/>
          <w:iCs/>
        </w:rPr>
        <w:t>                                                                       preddavok na daň                       = 566,51 eura</w:t>
      </w:r>
    </w:p>
    <w:p w:rsidR="004F4B99" w:rsidRPr="00E37FC6" w:rsidP="004F4B99">
      <w:pPr>
        <w:bidi w:val="0"/>
        <w:rPr>
          <w:rFonts w:ascii="Times New Roman" w:hAnsi="Times New Roman"/>
          <w:i/>
          <w:iCs/>
        </w:rPr>
      </w:pPr>
    </w:p>
    <w:p w:rsidR="004F4B99" w:rsidRPr="00E37FC6" w:rsidP="004F4B99">
      <w:pPr>
        <w:bidi w:val="0"/>
        <w:rPr>
          <w:rFonts w:ascii="Times New Roman" w:hAnsi="Times New Roman"/>
          <w:b/>
          <w:bCs/>
          <w:i/>
          <w:iCs/>
        </w:rPr>
      </w:pPr>
      <w:r w:rsidRPr="00E37FC6">
        <w:rPr>
          <w:rFonts w:ascii="Times New Roman" w:hAnsi="Times New Roman"/>
          <w:b/>
          <w:bCs/>
          <w:i/>
          <w:iCs/>
        </w:rPr>
        <w:t xml:space="preserve">Nepeňažné plnenie </w:t>
      </w:r>
      <w:r w:rsidRPr="00E37FC6">
        <w:rPr>
          <w:rFonts w:ascii="Times New Roman" w:hAnsi="Times New Roman"/>
          <w:bCs/>
          <w:i/>
          <w:iCs/>
        </w:rPr>
        <w:t>po zrazení povinného poistného a príspevkov a preddavkov na daň</w:t>
      </w:r>
      <w:r w:rsidRPr="00E37FC6">
        <w:rPr>
          <w:rFonts w:ascii="Times New Roman" w:hAnsi="Times New Roman"/>
          <w:b/>
          <w:bCs/>
          <w:i/>
          <w:iCs/>
        </w:rPr>
        <w:t xml:space="preserve"> </w:t>
      </w:r>
    </w:p>
    <w:p w:rsidR="004F4B99" w:rsidRPr="00E37FC6" w:rsidP="004F4B99">
      <w:pPr>
        <w:bidi w:val="0"/>
        <w:rPr>
          <w:rFonts w:ascii="Times New Roman" w:hAnsi="Times New Roman"/>
          <w:b/>
          <w:bCs/>
          <w:i/>
          <w:iCs/>
        </w:rPr>
      </w:pPr>
      <w:r w:rsidRPr="00E37FC6">
        <w:rPr>
          <w:rFonts w:ascii="Times New Roman" w:hAnsi="Times New Roman"/>
          <w:b/>
          <w:bCs/>
          <w:i/>
          <w:iCs/>
        </w:rPr>
        <w:t xml:space="preserve"> </w:t>
        <w:tab/>
        <w:tab/>
        <w:tab/>
        <w:tab/>
        <w:t xml:space="preserve">                       </w:t>
      </w:r>
      <w:r w:rsidRPr="00E37FC6">
        <w:rPr>
          <w:rFonts w:ascii="Times New Roman" w:hAnsi="Times New Roman"/>
          <w:i/>
          <w:iCs/>
        </w:rPr>
        <w:t>3 425,53 – 459,02 – 566,51</w:t>
      </w:r>
      <w:r w:rsidRPr="00E37FC6">
        <w:rPr>
          <w:rFonts w:ascii="Times New Roman" w:hAnsi="Times New Roman"/>
          <w:b/>
          <w:bCs/>
          <w:i/>
          <w:iCs/>
        </w:rPr>
        <w:t xml:space="preserve">  </w:t>
        <w:tab/>
        <w:t xml:space="preserve">   = 2 400,00 eura</w:t>
      </w:r>
    </w:p>
    <w:p w:rsidR="004F4B99" w:rsidRPr="00E37FC6" w:rsidP="004F4B99">
      <w:pPr>
        <w:bidi w:val="0"/>
        <w:jc w:val="both"/>
        <w:rPr>
          <w:rFonts w:ascii="Times New Roman" w:hAnsi="Times New Roman"/>
          <w:i/>
          <w:iCs/>
        </w:rPr>
      </w:pPr>
    </w:p>
    <w:p w:rsidR="004F4B99" w:rsidRPr="00E37FC6" w:rsidP="004F4B99">
      <w:pPr>
        <w:bidi w:val="0"/>
        <w:jc w:val="both"/>
        <w:rPr>
          <w:rFonts w:ascii="Times New Roman" w:hAnsi="Times New Roman"/>
          <w:i/>
          <w:iCs/>
        </w:rPr>
      </w:pPr>
    </w:p>
    <w:p w:rsidR="004F4B99" w:rsidRPr="00E37FC6" w:rsidP="004F4B99">
      <w:pPr>
        <w:bidi w:val="0"/>
        <w:jc w:val="both"/>
        <w:rPr>
          <w:rFonts w:ascii="Times New Roman" w:hAnsi="Times New Roman"/>
          <w:bCs/>
          <w:i/>
          <w:iCs/>
        </w:rPr>
      </w:pPr>
      <w:r w:rsidRPr="00E37FC6">
        <w:rPr>
          <w:rFonts w:ascii="Times New Roman" w:hAnsi="Times New Roman"/>
          <w:b/>
          <w:bCs/>
          <w:i/>
          <w:iCs/>
        </w:rPr>
        <w:t xml:space="preserve">Výpočet povinného poistného </w:t>
      </w:r>
      <w:r w:rsidRPr="00E37FC6">
        <w:rPr>
          <w:rFonts w:ascii="Times New Roman" w:hAnsi="Times New Roman"/>
          <w:bCs/>
          <w:i/>
          <w:iCs/>
        </w:rPr>
        <w:t xml:space="preserve">na ZP a povinného poistného a príspevkov na SP </w:t>
      </w:r>
    </w:p>
    <w:p w:rsidR="004F4B99" w:rsidRPr="00E37FC6" w:rsidP="004F4B99">
      <w:pPr>
        <w:bidi w:val="0"/>
        <w:jc w:val="both"/>
        <w:rPr>
          <w:rFonts w:ascii="Times New Roman" w:hAnsi="Times New Roman"/>
          <w:bCs/>
          <w:i/>
          <w:iCs/>
        </w:rPr>
      </w:pPr>
      <w:r w:rsidRPr="00E37FC6">
        <w:rPr>
          <w:rFonts w:ascii="Times New Roman" w:hAnsi="Times New Roman"/>
          <w:bCs/>
          <w:i/>
          <w:iCs/>
          <w:u w:val="single"/>
        </w:rPr>
        <w:t>za zamestnávateľa</w:t>
      </w:r>
      <w:r w:rsidRPr="00E37FC6">
        <w:rPr>
          <w:rFonts w:ascii="Times New Roman" w:hAnsi="Times New Roman"/>
          <w:b/>
          <w:bCs/>
          <w:i/>
          <w:iCs/>
        </w:rPr>
        <w:t xml:space="preserve"> </w:t>
      </w:r>
      <w:r w:rsidRPr="00E37FC6">
        <w:rPr>
          <w:rFonts w:ascii="Times New Roman" w:hAnsi="Times New Roman"/>
          <w:bCs/>
          <w:i/>
          <w:iCs/>
        </w:rPr>
        <w:t>(zjednodušene)</w:t>
      </w:r>
    </w:p>
    <w:p w:rsidR="004F4B99" w:rsidRPr="00E37FC6" w:rsidP="004F4B99">
      <w:pPr>
        <w:bidi w:val="0"/>
        <w:jc w:val="both"/>
        <w:rPr>
          <w:rFonts w:ascii="Times New Roman" w:hAnsi="Times New Roman"/>
          <w:bCs/>
          <w:i/>
          <w:iCs/>
        </w:rPr>
      </w:pPr>
      <w:r w:rsidRPr="00E37FC6">
        <w:rPr>
          <w:rFonts w:ascii="Times New Roman" w:hAnsi="Times New Roman"/>
          <w:bCs/>
          <w:i/>
          <w:iCs/>
        </w:rPr>
        <w:tab/>
        <w:tab/>
        <w:tab/>
        <w:tab/>
        <w:tab/>
        <w:t xml:space="preserve">          35,2 % z 3 425,53                          = 1 205,78 eura</w:t>
      </w:r>
    </w:p>
    <w:p w:rsidR="004F4B99" w:rsidRPr="00E37FC6" w:rsidP="004F4B99">
      <w:pPr>
        <w:bidi w:val="0"/>
        <w:jc w:val="both"/>
        <w:rPr>
          <w:rFonts w:ascii="Times New Roman" w:hAnsi="Times New Roman"/>
          <w:b/>
          <w:bCs/>
          <w:i/>
          <w:iCs/>
        </w:rPr>
      </w:pPr>
      <w:r w:rsidRPr="00E37FC6">
        <w:rPr>
          <w:rFonts w:ascii="Times New Roman" w:hAnsi="Times New Roman"/>
          <w:b/>
          <w:bCs/>
          <w:i/>
          <w:iCs/>
        </w:rPr>
        <w:t xml:space="preserve">Celkové náklady zamestnávateľa     </w:t>
      </w:r>
      <w:r w:rsidRPr="00E37FC6">
        <w:rPr>
          <w:rFonts w:ascii="Times New Roman" w:hAnsi="Times New Roman"/>
          <w:i/>
          <w:iCs/>
        </w:rPr>
        <w:t>2 400 +459,02 + 566,51 +1 205,78</w:t>
      </w:r>
      <w:r w:rsidRPr="00E37FC6">
        <w:rPr>
          <w:rFonts w:ascii="Times New Roman" w:hAnsi="Times New Roman"/>
          <w:b/>
          <w:bCs/>
          <w:i/>
          <w:iCs/>
        </w:rPr>
        <w:t>        = 4 631,31 eura</w:t>
      </w:r>
    </w:p>
    <w:p w:rsidR="004F4B99" w:rsidRPr="00E37FC6" w:rsidP="004F4B99">
      <w:pPr>
        <w:bidi w:val="0"/>
        <w:jc w:val="both"/>
        <w:rPr>
          <w:rFonts w:ascii="Times New Roman" w:hAnsi="Times New Roman"/>
          <w:b/>
          <w:bCs/>
          <w:i/>
          <w:iCs/>
        </w:rPr>
      </w:pPr>
    </w:p>
    <w:p w:rsidR="004F4B99" w:rsidRPr="00E37FC6" w:rsidP="004F4B99">
      <w:pPr>
        <w:bidi w:val="0"/>
        <w:jc w:val="both"/>
        <w:rPr>
          <w:rFonts w:ascii="Times New Roman" w:hAnsi="Times New Roman"/>
          <w:i/>
          <w:iCs/>
          <w:u w:val="single"/>
        </w:rPr>
      </w:pPr>
      <w:r w:rsidRPr="00E37FC6">
        <w:rPr>
          <w:rFonts w:ascii="Times New Roman" w:hAnsi="Times New Roman"/>
          <w:i/>
          <w:iCs/>
          <w:u w:val="single"/>
        </w:rPr>
        <w:t xml:space="preserve">Príklad </w:t>
      </w:r>
      <w:r>
        <w:rPr>
          <w:rFonts w:ascii="Times New Roman" w:hAnsi="Times New Roman"/>
          <w:i/>
          <w:iCs/>
          <w:u w:val="single"/>
        </w:rPr>
        <w:t>4</w:t>
      </w:r>
      <w:r w:rsidRPr="00E37FC6">
        <w:rPr>
          <w:rFonts w:ascii="Times New Roman" w:hAnsi="Times New Roman"/>
          <w:i/>
          <w:iCs/>
          <w:u w:val="single"/>
        </w:rPr>
        <w:t>:</w:t>
      </w:r>
    </w:p>
    <w:p w:rsidR="004F4B99" w:rsidRPr="00E37FC6" w:rsidP="004F4B99">
      <w:pPr>
        <w:bidi w:val="0"/>
        <w:jc w:val="both"/>
        <w:rPr>
          <w:rFonts w:ascii="Times New Roman" w:hAnsi="Times New Roman"/>
          <w:i/>
          <w:iCs/>
        </w:rPr>
      </w:pPr>
      <w:r w:rsidRPr="00E37FC6">
        <w:rPr>
          <w:rFonts w:ascii="Times New Roman" w:hAnsi="Times New Roman"/>
          <w:i/>
          <w:iCs/>
        </w:rPr>
        <w:t xml:space="preserve">Zamestnanec má v ľubovoľnom mesiaci roku 2015 peňažný príjem 1 000 eur a cena zájazdu, ktorý mu poskytne zamestnávateľ je 2 400 eur. </w:t>
      </w:r>
    </w:p>
    <w:p w:rsidR="004F4B99" w:rsidRPr="00E37FC6" w:rsidP="004F4B99">
      <w:pPr>
        <w:bidi w:val="0"/>
        <w:jc w:val="both"/>
        <w:rPr>
          <w:rFonts w:ascii="Times New Roman" w:hAnsi="Times New Roman"/>
          <w:i/>
          <w:iCs/>
        </w:rPr>
      </w:pPr>
      <w:r w:rsidRPr="00E37FC6">
        <w:rPr>
          <w:rFonts w:ascii="Times New Roman" w:hAnsi="Times New Roman"/>
          <w:i/>
          <w:iCs/>
        </w:rPr>
        <w:t xml:space="preserve">V prvom rade zamestnávateľ pri uplatnení metódy s využitím navýšenia nepeňažného plnenia zamestnávateľ vypočíta NNP: </w:t>
      </w:r>
    </w:p>
    <w:p w:rsidR="004F4B99" w:rsidRPr="00E37FC6" w:rsidP="004F4B99">
      <w:pPr>
        <w:bidi w:val="0"/>
        <w:jc w:val="both"/>
        <w:rPr>
          <w:rFonts w:ascii="Times New Roman" w:hAnsi="Times New Roman"/>
          <w:iCs/>
        </w:rPr>
      </w:pPr>
    </w:p>
    <w:p w:rsidR="004F4B99" w:rsidRPr="00E37FC6" w:rsidP="004F4B99">
      <w:pPr>
        <w:bidi w:val="0"/>
        <w:jc w:val="both"/>
        <w:rPr>
          <w:rFonts w:ascii="Times New Roman" w:hAnsi="Times New Roman"/>
          <w:i/>
          <w:iCs/>
        </w:rPr>
      </w:pPr>
      <w:r w:rsidRPr="00E37FC6">
        <w:rPr>
          <w:rFonts w:ascii="Times New Roman" w:hAnsi="Times New Roman"/>
          <w:i/>
          <w:iCs/>
        </w:rPr>
        <w:t>P = 1/12 zo sumy 176,8-násobku PŽM  x (1 - SD</w:t>
      </w:r>
      <w:r w:rsidRPr="00E37FC6">
        <w:rPr>
          <w:rFonts w:ascii="Times New Roman" w:hAnsi="Times New Roman"/>
          <w:i/>
          <w:iCs/>
          <w:vertAlign w:val="subscript"/>
        </w:rPr>
        <w:t>1</w:t>
      </w:r>
      <w:r w:rsidRPr="00E37FC6">
        <w:rPr>
          <w:rFonts w:ascii="Times New Roman" w:hAnsi="Times New Roman"/>
          <w:i/>
          <w:iCs/>
        </w:rPr>
        <w:t>)</w:t>
      </w:r>
    </w:p>
    <w:p w:rsidR="004F4B99" w:rsidRPr="00E37FC6" w:rsidP="004F4B99">
      <w:pPr>
        <w:bidi w:val="0"/>
        <w:jc w:val="both"/>
        <w:rPr>
          <w:rFonts w:ascii="Times New Roman" w:hAnsi="Times New Roman"/>
          <w:i/>
          <w:iCs/>
        </w:rPr>
      </w:pPr>
      <w:r w:rsidRPr="00E37FC6">
        <w:rPr>
          <w:rFonts w:ascii="Times New Roman" w:hAnsi="Times New Roman"/>
          <w:i/>
          <w:iCs/>
        </w:rPr>
        <w:t>P = 2 918,53 x 0,81 = 2 364,0093</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ČNP = P / (1 - SD</w:t>
      </w:r>
      <w:r w:rsidRPr="00E37FC6">
        <w:rPr>
          <w:rFonts w:ascii="Times New Roman" w:hAnsi="Times New Roman"/>
          <w:i/>
          <w:vertAlign w:val="subscript"/>
        </w:rPr>
        <w:t>1</w:t>
      </w:r>
      <w:r w:rsidRPr="00E37FC6">
        <w:rPr>
          <w:rFonts w:ascii="Times New Roman" w:hAnsi="Times New Roman"/>
          <w:i/>
        </w:rPr>
        <w:t>) + (NP – P) / (1 – SD</w:t>
      </w:r>
      <w:r w:rsidRPr="00E37FC6">
        <w:rPr>
          <w:rFonts w:ascii="Times New Roman" w:hAnsi="Times New Roman"/>
          <w:i/>
          <w:vertAlign w:val="subscript"/>
        </w:rPr>
        <w:t>2</w:t>
      </w:r>
      <w:r w:rsidRPr="00E37FC6">
        <w:rPr>
          <w:rFonts w:ascii="Times New Roman" w:hAnsi="Times New Roman"/>
          <w:i/>
        </w:rPr>
        <w:t>)</w:t>
      </w:r>
    </w:p>
    <w:p w:rsidR="004F4B99" w:rsidRPr="00E37FC6" w:rsidP="004F4B99">
      <w:pPr>
        <w:bidi w:val="0"/>
        <w:jc w:val="both"/>
        <w:rPr>
          <w:rFonts w:ascii="Times New Roman" w:hAnsi="Times New Roman"/>
          <w:i/>
        </w:rPr>
      </w:pPr>
      <w:r w:rsidRPr="00E37FC6">
        <w:rPr>
          <w:rFonts w:ascii="Times New Roman" w:hAnsi="Times New Roman"/>
          <w:i/>
        </w:rPr>
        <w:t xml:space="preserve">ČNP = 2 364,0093 / 0,81 + (2 400 – 2 364,0093) / 0,75  </w:t>
      </w:r>
    </w:p>
    <w:p w:rsidR="004F4B99" w:rsidRPr="00E37FC6" w:rsidP="004F4B99">
      <w:pPr>
        <w:bidi w:val="0"/>
        <w:jc w:val="both"/>
        <w:rPr>
          <w:rFonts w:ascii="Times New Roman" w:hAnsi="Times New Roman"/>
          <w:i/>
        </w:rPr>
      </w:pPr>
      <w:r w:rsidRPr="00E37FC6">
        <w:rPr>
          <w:rFonts w:ascii="Times New Roman" w:hAnsi="Times New Roman"/>
          <w:i/>
        </w:rPr>
        <w:t xml:space="preserve">ČNP = 2 918,53 + 47,9876 = </w:t>
      </w:r>
      <w:r w:rsidRPr="00E37FC6">
        <w:rPr>
          <w:rFonts w:ascii="Times New Roman" w:hAnsi="Times New Roman"/>
          <w:b/>
          <w:i/>
        </w:rPr>
        <w:t>2 966,5176</w:t>
      </w:r>
      <w:r w:rsidRPr="00E37FC6">
        <w:rPr>
          <w:rFonts w:ascii="Times New Roman" w:hAnsi="Times New Roman"/>
          <w:i/>
        </w:rPr>
        <w:t xml:space="preserve"> [nepeňažné plnenie čiastočne navýšené o preddavok na daň (566,51) pri uplatnení daňovej progresie]</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 xml:space="preserve">S ohľadom na existenciu </w:t>
      </w:r>
      <w:r w:rsidRPr="00E37FC6">
        <w:rPr>
          <w:rFonts w:ascii="Times New Roman" w:hAnsi="Times New Roman"/>
          <w:b/>
          <w:i/>
        </w:rPr>
        <w:t>maximálneho vymeriavacieho základu</w:t>
      </w:r>
      <w:r w:rsidRPr="00E37FC6">
        <w:rPr>
          <w:rFonts w:ascii="Times New Roman" w:hAnsi="Times New Roman"/>
          <w:i/>
        </w:rPr>
        <w:t xml:space="preserve"> pri výpočte sumy navýšenia o povinné poistné na ZP a SP je možné ČNP navýšiť o povinné poistné, ktoré je povinný platiť zamestnanec, najviac do sumy poistného z maximálneho vymeriavacieho základu </w:t>
      </w:r>
      <w:r w:rsidRPr="00E37FC6">
        <w:rPr>
          <w:rFonts w:ascii="Times New Roman" w:hAnsi="Times New Roman"/>
          <w:i/>
          <w:iCs/>
        </w:rPr>
        <w:t xml:space="preserve">pre účely sociálneho a zdravotného poistenia </w:t>
      </w:r>
      <w:r w:rsidRPr="00E37FC6">
        <w:rPr>
          <w:rFonts w:ascii="Times New Roman" w:hAnsi="Times New Roman"/>
          <w:i/>
        </w:rPr>
        <w:t xml:space="preserve">(v roku 2015 je to 4 120 eur, t.j. suma povinného poistného, ktoré je povinný platiť zamestnanec z maximálneho vymeriavacieho základu v roku 2015 je 552,08 eur)    </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iCs/>
        </w:rPr>
      </w:pPr>
      <w:r w:rsidRPr="00E37FC6">
        <w:rPr>
          <w:rFonts w:ascii="Times New Roman" w:hAnsi="Times New Roman"/>
          <w:i/>
          <w:iCs/>
        </w:rPr>
        <w:t>NNP = ČNP / (1 - PP)</w:t>
      </w:r>
    </w:p>
    <w:p w:rsidR="004F4B99" w:rsidRPr="00E37FC6" w:rsidP="004F4B99">
      <w:pPr>
        <w:bidi w:val="0"/>
        <w:jc w:val="both"/>
        <w:rPr>
          <w:rFonts w:ascii="Times New Roman" w:hAnsi="Times New Roman"/>
          <w:i/>
          <w:iCs/>
        </w:rPr>
      </w:pPr>
      <w:r w:rsidRPr="00E37FC6">
        <w:rPr>
          <w:rFonts w:ascii="Times New Roman" w:hAnsi="Times New Roman"/>
          <w:i/>
          <w:iCs/>
        </w:rPr>
        <w:t>NNP= 2 966,5176 / 0,866 = 3 425,53995381 = 3 425,53 eur (zaokrúhľovanie § 47 ods.1 zákona)</w:t>
      </w:r>
    </w:p>
    <w:p w:rsidR="004F4B99" w:rsidRPr="00E37FC6" w:rsidP="004F4B99">
      <w:pPr>
        <w:bidi w:val="0"/>
        <w:jc w:val="both"/>
        <w:rPr>
          <w:rFonts w:ascii="Times New Roman" w:hAnsi="Times New Roman"/>
          <w:i/>
          <w:iCs/>
        </w:rPr>
      </w:pPr>
    </w:p>
    <w:p w:rsidR="004F4B99" w:rsidRPr="00E37FC6" w:rsidP="004F4B99">
      <w:pPr>
        <w:bidi w:val="0"/>
        <w:jc w:val="both"/>
        <w:rPr>
          <w:rFonts w:ascii="Times New Roman" w:hAnsi="Times New Roman"/>
          <w:i/>
          <w:iCs/>
        </w:rPr>
      </w:pPr>
      <w:r w:rsidRPr="00E37FC6">
        <w:rPr>
          <w:rFonts w:ascii="Times New Roman" w:hAnsi="Times New Roman"/>
          <w:i/>
          <w:iCs/>
        </w:rPr>
        <w:t xml:space="preserve">Je zrejmé, že súčet NNP (3 425,53) a peňažného príjmu (1 000) presiahol maximálny vymeriavací základ (4 120), z toho dôvodu </w:t>
      </w:r>
      <w:r w:rsidRPr="00E37FC6">
        <w:rPr>
          <w:rFonts w:ascii="Times New Roman" w:hAnsi="Times New Roman"/>
          <w:i/>
          <w:iCs/>
          <w:u w:val="single"/>
        </w:rPr>
        <w:t>na účely výpočtu NNP je možné navýšiť ČNP o povinné poistné len v sume 418,08 eur</w:t>
      </w:r>
      <w:r w:rsidRPr="00E37FC6">
        <w:rPr>
          <w:rFonts w:ascii="Times New Roman" w:hAnsi="Times New Roman"/>
          <w:i/>
          <w:iCs/>
        </w:rPr>
        <w:t xml:space="preserve"> (rozdiel poistného z max. VZ 552,08 eur – poistné z peňažného príjmu 134,00 eur.)</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b/>
          <w:i/>
        </w:rPr>
        <w:t xml:space="preserve">NPP = 2 966,5176 + 418,08 = 3 384,59 eur </w:t>
      </w:r>
      <w:r w:rsidRPr="00E37FC6">
        <w:rPr>
          <w:rFonts w:ascii="Times New Roman" w:hAnsi="Times New Roman"/>
          <w:i/>
        </w:rPr>
        <w:t>(</w:t>
      </w:r>
      <w:r w:rsidRPr="00E37FC6">
        <w:rPr>
          <w:rFonts w:ascii="Times New Roman" w:hAnsi="Times New Roman"/>
          <w:i/>
          <w:iCs/>
        </w:rPr>
        <w:t>zaokrúhľovanie</w:t>
      </w:r>
      <w:r w:rsidRPr="00E37FC6">
        <w:rPr>
          <w:rFonts w:ascii="Times New Roman" w:hAnsi="Times New Roman"/>
          <w:i/>
        </w:rPr>
        <w:t xml:space="preserve"> § 47 ods.1 zákona)</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 xml:space="preserve">úhrn dosiahnutých príjmov = 1 000,00 + 3 384,59 = 4 384,59 eura  </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rPr>
      </w:pPr>
      <w:r w:rsidRPr="00E37FC6">
        <w:rPr>
          <w:rFonts w:ascii="Times New Roman" w:hAnsi="Times New Roman"/>
          <w:i/>
        </w:rPr>
        <w:t>vymeriavací základ = 4 120 eur</w:t>
      </w:r>
    </w:p>
    <w:p w:rsidR="004F4B99" w:rsidRPr="00E37FC6" w:rsidP="004F4B99">
      <w:pPr>
        <w:bidi w:val="0"/>
        <w:jc w:val="both"/>
        <w:rPr>
          <w:rFonts w:ascii="Times New Roman" w:hAnsi="Times New Roman"/>
          <w:i/>
        </w:rPr>
      </w:pPr>
    </w:p>
    <w:p w:rsidR="004F4B99" w:rsidRPr="00E37FC6" w:rsidP="004F4B99">
      <w:pPr>
        <w:bidi w:val="0"/>
        <w:jc w:val="both"/>
        <w:rPr>
          <w:rFonts w:ascii="Times New Roman" w:hAnsi="Times New Roman"/>
          <w:i/>
          <w:iCs/>
        </w:rPr>
      </w:pPr>
      <w:r w:rsidRPr="00E37FC6">
        <w:rPr>
          <w:rFonts w:ascii="Times New Roman" w:hAnsi="Times New Roman"/>
          <w:b/>
          <w:i/>
          <w:iCs/>
        </w:rPr>
        <w:t xml:space="preserve">Výpočet povinného poistného </w:t>
      </w:r>
      <w:r w:rsidRPr="00E37FC6">
        <w:rPr>
          <w:rFonts w:ascii="Times New Roman" w:hAnsi="Times New Roman"/>
          <w:i/>
          <w:iCs/>
        </w:rPr>
        <w:t xml:space="preserve">na ZP a SP </w:t>
      </w:r>
      <w:r w:rsidRPr="00E37FC6">
        <w:rPr>
          <w:rFonts w:ascii="Times New Roman" w:hAnsi="Times New Roman"/>
          <w:i/>
          <w:iCs/>
          <w:u w:val="single"/>
        </w:rPr>
        <w:t>za zamestnanca</w:t>
      </w:r>
      <w:r w:rsidRPr="00E37FC6">
        <w:rPr>
          <w:rFonts w:ascii="Times New Roman" w:hAnsi="Times New Roman"/>
          <w:b/>
          <w:i/>
          <w:iCs/>
        </w:rPr>
        <w:t xml:space="preserve"> </w:t>
      </w:r>
      <w:r w:rsidRPr="00E37FC6">
        <w:rPr>
          <w:rFonts w:ascii="Times New Roman" w:hAnsi="Times New Roman"/>
          <w:i/>
          <w:iCs/>
        </w:rPr>
        <w:t>(zjednodušene)</w:t>
      </w:r>
    </w:p>
    <w:p w:rsidR="004F4B99" w:rsidRPr="00E37FC6" w:rsidP="004F4B99">
      <w:pPr>
        <w:bidi w:val="0"/>
        <w:ind w:left="3540"/>
        <w:jc w:val="both"/>
        <w:rPr>
          <w:rFonts w:ascii="Times New Roman" w:hAnsi="Times New Roman"/>
          <w:i/>
          <w:iCs/>
        </w:rPr>
      </w:pPr>
      <w:r w:rsidRPr="00E37FC6">
        <w:rPr>
          <w:rFonts w:ascii="Times New Roman" w:hAnsi="Times New Roman"/>
          <w:i/>
          <w:iCs/>
        </w:rPr>
        <w:t xml:space="preserve">    13,4 % z 4 120,00                                  =   552,08 eura </w:t>
      </w:r>
    </w:p>
    <w:p w:rsidR="004F4B99" w:rsidRPr="00E37FC6" w:rsidP="004F4B99">
      <w:pPr>
        <w:bidi w:val="0"/>
        <w:ind w:firstLine="708"/>
        <w:jc w:val="both"/>
        <w:rPr>
          <w:rFonts w:ascii="Times New Roman" w:hAnsi="Times New Roman"/>
          <w:i/>
          <w:iCs/>
        </w:rPr>
      </w:pPr>
    </w:p>
    <w:p w:rsidR="004F4B99" w:rsidRPr="00E37FC6" w:rsidP="004F4B99">
      <w:pPr>
        <w:bidi w:val="0"/>
        <w:rPr>
          <w:rFonts w:ascii="Times New Roman" w:hAnsi="Times New Roman"/>
          <w:i/>
          <w:iCs/>
        </w:rPr>
      </w:pPr>
      <w:r w:rsidRPr="00E37FC6">
        <w:rPr>
          <w:rFonts w:ascii="Times New Roman" w:hAnsi="Times New Roman"/>
          <w:b/>
          <w:i/>
          <w:iCs/>
        </w:rPr>
        <w:t>Výpočet preddavkov na daň   </w:t>
      </w:r>
      <w:r w:rsidRPr="00E37FC6">
        <w:rPr>
          <w:rFonts w:ascii="Times New Roman" w:hAnsi="Times New Roman"/>
          <w:i/>
          <w:iCs/>
        </w:rPr>
        <w:t xml:space="preserve">                        19 % x 2 918,53                         = 554,5207         </w:t>
      </w:r>
    </w:p>
    <w:p w:rsidR="004F4B99" w:rsidRPr="00E37FC6" w:rsidP="004F4B99">
      <w:pPr>
        <w:tabs>
          <w:tab w:val="left" w:pos="5670"/>
          <w:tab w:val="left" w:pos="6946"/>
        </w:tabs>
        <w:bidi w:val="0"/>
        <w:rPr>
          <w:rFonts w:ascii="Times New Roman" w:hAnsi="Times New Roman"/>
          <w:i/>
          <w:iCs/>
        </w:rPr>
      </w:pPr>
      <w:r w:rsidRPr="00E37FC6">
        <w:rPr>
          <w:rFonts w:ascii="Times New Roman" w:hAnsi="Times New Roman"/>
          <w:i/>
          <w:iCs/>
        </w:rPr>
        <w:t xml:space="preserve">(ČZD = 4 384,59 – 552,08 = 3 832,51 eur)   </w:t>
      </w:r>
      <w:r w:rsidRPr="00E37FC6">
        <w:rPr>
          <w:rFonts w:ascii="Times New Roman" w:hAnsi="Times New Roman"/>
          <w:i/>
          <w:iCs/>
          <w:u w:val="single"/>
        </w:rPr>
        <w:t xml:space="preserve">25 % x 913,98 (3832,51–2918,53) = 228,495  </w:t>
      </w:r>
      <w:r w:rsidRPr="00E37FC6">
        <w:rPr>
          <w:rFonts w:ascii="Times New Roman" w:hAnsi="Times New Roman"/>
          <w:i/>
          <w:iCs/>
        </w:rPr>
        <w:t> </w:t>
      </w:r>
    </w:p>
    <w:p w:rsidR="004F4B99" w:rsidRPr="00E37FC6" w:rsidP="004F4B99">
      <w:pPr>
        <w:tabs>
          <w:tab w:val="left" w:pos="5670"/>
          <w:tab w:val="left" w:pos="6521"/>
          <w:tab w:val="left" w:pos="6663"/>
          <w:tab w:val="left" w:pos="6946"/>
        </w:tabs>
        <w:bidi w:val="0"/>
        <w:rPr>
          <w:rFonts w:ascii="Times New Roman" w:hAnsi="Times New Roman"/>
          <w:i/>
          <w:iCs/>
        </w:rPr>
      </w:pPr>
      <w:r w:rsidRPr="00E37FC6">
        <w:rPr>
          <w:rFonts w:ascii="Times New Roman" w:hAnsi="Times New Roman"/>
          <w:i/>
          <w:iCs/>
        </w:rPr>
        <w:t>                                                                        preddavok na daň                          = 783,01 eura</w:t>
      </w:r>
    </w:p>
    <w:p w:rsidR="004F4B99" w:rsidRPr="00E37FC6" w:rsidP="004F4B99">
      <w:pPr>
        <w:bidi w:val="0"/>
        <w:rPr>
          <w:rFonts w:ascii="Times New Roman" w:hAnsi="Times New Roman"/>
          <w:i/>
          <w:iCs/>
        </w:rPr>
      </w:pPr>
    </w:p>
    <w:p w:rsidR="004F4B99" w:rsidRPr="00E37FC6" w:rsidP="004F4B99">
      <w:pPr>
        <w:bidi w:val="0"/>
        <w:rPr>
          <w:rFonts w:ascii="Times New Roman" w:hAnsi="Times New Roman"/>
          <w:bCs/>
          <w:i/>
          <w:iCs/>
        </w:rPr>
      </w:pPr>
      <w:r w:rsidRPr="00E37FC6">
        <w:rPr>
          <w:rFonts w:ascii="Times New Roman" w:hAnsi="Times New Roman"/>
          <w:b/>
          <w:bCs/>
          <w:i/>
          <w:iCs/>
        </w:rPr>
        <w:t xml:space="preserve">Nepeňažné plnenie </w:t>
      </w:r>
      <w:r w:rsidRPr="00E37FC6">
        <w:rPr>
          <w:rFonts w:ascii="Times New Roman" w:hAnsi="Times New Roman"/>
          <w:bCs/>
          <w:i/>
          <w:iCs/>
        </w:rPr>
        <w:t>po zrazení povinného poistného a príspevkov a preddavkov na daň</w:t>
      </w:r>
    </w:p>
    <w:p w:rsidR="004F4B99" w:rsidRPr="00E37FC6" w:rsidP="004F4B99">
      <w:pPr>
        <w:bidi w:val="0"/>
        <w:ind w:left="2832" w:firstLine="708"/>
        <w:rPr>
          <w:rFonts w:ascii="Times New Roman" w:hAnsi="Times New Roman"/>
          <w:b/>
          <w:bCs/>
          <w:i/>
          <w:iCs/>
        </w:rPr>
      </w:pPr>
      <w:r w:rsidRPr="00E37FC6">
        <w:rPr>
          <w:rFonts w:ascii="Times New Roman" w:hAnsi="Times New Roman"/>
          <w:bCs/>
          <w:i/>
          <w:iCs/>
        </w:rPr>
        <w:t xml:space="preserve">             </w:t>
      </w:r>
      <w:r w:rsidRPr="00E37FC6">
        <w:rPr>
          <w:rFonts w:ascii="Times New Roman" w:hAnsi="Times New Roman"/>
          <w:b/>
          <w:bCs/>
          <w:i/>
          <w:iCs/>
        </w:rPr>
        <w:t xml:space="preserve">  </w:t>
      </w:r>
      <w:r w:rsidRPr="00E37FC6">
        <w:rPr>
          <w:rFonts w:ascii="Times New Roman" w:hAnsi="Times New Roman"/>
          <w:i/>
          <w:iCs/>
        </w:rPr>
        <w:t>3 384,59 – 418,08 – 566,51</w:t>
      </w:r>
      <w:r w:rsidRPr="00E37FC6">
        <w:rPr>
          <w:rFonts w:ascii="Times New Roman" w:hAnsi="Times New Roman"/>
          <w:b/>
          <w:bCs/>
          <w:i/>
          <w:iCs/>
        </w:rPr>
        <w:t xml:space="preserve">       = 2 400,00 eura</w:t>
      </w:r>
    </w:p>
    <w:p w:rsidR="004F4B99" w:rsidRPr="00E37FC6" w:rsidP="004F4B99">
      <w:pPr>
        <w:bidi w:val="0"/>
        <w:jc w:val="both"/>
        <w:rPr>
          <w:rFonts w:ascii="Times New Roman" w:hAnsi="Times New Roman"/>
          <w:b/>
          <w:i/>
          <w:iCs/>
        </w:rPr>
      </w:pPr>
    </w:p>
    <w:p w:rsidR="004F4B99" w:rsidRPr="00E37FC6" w:rsidP="004F4B99">
      <w:pPr>
        <w:bidi w:val="0"/>
        <w:jc w:val="both"/>
        <w:rPr>
          <w:rFonts w:ascii="Times New Roman" w:hAnsi="Times New Roman"/>
          <w:b/>
          <w:i/>
          <w:iCs/>
        </w:rPr>
      </w:pPr>
      <w:r w:rsidRPr="00E37FC6">
        <w:rPr>
          <w:rFonts w:ascii="Times New Roman" w:hAnsi="Times New Roman"/>
          <w:b/>
          <w:i/>
          <w:iCs/>
        </w:rPr>
        <w:t>Čistý netto peňažný príjem</w:t>
      </w:r>
      <w:r w:rsidRPr="00E37FC6">
        <w:rPr>
          <w:rFonts w:ascii="Times New Roman" w:hAnsi="Times New Roman"/>
          <w:i/>
          <w:iCs/>
        </w:rPr>
        <w:tab/>
        <w:t>1 000 – (783,01 – 566,51) – 134</w:t>
        <w:tab/>
        <w:t xml:space="preserve">                   = </w:t>
      </w:r>
      <w:r w:rsidRPr="00E37FC6">
        <w:rPr>
          <w:rFonts w:ascii="Times New Roman" w:hAnsi="Times New Roman"/>
          <w:b/>
          <w:i/>
          <w:iCs/>
        </w:rPr>
        <w:t>649,50 eura</w:t>
      </w:r>
    </w:p>
    <w:p w:rsidR="004F4B99" w:rsidRPr="00E37FC6" w:rsidP="004F4B99">
      <w:pPr>
        <w:bidi w:val="0"/>
        <w:jc w:val="both"/>
        <w:rPr>
          <w:rFonts w:ascii="Times New Roman" w:hAnsi="Times New Roman"/>
          <w:i/>
          <w:iCs/>
        </w:rPr>
      </w:pPr>
    </w:p>
    <w:p w:rsidR="004F4B99" w:rsidRPr="00E37FC6" w:rsidP="004F4B99">
      <w:pPr>
        <w:bidi w:val="0"/>
        <w:jc w:val="both"/>
        <w:rPr>
          <w:rFonts w:ascii="Times New Roman" w:hAnsi="Times New Roman"/>
          <w:bCs/>
          <w:i/>
          <w:iCs/>
        </w:rPr>
      </w:pPr>
      <w:r w:rsidRPr="00E37FC6">
        <w:rPr>
          <w:rFonts w:ascii="Times New Roman" w:hAnsi="Times New Roman"/>
          <w:b/>
          <w:i/>
          <w:iCs/>
        </w:rPr>
        <w:t xml:space="preserve">Výpočet povinného poistného </w:t>
      </w:r>
      <w:r w:rsidRPr="00E37FC6">
        <w:rPr>
          <w:rFonts w:ascii="Times New Roman" w:hAnsi="Times New Roman"/>
          <w:i/>
          <w:iCs/>
        </w:rPr>
        <w:t xml:space="preserve">na ZP </w:t>
      </w:r>
      <w:r w:rsidRPr="00E37FC6">
        <w:rPr>
          <w:rFonts w:ascii="Times New Roman" w:hAnsi="Times New Roman"/>
          <w:bCs/>
          <w:i/>
          <w:iCs/>
        </w:rPr>
        <w:t xml:space="preserve">a povinného poistného a príspevkov na SP             </w:t>
      </w:r>
    </w:p>
    <w:p w:rsidR="004F4B99" w:rsidRPr="00E37FC6" w:rsidP="004F4B99">
      <w:pPr>
        <w:bidi w:val="0"/>
        <w:jc w:val="both"/>
        <w:rPr>
          <w:rFonts w:ascii="Times New Roman" w:hAnsi="Times New Roman"/>
          <w:i/>
          <w:iCs/>
        </w:rPr>
      </w:pPr>
      <w:r w:rsidRPr="00E37FC6">
        <w:rPr>
          <w:rFonts w:ascii="Times New Roman" w:hAnsi="Times New Roman"/>
          <w:i/>
          <w:iCs/>
          <w:u w:val="single"/>
        </w:rPr>
        <w:t>za zamestnávateľa</w:t>
      </w:r>
      <w:r w:rsidRPr="00E37FC6">
        <w:rPr>
          <w:rFonts w:ascii="Times New Roman" w:hAnsi="Times New Roman"/>
          <w:b/>
          <w:i/>
          <w:iCs/>
        </w:rPr>
        <w:t xml:space="preserve"> </w:t>
      </w:r>
      <w:r w:rsidRPr="00E37FC6">
        <w:rPr>
          <w:rFonts w:ascii="Times New Roman" w:hAnsi="Times New Roman"/>
          <w:i/>
          <w:iCs/>
        </w:rPr>
        <w:t>(zjednodušene)</w:t>
      </w:r>
    </w:p>
    <w:p w:rsidR="004F4B99" w:rsidRPr="00E37FC6" w:rsidP="004F4B99">
      <w:pPr>
        <w:bidi w:val="0"/>
        <w:jc w:val="both"/>
        <w:rPr>
          <w:rFonts w:ascii="Times New Roman" w:hAnsi="Times New Roman"/>
          <w:b/>
          <w:bCs/>
          <w:i/>
          <w:iCs/>
        </w:rPr>
      </w:pPr>
      <w:r w:rsidRPr="00E37FC6">
        <w:rPr>
          <w:rFonts w:ascii="Times New Roman" w:hAnsi="Times New Roman"/>
          <w:b/>
          <w:bCs/>
          <w:i/>
          <w:iCs/>
        </w:rPr>
        <w:tab/>
        <w:tab/>
        <w:tab/>
        <w:tab/>
        <w:t xml:space="preserve">                 </w:t>
      </w:r>
      <w:r w:rsidRPr="00E37FC6">
        <w:rPr>
          <w:rFonts w:ascii="Times New Roman" w:hAnsi="Times New Roman"/>
          <w:bCs/>
          <w:i/>
          <w:iCs/>
        </w:rPr>
        <w:t xml:space="preserve">35,2 % z 4 120                                     = 1 450,24 eura           </w:t>
      </w:r>
    </w:p>
    <w:p w:rsidR="004F4B99" w:rsidRPr="00E37FC6" w:rsidP="004F4B99">
      <w:pPr>
        <w:bidi w:val="0"/>
        <w:jc w:val="both"/>
        <w:rPr>
          <w:rFonts w:ascii="Times New Roman" w:hAnsi="Times New Roman"/>
          <w:b/>
          <w:bCs/>
          <w:i/>
          <w:iCs/>
        </w:rPr>
      </w:pPr>
      <w:r w:rsidRPr="00E37FC6">
        <w:rPr>
          <w:rFonts w:ascii="Times New Roman" w:hAnsi="Times New Roman"/>
          <w:b/>
          <w:bCs/>
          <w:i/>
          <w:iCs/>
        </w:rPr>
        <w:t>Celkové náklady zamestnávateľa </w:t>
      </w:r>
      <w:r w:rsidRPr="00E37FC6">
        <w:rPr>
          <w:rFonts w:ascii="Times New Roman" w:hAnsi="Times New Roman"/>
          <w:i/>
          <w:iCs/>
        </w:rPr>
        <w:t xml:space="preserve">2400 + 418,08 + 566,51 +1000 +1 450,24 </w:t>
      </w:r>
      <w:r w:rsidRPr="00E37FC6">
        <w:rPr>
          <w:rFonts w:ascii="Times New Roman" w:hAnsi="Times New Roman"/>
          <w:b/>
          <w:bCs/>
          <w:i/>
          <w:iCs/>
        </w:rPr>
        <w:t>= 5 834,83 eura</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 xml:space="preserve">Pri metódach 1 a 2 sa neuvažovalo o uplatňovaní nezdaniteľných častí na daňovníka.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u w:val="single"/>
        </w:rPr>
        <w:t>Sadzba pre platenie povinného poistného zamestnancom</w:t>
      </w:r>
      <w:r w:rsidRPr="00E37FC6">
        <w:rPr>
          <w:rFonts w:ascii="Times New Roman" w:hAnsi="Times New Roman"/>
        </w:rPr>
        <w:t xml:space="preserve"> bude použitá v závislosti od zaradenia a kategórie poistenca podľa osobitných predpisov (napr. bude zohľadnené zdravotné postihnutie zamestnanca, kategória študenta, dôchodcu, pravidelnosť príjmu...).</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 xml:space="preserve">Navýšenie nepeňažného príjmu </w:t>
      </w:r>
      <w:r w:rsidRPr="00E37FC6">
        <w:rPr>
          <w:rFonts w:ascii="Times New Roman" w:hAnsi="Times New Roman"/>
          <w:b/>
          <w:bCs/>
        </w:rPr>
        <w:t>sa nebude vzťahovať</w:t>
      </w:r>
      <w:r w:rsidRPr="00E37FC6">
        <w:rPr>
          <w:rFonts w:ascii="Times New Roman" w:hAnsi="Times New Roman"/>
          <w:b/>
        </w:rPr>
        <w:t xml:space="preserve"> na</w:t>
      </w:r>
      <w:r w:rsidRPr="00E37FC6">
        <w:rPr>
          <w:rFonts w:ascii="Times New Roman" w:hAnsi="Times New Roman"/>
        </w:rPr>
        <w:t xml:space="preserve"> nepeňažný príjem zamestnanca za poskytnutie motorového vozidla na služobné a súkromné účely [§ 5 ods. 3 písm. a) zákona], na nepeňažné plnenie poskytnuté od bývalého zamestnávateľa poberateľovi predčasného starobného dôchodku, starobného dôchodku, poberateľovi výsluhového dôchodku po dovŕšení dôchodkového veku alebo osobe, na ktorú prešlo právo na tieto plnenia [§ 5 ods. 1 písm. k) zákona] a na odmeny za výkon funkcie predsedu, člena a zapisovateľa volebnej komisie, predsedu, člena a zapisovateľa komisie pre referendum a sčítacieho komisára [§ 5 ods. 1 písm. j) zákona]. </w:t>
      </w:r>
    </w:p>
    <w:p w:rsidR="004F4B99" w:rsidRPr="00E37FC6" w:rsidP="004F4B99">
      <w:pPr>
        <w:pStyle w:val="ListParagraph"/>
        <w:bidi w:val="0"/>
        <w:spacing w:after="0" w:line="240" w:lineRule="auto"/>
        <w:ind w:left="0"/>
        <w:jc w:val="both"/>
        <w:rPr>
          <w:rFonts w:ascii="Times New Roman" w:hAnsi="Times New Roman"/>
          <w:sz w:val="24"/>
          <w:szCs w:val="24"/>
        </w:rPr>
      </w:pPr>
    </w:p>
    <w:p w:rsidR="004F4B99" w:rsidRPr="00E37FC6" w:rsidP="004F4B99">
      <w:pPr>
        <w:bidi w:val="0"/>
        <w:jc w:val="both"/>
        <w:rPr>
          <w:rFonts w:ascii="Times New Roman" w:hAnsi="Times New Roman"/>
        </w:rPr>
      </w:pPr>
      <w:r>
        <w:rPr>
          <w:rFonts w:ascii="Times New Roman" w:hAnsi="Times New Roman"/>
        </w:rPr>
        <w:t>Z dôvodu právnej istoty je p</w:t>
      </w:r>
      <w:r w:rsidRPr="00E37FC6">
        <w:rPr>
          <w:rFonts w:ascii="Times New Roman" w:hAnsi="Times New Roman"/>
        </w:rPr>
        <w:t xml:space="preserve">odľa § 19 ods. 2 písm. c) siedmeho bodu daňovým výdavkom aj vypočítaná suma navýšenia o povinné poistné zrazené zamestnancovi a odvedené zamestnávateľom za zamestnanca z poskytnutého nepeňažného plnenia </w:t>
      </w:r>
      <w:r w:rsidRPr="00991EA8">
        <w:rPr>
          <w:rFonts w:ascii="Times New Roman" w:hAnsi="Times New Roman"/>
        </w:rPr>
        <w:t>[§ 5 ods. 3 písm. d) zákona] a vypočítaná suma navýšenia o preddavky na daň z tohto nepeňažného plnenia. V tejto súvislosti sa doplnil aj § 35 ods. 6 zákona. Sumu navýšeného nepeňažného plnenia je zamestnávateľ povinný viesť na mzdovom liste zamestnanca podľa § 39 ods. 2 písm. f) bod 2.</w:t>
      </w:r>
      <w:r w:rsidRPr="00E37FC6">
        <w:rPr>
          <w:rFonts w:ascii="Times New Roman" w:hAnsi="Times New Roman"/>
        </w:rPr>
        <w:t xml:space="preserve"> </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8 a 39 - § 6 ods. 9 a § 19 ods. 3 písm. i)</w:t>
      </w:r>
    </w:p>
    <w:p w:rsidR="004F4B99" w:rsidRPr="00E37FC6" w:rsidP="004F4B99">
      <w:pPr>
        <w:shd w:val="clear" w:color="auto" w:fill="FFFFFF"/>
        <w:bidi w:val="0"/>
        <w:jc w:val="both"/>
        <w:rPr>
          <w:rFonts w:ascii="Times New Roman" w:hAnsi="Times New Roman"/>
        </w:rPr>
      </w:pPr>
      <w:r w:rsidRPr="00E37FC6">
        <w:rPr>
          <w:rFonts w:ascii="Times New Roman" w:hAnsi="Times New Roman"/>
        </w:rPr>
        <w:t>Podľa navrhovanej úpravy sa vypúšťa možnosť zahrnovania uhradenia poistného a príspevkov spoločnosťou v.o.s. za svojich spoločníkov alebo k.s. za svojich komplementárov do daňových výdavkov. Uvedená úprava je vykonaná z dôvodu, že spoločníci v.o.s. a komplementári k.s. sú považovaní na účely zákona za daňovníkov dosahujúcich príjmy z podnikania podľa § 6 ods. 1 písm. d) zákona, ktorí majú možnosť uplatnenia týchto výdavkov, ak si ich sami preukázateľne zaplatia a súvisia s ich dosahovanými príjmami podľa § 6 ods. 1 zákona.</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shd w:val="clear" w:color="auto" w:fill="FFFFFF"/>
        <w:bidi w:val="0"/>
        <w:jc w:val="both"/>
        <w:rPr>
          <w:rFonts w:ascii="Times New Roman" w:hAnsi="Times New Roman"/>
          <w:b/>
          <w:bCs/>
        </w:rPr>
      </w:pPr>
      <w:r w:rsidRPr="00E37FC6">
        <w:rPr>
          <w:rFonts w:ascii="Times New Roman" w:hAnsi="Times New Roman"/>
          <w:b/>
          <w:bCs/>
        </w:rPr>
        <w:t>K bodom 9, 11, 14, 16, 28, 50, 81, 82 a 8</w:t>
      </w:r>
      <w:r>
        <w:rPr>
          <w:rFonts w:ascii="Times New Roman" w:hAnsi="Times New Roman"/>
          <w:b/>
          <w:bCs/>
        </w:rPr>
        <w:t>4</w:t>
      </w:r>
      <w:r w:rsidRPr="00E37FC6">
        <w:rPr>
          <w:rFonts w:ascii="Times New Roman" w:hAnsi="Times New Roman"/>
          <w:b/>
          <w:bCs/>
        </w:rPr>
        <w:t xml:space="preserve"> - § 8 ods. 1 písm. l), ods. 3 písm. c) a ods. 13, § 9 ods. 2 písm. y), § 17 ods. 31, § 21 ods. 2 písm. l), § 43 ods. 3 písm. o), ods. 17 a 18 a § 49a ods. 3</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Navrhovaná úprava mení spôsob zdaňovania peňažných a nepeňažných plnení poskytnutých poskytovateľovi zdravotnej starostlivosti, jeho zamestnancovi alebo zdravotníckemu pracovníkovi od držiteľa registrácie lieku, držiteľa povolenia na veľkodistribúciu liekov, držiteľa povolenia na výrobu liekov, výrobcu zdravotníckej pomôcky, výrobcu dietetickej potraviny alebo prostredníctvom tretej osoby.</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V § 8 ods. 1 písm. l) zákona sa z dôvodu právnej istoty dopĺňa medzi osoby, od ktorých plynú peňažné a nepeňažné plnenia poskytovateľovi zdravotnej starostlivosti, jeho zamestnancovi alebo zdravotníckemu pracovníkovi aj farmaceutická spoločnosť. Zároveň sa zavádza aj legislatívna skratka „držiteľ“ pre vymedzený okruh osôb, od ktorých sa predmetné plnenia budú zdaňovať osobitným spôsobom.</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Podľa § 8 ods. 13 a § 17 ods. 31 zákona sa mení spôsob zdaňovania predmetných plnení zrážkovou daňou, pričom ak ide</w:t>
      </w:r>
    </w:p>
    <w:p w:rsidR="004F4B99" w:rsidRPr="00E37FC6" w:rsidP="004F4B99">
      <w:pPr>
        <w:pStyle w:val="ListParagraph"/>
        <w:numPr>
          <w:numId w:val="37"/>
        </w:numPr>
        <w:bidi w:val="0"/>
        <w:spacing w:after="0" w:line="240" w:lineRule="auto"/>
        <w:ind w:left="284" w:hanging="284"/>
        <w:contextualSpacing w:val="0"/>
        <w:jc w:val="both"/>
        <w:rPr>
          <w:rFonts w:ascii="Times New Roman" w:hAnsi="Times New Roman"/>
          <w:sz w:val="24"/>
          <w:szCs w:val="24"/>
        </w:rPr>
      </w:pPr>
      <w:r w:rsidRPr="00E37FC6">
        <w:rPr>
          <w:rFonts w:ascii="Times New Roman" w:hAnsi="Times New Roman"/>
          <w:sz w:val="24"/>
          <w:szCs w:val="24"/>
        </w:rPr>
        <w:t>o peňažné plnenia - tieto bude zdaňovať sám držiteľ, ktorý ich vyplatil,</w:t>
      </w:r>
    </w:p>
    <w:p w:rsidR="004F4B99" w:rsidRPr="00E37FC6" w:rsidP="004F4B99">
      <w:pPr>
        <w:pStyle w:val="ListParagraph"/>
        <w:numPr>
          <w:numId w:val="37"/>
        </w:numPr>
        <w:bidi w:val="0"/>
        <w:spacing w:after="0" w:line="240" w:lineRule="auto"/>
        <w:ind w:left="284" w:hanging="284"/>
        <w:contextualSpacing w:val="0"/>
        <w:jc w:val="both"/>
        <w:rPr>
          <w:rFonts w:ascii="Times New Roman" w:hAnsi="Times New Roman"/>
          <w:sz w:val="24"/>
          <w:szCs w:val="24"/>
        </w:rPr>
      </w:pPr>
      <w:r w:rsidRPr="00E37FC6">
        <w:rPr>
          <w:rFonts w:ascii="Times New Roman" w:hAnsi="Times New Roman"/>
          <w:sz w:val="24"/>
          <w:szCs w:val="24"/>
        </w:rPr>
        <w:t>o nepeňažné plnenie - tieto bude zdaňovať sám poskytovateľ zdravotnej starostlivosti, jeho zamestnanec alebo zdravotnícky pracovník, ktorý ho od držiteľa prijal.</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 xml:space="preserve">Spôsob zdanenia uvedených príjmov zrážkovou daňou, ak sú vyplácané držiteľom, sa navrhuje bez ohľadu na skutočnosť, či sú vyplácané fyzickej osobe alebo právnickej osobe, pričom v súlade s navrhovanou úpravou v § 43 zákona, ak pôjde </w:t>
      </w:r>
    </w:p>
    <w:p w:rsidR="004F4B99" w:rsidRPr="00E37FC6" w:rsidP="004F4B99">
      <w:pPr>
        <w:pStyle w:val="ListParagraph"/>
        <w:numPr>
          <w:numId w:val="37"/>
        </w:numPr>
        <w:bidi w:val="0"/>
        <w:spacing w:after="0" w:line="240" w:lineRule="auto"/>
        <w:ind w:left="284" w:hanging="284"/>
        <w:contextualSpacing w:val="0"/>
        <w:jc w:val="both"/>
        <w:rPr>
          <w:rFonts w:ascii="Times New Roman" w:hAnsi="Times New Roman"/>
          <w:sz w:val="24"/>
          <w:szCs w:val="24"/>
        </w:rPr>
      </w:pPr>
      <w:r w:rsidRPr="00E37FC6">
        <w:rPr>
          <w:rFonts w:ascii="Times New Roman" w:hAnsi="Times New Roman"/>
          <w:sz w:val="24"/>
          <w:szCs w:val="24"/>
        </w:rPr>
        <w:t>o peňažné plnenie, platiteľom dane je držiteľ, ktorý pri zrazení dane postupuje v súlade s   § 43 ods. 10 až 12 zákona,</w:t>
      </w:r>
    </w:p>
    <w:p w:rsidR="004F4B99" w:rsidRPr="00E37FC6" w:rsidP="004F4B99">
      <w:pPr>
        <w:pStyle w:val="ListParagraph"/>
        <w:numPr>
          <w:numId w:val="37"/>
        </w:numPr>
        <w:bidi w:val="0"/>
        <w:spacing w:after="0" w:line="240" w:lineRule="auto"/>
        <w:ind w:left="284" w:hanging="284"/>
        <w:contextualSpacing w:val="0"/>
        <w:jc w:val="both"/>
        <w:rPr>
          <w:rFonts w:ascii="Times New Roman" w:hAnsi="Times New Roman"/>
          <w:sz w:val="24"/>
          <w:szCs w:val="24"/>
        </w:rPr>
      </w:pPr>
      <w:r w:rsidRPr="00E37FC6">
        <w:rPr>
          <w:rFonts w:ascii="Times New Roman" w:hAnsi="Times New Roman"/>
          <w:sz w:val="24"/>
          <w:szCs w:val="24"/>
        </w:rPr>
        <w:t xml:space="preserve">o nepeňažné plnenie, platiteľom dane je príjemca nepeňažného plnenia, ktorý postupuje podľa navrhovaného znenia § 43 ods. 17 zákona, t.j. odvedie daň zrážkou do konca kalendárneho mesiaca po uplynutí kalendárneho štvrťroka, v ktorom bolo nepeňažné plnenie prijaté a zároveň oznámi správcovi dane na tlačive, ktoré vydá FR SR, údaje o zrazenej a odvedenej dani a ďalšie údaje uvedené v tomto návrhu zákona.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 xml:space="preserve">Držiteľ, ktorý vypláca peňažné plnenie alebo poskytuje nepeňažné plnenia oznamuje správcovi dane  tieto skutočnosti do 15 dňa po uplynutí kalendárneho štvrťroka, v ktorom peňažné plnenie vyplatil alebo nepeňažné plnenie poskytol a to v rozsahu navrhnutom v zákone. </w:t>
      </w:r>
    </w:p>
    <w:p w:rsidR="004F4B99" w:rsidRPr="00E37FC6" w:rsidP="004F4B99">
      <w:pPr>
        <w:bidi w:val="0"/>
        <w:jc w:val="both"/>
        <w:rPr>
          <w:rFonts w:ascii="Times New Roman" w:hAnsi="Times New Roman"/>
        </w:rPr>
      </w:pPr>
      <w:r w:rsidRPr="00E37FC6">
        <w:rPr>
          <w:rFonts w:ascii="Times New Roman" w:hAnsi="Times New Roman"/>
        </w:rPr>
        <w:t>Držiteľ stanoví a v oznámení uvedie hodnotu nepeňažného plnenia ako cenu vrátane DPH.</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rPr>
      </w:pPr>
      <w:r w:rsidRPr="00E37FC6">
        <w:rPr>
          <w:rFonts w:ascii="Times New Roman" w:hAnsi="Times New Roman"/>
        </w:rPr>
        <w:t xml:space="preserve">Zákon naďalej neupravuje taxatívne možnosti vyčíslenia nepeňažného plnenia, pričom držiteľ musí vychádzať zo skutočne uhradených nákladov. Avšak napr. na účely vyčíslenia zdaniteľného príjmu v prípade hromadne organizovaných akcií (zabezpečenie  pohostenia pre účastníkov odborného podujatia formou švédskych stolov a pod.) môže organizátor podujatia vychádzať z celkovej priemernej predpokladanej spotreby, t.j. tzv. nepeňažného príjmu založeného na pomere plánovaných nákladov na nepeňažné zdaniteľné plnenia a plánovanom počte účastníkov. </w:t>
      </w:r>
    </w:p>
    <w:p w:rsidR="004F4B99" w:rsidRPr="00E37FC6" w:rsidP="004F4B99">
      <w:pPr>
        <w:pStyle w:val="Default"/>
        <w:bidi w:val="0"/>
        <w:jc w:val="both"/>
        <w:rPr>
          <w:rFonts w:ascii="Times New Roman" w:hAnsi="Times New Roman" w:cs="Times New Roman"/>
          <w:color w:val="auto"/>
        </w:rPr>
      </w:pPr>
      <w:r w:rsidRPr="00E37FC6">
        <w:rPr>
          <w:rFonts w:ascii="Times New Roman" w:hAnsi="Times New Roman" w:cs="Times New Roman"/>
          <w:color w:val="auto"/>
        </w:rPr>
        <w:t xml:space="preserve">Takto stanovený príjem môže byť použitý na účely výpočtu zrážkovej dane bez ohľadu na skutočnú spotrebu daného účastníka (t. j. jeho konzumáciu na podujatí). Organizátor podujatia uvedený nepeňažný zdaniteľný príjem oznámi všetkým účastníkom podujatia vopred (napr. formou oznámenia na pozvánke). </w:t>
      </w:r>
    </w:p>
    <w:p w:rsidR="004F4B99" w:rsidRPr="00E37FC6" w:rsidP="004F4B99">
      <w:pPr>
        <w:pStyle w:val="Default"/>
        <w:bidi w:val="0"/>
        <w:jc w:val="both"/>
        <w:rPr>
          <w:rFonts w:ascii="Times New Roman" w:hAnsi="Times New Roman" w:cs="Times New Roman"/>
          <w:color w:val="auto"/>
        </w:rPr>
      </w:pPr>
      <w:r w:rsidRPr="00E37FC6">
        <w:rPr>
          <w:rFonts w:ascii="Times New Roman" w:hAnsi="Times New Roman" w:cs="Times New Roman"/>
          <w:color w:val="auto"/>
        </w:rPr>
        <w:t>Organizátor podujatia nepeňažné plnenia poskytované v súvislosti s účasťou na odbornom podujatí vyčísli primerane s ohľadom na povahu a rozsah daného podujatia. Organizátor podujatia na žiadosť správcu dane preukáže podkladové údaje, z ktorých vychádzal pri kalkulácii výšky nepeňažného príjmu vzťahujúceho sa na účasť zdravotníckeho pracovníka na podujatí a zdôvodní odchýlky medzi plánovaným a reálnym nepeňažným plnením pripadajúcim na jedného účastníka podujatia. Podporná dokumentácia bude zohľadňovať napr. obvyklý počet účastníkov na porovnateľných podujatiach organizovaných v minulosti, počet odborných lekárov zaoberajúcich sa danou problematikou v regióne, kde sa podujatie konalo (napr. počet diabetológov, ak bolo odborné podujatie zamerané na témy z diabetologicko-terapeutickej oblasti), zdokladovanie celkových nákladov vynaložených na zabezpečenie organizácie podujatia a ich porovnanie s poskytovanými nepeňažnými zdaniteľnými plneniami, preukázanie pozvania plánovaného počtu účastníkov na podujatie (napríklad e-mailom).</w:t>
      </w:r>
    </w:p>
    <w:p w:rsidR="004F4B99" w:rsidRPr="00E37FC6" w:rsidP="004F4B99">
      <w:pPr>
        <w:bidi w:val="0"/>
        <w:jc w:val="both"/>
        <w:rPr>
          <w:rFonts w:ascii="Times New Roman" w:hAnsi="Times New Roman"/>
        </w:rPr>
      </w:pP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Zrážkovej dani nepodliehajú plnenia od držiteľa za vykonanie klinického skúšania poskytovateľom zdravotnej starostlivosti, jeho zamestnancom alebo zdravotníckym pracovníkom vykonaným podľa zákona č. 362/2011 Z. z. o liekoch v znení neskorších predpisov. Tieto budú zdaňované v rámci vykonávania činnosti daňovníkov, ktorí klinické skúšanie vykonávajú a dosahujú z neho príjmy. Ak príjmy plynú od držiteľa za vykonávanie klinického skúšania priamo poskytovateľovi zdravotnej starostlivosti, zdravotníckemu pracovníkovi aj keď je zamestnancom poskytovateľa zdravotnej starostlivosti [§ 8 ods. 1 písm. l)] alebo lekárovi dosahujúceho príjmy z vykonávania samostatnej zdravotníckej praxe [§ 6 ods. 1 písm. c)], tieto je možné znížiť o výdavky platené v súvislosti s vykonávaním klinického skúšania.</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Od dane sú oslobodené všetky plnenia, ktoré plynú od držiteľa poskytovateľovi zdravotnej starostlivosti, jeho zamestnancovi alebo zdravotníckemu pracovníkovi priamo súvisiace s ich sústavným vzdelávaním podľa § 42 zákona č. 578/2004 Z. z. o poskytovateľoch zdravotnej starostlivosti, zdravotníckych pracovníkoch, stavovských organizáciách. Takýmito oslobodenými plneniami je napr. uhradenie odmeny lektora, prenájom prednáškovej sály, pracovné pomôcky a pod. Oslobodeným plnením nie sú úhrady držiteľa na cestovné, stravu a ubytovanie lekárov alebo iných zdravotníckych pracovníkov.</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Všetky plnenia hradené držiteľom za poskytovateľa zdravotnej starostlivosti, jeho zamestnanca alebo zdravotníckeho pracovníka na inom vzdelávacom alebo odbornom podujatí ako je povinné sústavné vzdelávanie podľa osobitného predpisu je zdaniteľným príjmom u prijímateľa takéhoto plnenia podľa § 8 ods. 1 písm. l) a § 17 ods. 31 zákona.</w:t>
      </w:r>
    </w:p>
    <w:p w:rsidR="004F4B99" w:rsidRPr="00E37FC6" w:rsidP="004F4B99">
      <w:pPr>
        <w:shd w:val="clear" w:color="auto" w:fill="FFFFFF"/>
        <w:bidi w:val="0"/>
        <w:rPr>
          <w:rFonts w:ascii="Times New Roman" w:hAnsi="Times New Roman"/>
          <w:b/>
        </w:rPr>
      </w:pPr>
    </w:p>
    <w:p w:rsidR="004F4B99" w:rsidRPr="00E37FC6" w:rsidP="004F4B99">
      <w:pPr>
        <w:shd w:val="clear" w:color="auto" w:fill="FFFFFF"/>
        <w:bidi w:val="0"/>
        <w:rPr>
          <w:rFonts w:ascii="Times New Roman" w:hAnsi="Times New Roman"/>
          <w:b/>
        </w:rPr>
      </w:pPr>
      <w:r w:rsidRPr="00E37FC6">
        <w:rPr>
          <w:rFonts w:ascii="Times New Roman" w:hAnsi="Times New Roman"/>
          <w:b/>
        </w:rPr>
        <w:t>K bodu 10 a 15 - § 8 ods. 1 písm. n) a § 9 ods. 2 písm. i)</w:t>
      </w:r>
    </w:p>
    <w:p w:rsidR="004F4B99" w:rsidRPr="00E37FC6" w:rsidP="004F4B99">
      <w:pPr>
        <w:bidi w:val="0"/>
        <w:jc w:val="both"/>
        <w:rPr>
          <w:rFonts w:ascii="Times New Roman" w:hAnsi="Times New Roman"/>
        </w:rPr>
      </w:pPr>
      <w:r w:rsidRPr="00E37FC6">
        <w:rPr>
          <w:rFonts w:ascii="Times New Roman" w:hAnsi="Times New Roman"/>
        </w:rPr>
        <w:t>Navrhovanou úpravou sa náhrada nemajetkovej ujmy vyplácaná podľa § 13 ods. 2 Občianskeho zákonníka bude považovať za zdaniteľný príjem podľa § 8 zákona. Podľa § 13 ods. 2 Občianskeho zákonníka má fyzická osoba, ktorej je v značnej miere znížená dôstojnosť alebo vážnosť v spoločnosti, právo na náhradu nemajetkovej ujmy v peniazoch.</w:t>
      </w:r>
    </w:p>
    <w:p w:rsidR="004F4B99" w:rsidRPr="00E37FC6" w:rsidP="004F4B99">
      <w:pPr>
        <w:shd w:val="clear" w:color="auto" w:fill="FFFFFF"/>
        <w:bidi w:val="0"/>
        <w:jc w:val="both"/>
        <w:rPr>
          <w:rFonts w:ascii="Times New Roman" w:hAnsi="Times New Roman"/>
          <w:b/>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 xml:space="preserve">K bodu 12 - § 8 ods. 5 písm. f) </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Od 1.1.2015 sa podľa navrhovaného znenia pri príjme z prevodu vlastníctva nehnuteľnosti, za preukázateľne vynaložený výdavok  na obstaranie tejto nehnuteľnosti považuje aj úhrada za prevod členských práv a povinností spojených s členstvom v bytovom družstve podľa písmena f) prvého bodu. Z dôvodu právnej istoty sa dopĺňa písmeno f) o druhý bod, podľa ktorého je možnosť uplatnenia výdavkov k príjmom z prevodu nehnuteľnosti aj o úroky z hypotekárneho úveru alebo stavebného úveru súvisiace s obstaraním tejto nehnuteľnosti okrem úrokov, ktoré boli uplatnené ako daňový výdavok počas zaradenia nehnuteľnosti do obchodného majetku. Rovnako sa budú posudzovať aj iné poplatky súvisiace s poskytnutým úverom. Uvedená možnosť uplatnenia výdavkov je len pre hypotekárne úvery a stavebné úvery, a to z dôvodu, že len pri týchto formách úverov je možné preukázať súvislosť s predávanou nehnuteľnosťou.</w:t>
      </w:r>
    </w:p>
    <w:p w:rsidR="004F4B99" w:rsidRPr="00E37FC6" w:rsidP="004F4B99">
      <w:pPr>
        <w:bidi w:val="0"/>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 xml:space="preserve">K bodu 13 - § 8 ods. 7 </w:t>
      </w:r>
    </w:p>
    <w:p w:rsidR="004F4B99" w:rsidRPr="00E37FC6" w:rsidP="004F4B99">
      <w:pPr>
        <w:pStyle w:val="ListParagraph"/>
        <w:shd w:val="clear" w:color="auto" w:fill="FFFFFF"/>
        <w:bidi w:val="0"/>
        <w:spacing w:after="0" w:line="240" w:lineRule="auto"/>
        <w:ind w:left="0"/>
        <w:jc w:val="both"/>
        <w:rPr>
          <w:rFonts w:ascii="Times New Roman" w:hAnsi="Times New Roman"/>
          <w:sz w:val="24"/>
          <w:szCs w:val="24"/>
        </w:rPr>
      </w:pPr>
      <w:r w:rsidRPr="00E37FC6">
        <w:rPr>
          <w:rFonts w:ascii="Times New Roman" w:hAnsi="Times New Roman"/>
          <w:sz w:val="24"/>
          <w:szCs w:val="24"/>
        </w:rPr>
        <w:t>Z dôvodu právnej istoty sa v ustanovení spresňuje možnosť odpočítania výdavkov pri príjmoch z prevodu podielov na spoločnosti s ručením obmedzeným, komanditnej spoločnosti alebo členského práva družstva, ktoré boli nadobudnuté dedením alebo darovaním, a to výdavku vo výške reprodukčnej obstarávacej ceny určenej podľa § 25 zákona zistenej v čase nadobudnutia tohto majetku darom alebo dedením.</w:t>
      </w:r>
    </w:p>
    <w:p w:rsidR="004F4B99" w:rsidRPr="00E37FC6" w:rsidP="004F4B99">
      <w:pPr>
        <w:shd w:val="clear" w:color="auto" w:fill="FFFFFF"/>
        <w:bidi w:val="0"/>
        <w:rPr>
          <w:rFonts w:ascii="Times New Roman" w:hAnsi="Times New Roman"/>
          <w:b/>
        </w:rPr>
      </w:pPr>
    </w:p>
    <w:p w:rsidR="004F4B99" w:rsidRPr="00E37FC6" w:rsidP="004F4B99">
      <w:pPr>
        <w:bidi w:val="0"/>
        <w:jc w:val="both"/>
        <w:rPr>
          <w:rFonts w:ascii="Times New Roman" w:hAnsi="Times New Roman"/>
          <w:b/>
        </w:rPr>
      </w:pPr>
      <w:r w:rsidRPr="00E37FC6">
        <w:rPr>
          <w:rFonts w:ascii="Times New Roman" w:hAnsi="Times New Roman"/>
          <w:b/>
        </w:rPr>
        <w:t>K bodu 17 - § 16 ods. 1 písm. c)</w:t>
      </w:r>
    </w:p>
    <w:p w:rsidR="004F4B99" w:rsidRPr="00E37FC6" w:rsidP="004F4B99">
      <w:pPr>
        <w:bidi w:val="0"/>
        <w:jc w:val="both"/>
        <w:rPr>
          <w:rFonts w:ascii="Times New Roman" w:hAnsi="Times New Roman"/>
        </w:rPr>
      </w:pPr>
      <w:r w:rsidRPr="00E37FC6">
        <w:rPr>
          <w:rFonts w:ascii="Times New Roman" w:hAnsi="Times New Roman"/>
        </w:rPr>
        <w:t xml:space="preserve">Od 1. 1. 2015 je príjem plynúci daňovníkovi s obmedzenou daňovou povinnosťou zo služieb predmetom dane na území Slovenskej republiky, len ak sú tieto služby poskytované na našom území. </w:t>
      </w:r>
    </w:p>
    <w:p w:rsidR="004F4B99" w:rsidRPr="00E37FC6" w:rsidP="004F4B99">
      <w:pPr>
        <w:bidi w:val="0"/>
        <w:jc w:val="both"/>
        <w:rPr>
          <w:rFonts w:ascii="Times New Roman" w:hAnsi="Times New Roman"/>
          <w:b/>
        </w:rPr>
      </w:pPr>
    </w:p>
    <w:p w:rsidR="004F4B99" w:rsidRPr="00E37FC6" w:rsidP="004F4B99">
      <w:pPr>
        <w:bidi w:val="0"/>
        <w:jc w:val="both"/>
        <w:rPr>
          <w:rFonts w:ascii="Times New Roman" w:hAnsi="Times New Roman"/>
          <w:b/>
        </w:rPr>
      </w:pPr>
      <w:r w:rsidRPr="00E37FC6">
        <w:rPr>
          <w:rFonts w:ascii="Times New Roman" w:hAnsi="Times New Roman"/>
          <w:b/>
        </w:rPr>
        <w:t xml:space="preserve">K bodu 18 - § 17 ods. 3 písm. g) </w:t>
      </w:r>
    </w:p>
    <w:p w:rsidR="004F4B99" w:rsidRPr="00E37FC6" w:rsidP="004F4B99">
      <w:pPr>
        <w:bidi w:val="0"/>
        <w:jc w:val="both"/>
        <w:rPr>
          <w:rFonts w:ascii="Times New Roman" w:hAnsi="Times New Roman"/>
        </w:rPr>
      </w:pPr>
      <w:r w:rsidRPr="00E37FC6">
        <w:rPr>
          <w:rFonts w:ascii="Times New Roman" w:hAnsi="Times New Roman"/>
        </w:rPr>
        <w:t>Z dôvodu problémov v aplikačnej praxi sa doterajšie ustanovenie § 17 ods. 3 písm. g) zákona nahrádza novým znením, ktoré  upravuje zahrnovanie tzv. zmarených investícií do základu dane. Tieto sa nebudú zahrnovať do základu dane jednorazovo v súlade s ich zaúčtovaním na účte ostatných nákladov na hospodársku činnosť, ale rovnomerne počas 36 mesiacov počnúc mesiacom, v ktorom daňovník o zrušení prác a trvalom zastavení prác účtoval alebo evidoval podľa § 6 ods. 11 zákona. Ak k zrušeniu prác a trvalému zastaveniu prác prišlo z dôvodu škody, postupuje sa v súlade s § 19 ods. 3 písm. d) a g) zákona.</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bodom 19, 20 a 21 - § 17 ods. 5 a 6, § 18,</w:t>
      </w:r>
    </w:p>
    <w:p w:rsidR="004F4B99" w:rsidRPr="00E37FC6" w:rsidP="004F4B99">
      <w:pPr>
        <w:bidi w:val="0"/>
        <w:jc w:val="both"/>
        <w:rPr>
          <w:rFonts w:ascii="Times New Roman" w:hAnsi="Times New Roman"/>
        </w:rPr>
      </w:pPr>
      <w:r w:rsidRPr="00E37FC6">
        <w:rPr>
          <w:rFonts w:ascii="Times New Roman" w:hAnsi="Times New Roman"/>
        </w:rPr>
        <w:t xml:space="preserve">S účinnosťou od 1. 1. 2015 sa doterajšie pravidlá transferového oceňovania, ktoré sa vzťahovali len na zahraničné závislé osoby, rozširujú aj na tuzemské závislé osoby. Metódy, ktoré vychádzajú z porovnávania ceny a s tým súvisiaca dokumentácia uplatňovaná medzi zahraničnými závislými osobami, sa použijú aj v prípade úpravy základu dane tuzemských závislých osôb. Zároveň je umožnená aj korešpondujúca úprava správcom dane nielen voči zahraničným závislým osobám, ale aj voči tuzemským závislým osobám. </w:t>
      </w:r>
    </w:p>
    <w:p w:rsidR="004F4B99" w:rsidRPr="00E37FC6" w:rsidP="004F4B99">
      <w:pPr>
        <w:bidi w:val="0"/>
        <w:jc w:val="both"/>
        <w:rPr>
          <w:rFonts w:ascii="Times New Roman" w:hAnsi="Times New Roman"/>
          <w:b/>
        </w:rPr>
      </w:pPr>
    </w:p>
    <w:p w:rsidR="004F4B99" w:rsidRPr="00E37FC6" w:rsidP="004F4B99">
      <w:pPr>
        <w:bidi w:val="0"/>
        <w:jc w:val="both"/>
        <w:rPr>
          <w:rFonts w:ascii="Times New Roman" w:hAnsi="Times New Roman"/>
          <w:b/>
        </w:rPr>
      </w:pPr>
      <w:r w:rsidRPr="00E37FC6">
        <w:rPr>
          <w:rFonts w:ascii="Times New Roman" w:hAnsi="Times New Roman"/>
          <w:b/>
        </w:rPr>
        <w:t>K bodom 22 a 23 - § 17 ods. 8 písm. a) a c) ods. 12 písm. b) a c)</w:t>
      </w:r>
    </w:p>
    <w:p w:rsidR="004F4B99" w:rsidRPr="00E37FC6" w:rsidP="004F4B99">
      <w:pPr>
        <w:bidi w:val="0"/>
        <w:jc w:val="both"/>
        <w:rPr>
          <w:rFonts w:ascii="Times New Roman" w:hAnsi="Times New Roman"/>
        </w:rPr>
      </w:pPr>
      <w:r w:rsidRPr="00E37FC6">
        <w:rPr>
          <w:rFonts w:ascii="Times New Roman" w:hAnsi="Times New Roman"/>
        </w:rPr>
        <w:t>Ide o legislatívno-technickú úpravu vykonanú v nadväznosti na zrušenie možnosti odpisu pohľadávok v menovitej hodnote nepresahujúcej sumu 332 eur.</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25 – poznámka pod čiarou k odkazu 78</w:t>
      </w:r>
    </w:p>
    <w:p w:rsidR="004F4B99" w:rsidRPr="00E37FC6" w:rsidP="004F4B99">
      <w:pPr>
        <w:bidi w:val="0"/>
        <w:jc w:val="both"/>
        <w:rPr>
          <w:rFonts w:ascii="Times New Roman" w:hAnsi="Times New Roman"/>
        </w:rPr>
      </w:pPr>
      <w:r w:rsidRPr="00E37FC6">
        <w:rPr>
          <w:rFonts w:ascii="Times New Roman" w:hAnsi="Times New Roman"/>
        </w:rPr>
        <w:t>Ide o legislatívno-technickú úpravu.</w:t>
      </w:r>
    </w:p>
    <w:p w:rsidR="004F4B99" w:rsidRPr="00E37FC6" w:rsidP="004F4B99">
      <w:pPr>
        <w:bidi w:val="0"/>
        <w:jc w:val="both"/>
        <w:rPr>
          <w:rFonts w:ascii="Times New Roman" w:hAnsi="Times New Roman"/>
          <w:b/>
        </w:rPr>
      </w:pPr>
    </w:p>
    <w:p w:rsidR="004F4B99" w:rsidRPr="00E37FC6" w:rsidP="004F4B99">
      <w:pPr>
        <w:bidi w:val="0"/>
        <w:jc w:val="both"/>
        <w:rPr>
          <w:rFonts w:ascii="Times New Roman" w:hAnsi="Times New Roman"/>
          <w:b/>
        </w:rPr>
      </w:pPr>
      <w:r w:rsidRPr="00E37FC6">
        <w:rPr>
          <w:rFonts w:ascii="Times New Roman" w:hAnsi="Times New Roman"/>
          <w:b/>
        </w:rPr>
        <w:t>K bodom 24, 26 a 43 - § 17 ods. 13 a 19 a § 19 ods. 4</w:t>
      </w:r>
    </w:p>
    <w:p w:rsidR="004F4B99" w:rsidRPr="00E37FC6" w:rsidP="004F4B99">
      <w:pPr>
        <w:bidi w:val="0"/>
        <w:jc w:val="both"/>
        <w:rPr>
          <w:rFonts w:ascii="Times New Roman" w:hAnsi="Times New Roman"/>
        </w:rPr>
      </w:pPr>
      <w:r w:rsidRPr="00E37FC6">
        <w:rPr>
          <w:rFonts w:ascii="Times New Roman" w:hAnsi="Times New Roman"/>
        </w:rPr>
        <w:t xml:space="preserve">Doterajšie ustanovenia § 19 ods. 4 a § 17 ods. 19 zákona, ktoré obmedzovali zahrnovanie určitých nákladov do základu dane až po zaplatení sa zjednotili do nového znenia § 17 ods. 19 zákona. </w:t>
      </w:r>
    </w:p>
    <w:p w:rsidR="004F4B99" w:rsidRPr="00E37FC6" w:rsidP="004F4B99">
      <w:pPr>
        <w:bidi w:val="0"/>
        <w:jc w:val="both"/>
        <w:rPr>
          <w:rFonts w:ascii="Times New Roman" w:hAnsi="Times New Roman"/>
        </w:rPr>
      </w:pPr>
      <w:r w:rsidRPr="00E37FC6">
        <w:rPr>
          <w:rFonts w:ascii="Times New Roman" w:hAnsi="Times New Roman"/>
        </w:rPr>
        <w:t xml:space="preserve">V prípade kompenzačných platieb vyplácaných podľa zákona o regulácii v sieťových odvetviach a výdavkov na nájomné, sa podmienka zaplatenia vzťahuje na dlžníka. </w:t>
      </w:r>
    </w:p>
    <w:p w:rsidR="004F4B99" w:rsidRPr="00E37FC6" w:rsidP="004F4B99">
      <w:pPr>
        <w:bidi w:val="0"/>
        <w:jc w:val="both"/>
        <w:rPr>
          <w:rFonts w:ascii="Times New Roman" w:hAnsi="Times New Roman"/>
        </w:rPr>
      </w:pPr>
      <w:r w:rsidRPr="00E37FC6">
        <w:rPr>
          <w:rFonts w:ascii="Times New Roman" w:hAnsi="Times New Roman"/>
        </w:rPr>
        <w:t xml:space="preserve">Podmienka zaplatenia sa rozširuje aj na náklady na marketingové a iné štúdie a náklady na prieskum trhu a zároveň sa ustanovuje, že tieto náklady sa po splnení podmienky zaplatenia zahrnujú do základu dane rovnomerne počas obdobia 36 mesiacov od ich zaplatenia. </w:t>
      </w:r>
    </w:p>
    <w:p w:rsidR="004F4B99" w:rsidRPr="00E37FC6" w:rsidP="004F4B99">
      <w:pPr>
        <w:bidi w:val="0"/>
        <w:jc w:val="both"/>
        <w:rPr>
          <w:rFonts w:ascii="Times New Roman" w:hAnsi="Times New Roman"/>
        </w:rPr>
      </w:pPr>
      <w:r w:rsidRPr="00E37FC6">
        <w:rPr>
          <w:rFonts w:ascii="Times New Roman" w:hAnsi="Times New Roman"/>
        </w:rPr>
        <w:t>Podmienka zaplatenia ostáva aj naďalej v prípade odplát (provízií) za sprostredkovanie vrátane odmeny (provízie) za obchodné zastupovanie, pričom sa zavádza obmedzenie ich zahrnovania do základu dane do výšky 10 % z hodnoty sprostredkovaného obchodu. Uvedené sa nebude vzťahovať na vybrané finančné inštitúcie a subjekty kolektívneho investovania.</w:t>
      </w:r>
    </w:p>
    <w:p w:rsidR="004F4B99" w:rsidRPr="00E37FC6" w:rsidP="004F4B99">
      <w:pPr>
        <w:bidi w:val="0"/>
        <w:jc w:val="both"/>
        <w:rPr>
          <w:rFonts w:ascii="Times New Roman" w:hAnsi="Times New Roman"/>
        </w:rPr>
      </w:pPr>
      <w:r w:rsidRPr="00E37FC6">
        <w:rPr>
          <w:rFonts w:ascii="Times New Roman" w:hAnsi="Times New Roman"/>
        </w:rPr>
        <w:t>V § 17 ods. 19 písm. e) sa jednoznačne ustanovuje, že ak ide o platby plynúce daňovníkom nezmluvných štátov definovaným v § 2 písm. x) zákona, sa výdavok (náklad) spojený s touto platbou považuje za daňový výdavok až po zaplatení. Súčasne, ak sa z tejto platby daň vyberá zrážkou alebo sa daň zabezpečuje, predpokladom pre uplatnenie výdavku (nákladu) v základe dane daňovníka je tiež splnenie si povinností vymedzených v § 43 ods. 11 a § 44 ods. 3 zákona. V prípade úhrady v poslednom mesiaci zdaňovacieho obdobia bude výdavok spojený s touto úhradou daňovým výdavkom v tomto zdaňovacom období iba vtedy, ak daňovník odvedie daň a splní si oznamovaciu povinnosť podľa § 43 ods. 11 a § 44 ods. 3 zákona do konca tohto zdaňovacieho obdobia. Ak daňovník v tejto lehote nesplní uvedené povinnosti, daňový výdavok sa uplatní až v tom zdaňovacom období, v ktorom budú splnené obidve podmienky vymedzené v predmetnom ustanovení.</w:t>
      </w:r>
    </w:p>
    <w:p w:rsidR="004F4B99" w:rsidRPr="00E37FC6" w:rsidP="004F4B99">
      <w:pPr>
        <w:bidi w:val="0"/>
        <w:jc w:val="both"/>
        <w:rPr>
          <w:rFonts w:ascii="Times New Roman" w:hAnsi="Times New Roman"/>
        </w:rPr>
      </w:pPr>
      <w:r w:rsidRPr="00E37FC6">
        <w:rPr>
          <w:rFonts w:ascii="Times New Roman" w:hAnsi="Times New Roman"/>
        </w:rPr>
        <w:t xml:space="preserve">Podmienka zaplatenia sa bude sledovať aj pri zahrnovaní výdavkov (nákladov) na poradenské a právne služby. </w:t>
      </w:r>
    </w:p>
    <w:p w:rsidR="004F4B99" w:rsidRPr="00E37FC6" w:rsidP="004F4B99">
      <w:pPr>
        <w:bidi w:val="0"/>
        <w:jc w:val="both"/>
        <w:rPr>
          <w:rFonts w:ascii="Times New Roman" w:hAnsi="Times New Roman"/>
        </w:rPr>
      </w:pPr>
      <w:r w:rsidRPr="00E37FC6">
        <w:rPr>
          <w:rFonts w:ascii="Times New Roman" w:hAnsi="Times New Roman"/>
        </w:rPr>
        <w:t>V prípade výdavkov na získanie noriem a certifikátov [písm. g)] sa tieto budú zahrnovať do základu dane počas doby ich platnosti. V prípade, že certifikát alebo norma bude mať platnosť dlhšiu ako 36 mesiacov, tieto náklady sa zahrnú do základu dane rovnomerne počas doby 36 mesiacov a to počnúc mesiacom, v ktorom boli zaplatené.</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27 - § 17 ods. 24</w:t>
      </w:r>
    </w:p>
    <w:p w:rsidR="004F4B99" w:rsidRPr="00E37FC6" w:rsidP="004F4B99">
      <w:pPr>
        <w:bidi w:val="0"/>
        <w:jc w:val="both"/>
        <w:rPr>
          <w:rFonts w:ascii="Times New Roman" w:hAnsi="Times New Roman"/>
        </w:rPr>
      </w:pPr>
      <w:r w:rsidRPr="00E37FC6">
        <w:rPr>
          <w:rFonts w:ascii="Times New Roman" w:hAnsi="Times New Roman"/>
        </w:rPr>
        <w:t xml:space="preserve">Úprava súvisí so zjednotením odpisovania hmotného majetku nadobudnutého formou finančného prenájmu s ostatnými formami obstarania hmotného majetku. </w:t>
      </w:r>
    </w:p>
    <w:p w:rsidR="004F4B99" w:rsidRPr="00E37FC6" w:rsidP="004F4B99">
      <w:pPr>
        <w:bidi w:val="0"/>
        <w:jc w:val="both"/>
        <w:rPr>
          <w:rFonts w:ascii="Times New Roman" w:hAnsi="Times New Roman"/>
        </w:rPr>
      </w:pPr>
      <w:r w:rsidRPr="00E37FC6">
        <w:rPr>
          <w:rFonts w:ascii="Times New Roman" w:hAnsi="Times New Roman"/>
        </w:rPr>
        <w:t xml:space="preserve">Ustanovenie odseku 24 písm. a) ukladá daňovníkovi, ktorý obstaráva hmotný majetok formou finančného prenájmu povinnosť upraviť základ dane pri predčasnom ukončení finančného prenájmu len o rozdiel medzi účtovnou zostatkovou cenou, ktorá je súčasťou výsledku hospodárenia a daňovou zostatkovou cenou, ktorú možno zahrnúť do základu dane. Rovnako sa postupuje aj u daňovníka účtujúceho v sústave jednoduchého účtovníctva alebo ktorý vedie daňovú evidenciu podľa § 6 ods. 11 zákona. Ustanovenie odseku 24 písm. b) obsahuje úpravu základu dane v prípade skončenia tzv. operatívneho nájmu a následnej kúpy predtým prenajímanej veci za kúpnu cenu nižšiu ako jej daňová zostatková cena. V tomto prípade sa základ dane zvýši o rozdiel medzi uplatneným nájomným a výškou odpisov, ktoré by mohol uplatniť vlastník – prenajímateľ počas doby trvania nájomnej zmluvy podľa § 27 zákona. </w:t>
      </w:r>
    </w:p>
    <w:p w:rsidR="004F4B99" w:rsidRPr="00E37FC6" w:rsidP="004F4B99">
      <w:pPr>
        <w:bidi w:val="0"/>
        <w:jc w:val="both"/>
        <w:rPr>
          <w:rFonts w:ascii="Times New Roman" w:hAnsi="Times New Roman"/>
          <w:b/>
        </w:rPr>
      </w:pPr>
    </w:p>
    <w:p w:rsidR="004F4B99" w:rsidRPr="00E37FC6" w:rsidP="004F4B99">
      <w:pPr>
        <w:shd w:val="clear" w:color="auto" w:fill="FFFFFF"/>
        <w:bidi w:val="0"/>
        <w:rPr>
          <w:rFonts w:ascii="Times New Roman" w:hAnsi="Times New Roman"/>
          <w:b/>
        </w:rPr>
      </w:pPr>
      <w:r w:rsidRPr="00E37FC6">
        <w:rPr>
          <w:rFonts w:ascii="Times New Roman" w:hAnsi="Times New Roman"/>
          <w:b/>
        </w:rPr>
        <w:t>K bodu 29 - § 17 ods. 33</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 xml:space="preserve">Toto ustanovenie sa rozdelilo do dvoch písmen, pričom znenie písmena a) nie je vecne zmenené v porovnaní so znením § 17 ods. 33 zákona účinnom do 31. 12. 2014. V § 17 ods. 33 písm. b) zákona sa ustanovuje úprava základu dane v prípade tzv. spätného prenájmu majetku. Výnos z predaja majetku, ktorý sa následne nadobúda zmluvou o finančnom prenájme a účtovaný na účet výnosov budúcich období je súčasťou základu dane v zdaňovacom období, v ktorom sa o ňom účtuje. Následné zúčtovanie výnosov budúcich období počas dohodnutej doby finančného prenájmu sa do základu dane už nezahŕňa. </w:t>
      </w:r>
    </w:p>
    <w:p w:rsidR="004F4B99"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b/>
          <w:sz w:val="24"/>
          <w:szCs w:val="24"/>
        </w:rPr>
      </w:pPr>
      <w:r w:rsidRPr="00E37FC6">
        <w:rPr>
          <w:rFonts w:ascii="Times New Roman" w:hAnsi="Times New Roman"/>
          <w:b/>
          <w:sz w:val="24"/>
          <w:szCs w:val="24"/>
        </w:rPr>
        <w:t>K bodu 30 - § 17 ods. 34 až 36</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b/>
          <w:sz w:val="24"/>
          <w:szCs w:val="24"/>
        </w:rPr>
        <w:t>K odseku 34</w:t>
      </w:r>
      <w:r w:rsidRPr="00E37FC6">
        <w:rPr>
          <w:rFonts w:ascii="Times New Roman" w:hAnsi="Times New Roman"/>
          <w:sz w:val="24"/>
          <w:szCs w:val="24"/>
        </w:rPr>
        <w:t xml:space="preserve"> - Ak ide o uplatňovanie odpisov z osobných automobilov zatriedených do kódu Klasifikácie produkcie 29.10.2 so vstupnou cenou 48 000 eur a viac, zavádza sa obmedzenie ich zahrnovania do základu dane. Toto obmedzenie vychádza z testovania vykázaného základu dane v daňovom priznaní voči úhrnu odpisov vypočítaných z limitovanej ceny 48 000 eur v danom zdaňovacom období z týchto osobných automobilov. Ak vykázaný základ dane je nižší ako úhrn limitovaných odpisov z týchto osobných automobilov, základ dane sa zvýši o rozdiel medzi úhrnom skutočne uplatnených daňových odpisov a úhrnom ročných odpisov (resp. pomerných častí ročných odpisov) vypočítaných z limitovanej vstupnej ceny 48 000 eur. Ak vykázaný základ dane je vyšší ako úhrn limitovaných odpisov z osobných automobilov so vstupnou cenou 48 000 eur a viac, úprava základu dane sa nevykoná. Takáto úprava základu dane sa nevykoná u prenajímateľa, ktorý vozidlá so vstupnou cenou 48 000 eur a viac poskytuje na operatívny prenájom. </w:t>
      </w:r>
    </w:p>
    <w:p w:rsidR="004F4B99"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96426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i/>
          <w:sz w:val="24"/>
          <w:szCs w:val="24"/>
          <w:u w:val="single"/>
        </w:rPr>
      </w:pPr>
      <w:r w:rsidRPr="00964266">
        <w:rPr>
          <w:rFonts w:ascii="Times New Roman" w:hAnsi="Times New Roman"/>
          <w:i/>
          <w:sz w:val="24"/>
          <w:szCs w:val="24"/>
          <w:u w:val="single"/>
        </w:rPr>
        <w:t>Príklad 5</w:t>
      </w:r>
      <w:r>
        <w:rPr>
          <w:rFonts w:ascii="Times New Roman" w:hAnsi="Times New Roman"/>
          <w:i/>
          <w:sz w:val="24"/>
          <w:szCs w:val="24"/>
          <w:u w:val="single"/>
        </w:rPr>
        <w:t>:</w:t>
      </w:r>
    </w:p>
    <w:p w:rsidR="004F4B99" w:rsidRPr="00991EA8" w:rsidP="004F4B99">
      <w:pPr>
        <w:bidi w:val="0"/>
        <w:jc w:val="both"/>
        <w:rPr>
          <w:rFonts w:ascii="Times New Roman" w:hAnsi="Times New Roman"/>
          <w:i/>
        </w:rPr>
      </w:pPr>
      <w:r w:rsidRPr="00991EA8">
        <w:rPr>
          <w:rFonts w:ascii="Times New Roman" w:hAnsi="Times New Roman"/>
          <w:i/>
        </w:rPr>
        <w:t>Daňovník v januári v</w:t>
      </w:r>
      <w:r>
        <w:rPr>
          <w:rFonts w:ascii="Times New Roman" w:hAnsi="Times New Roman"/>
          <w:i/>
        </w:rPr>
        <w:t> </w:t>
      </w:r>
      <w:r w:rsidRPr="00991EA8">
        <w:rPr>
          <w:rFonts w:ascii="Times New Roman" w:hAnsi="Times New Roman"/>
          <w:i/>
        </w:rPr>
        <w:t>roku</w:t>
      </w:r>
      <w:r>
        <w:rPr>
          <w:rFonts w:ascii="Times New Roman" w:hAnsi="Times New Roman"/>
          <w:i/>
        </w:rPr>
        <w:t xml:space="preserve"> 2015</w:t>
      </w:r>
      <w:r w:rsidRPr="00991EA8">
        <w:rPr>
          <w:rFonts w:ascii="Times New Roman" w:hAnsi="Times New Roman"/>
          <w:i/>
        </w:rPr>
        <w:t xml:space="preserve"> obstará osobný automobil v hodnote 60 000 eur. Podľa navrhovanej úpravy sa základ dane neupraví o rozdiel medzi skutočne uplatnených daňových odpisov a odpisov z limitovanej vstupnej ceny, ak daňovník vykáže základ dane aspoň vo výške odpisu z limitovanej vstupnej ceny (12 000 eur).</w:t>
      </w:r>
    </w:p>
    <w:p w:rsidR="004F4B99" w:rsidRPr="00991EA8" w:rsidP="004F4B99">
      <w:pPr>
        <w:bidi w:val="0"/>
        <w:jc w:val="both"/>
        <w:rPr>
          <w:rFonts w:ascii="Times New Roman" w:hAnsi="Times New Roman"/>
          <w:i/>
        </w:rPr>
      </w:pPr>
    </w:p>
    <w:p w:rsidR="004F4B99" w:rsidRPr="00991EA8" w:rsidP="004F4B99">
      <w:pPr>
        <w:bidi w:val="0"/>
        <w:jc w:val="both"/>
        <w:rPr>
          <w:rFonts w:ascii="Times New Roman" w:hAnsi="Times New Roman"/>
          <w:i/>
        </w:rPr>
      </w:pPr>
      <w:r w:rsidRPr="00991EA8">
        <w:rPr>
          <w:rFonts w:ascii="Times New Roman" w:hAnsi="Times New Roman"/>
          <w:i/>
        </w:rPr>
        <w:t>Tabuľka (v eur):</w:t>
        <w:tab/>
      </w:r>
    </w:p>
    <w:tbl>
      <w:tblPr>
        <w:tblStyle w:val="TableNormal"/>
        <w:tblW w:w="91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980"/>
        <w:gridCol w:w="1902"/>
        <w:gridCol w:w="1920"/>
        <w:gridCol w:w="3599"/>
      </w:tblGrid>
      <w:tr>
        <w:tblPrEx>
          <w:tblW w:w="91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1161"/>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rok</w:t>
            </w:r>
          </w:p>
        </w:tc>
        <w:tc>
          <w:tcPr>
            <w:tcW w:w="980"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ZD</w:t>
            </w:r>
          </w:p>
        </w:tc>
        <w:tc>
          <w:tcPr>
            <w:tcW w:w="1902"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skutočne uplatnený daňový odpis z OC</w:t>
            </w:r>
          </w:p>
          <w:p w:rsidR="004F4B99" w:rsidRPr="00991EA8" w:rsidP="004F4B99">
            <w:pPr>
              <w:bidi w:val="0"/>
              <w:jc w:val="center"/>
              <w:rPr>
                <w:rFonts w:ascii="Times New Roman" w:hAnsi="Times New Roman"/>
                <w:i/>
                <w:szCs w:val="22"/>
              </w:rPr>
            </w:pPr>
            <w:r w:rsidRPr="00991EA8">
              <w:rPr>
                <w:rFonts w:ascii="Times New Roman" w:hAnsi="Times New Roman"/>
                <w:i/>
                <w:szCs w:val="22"/>
              </w:rPr>
              <w:t>(60</w:t>
            </w:r>
            <w:r>
              <w:rPr>
                <w:rFonts w:ascii="Times New Roman" w:hAnsi="Times New Roman"/>
                <w:i/>
                <w:szCs w:val="22"/>
              </w:rPr>
              <w:t> </w:t>
            </w:r>
            <w:r w:rsidRPr="00991EA8">
              <w:rPr>
                <w:rFonts w:ascii="Times New Roman" w:hAnsi="Times New Roman"/>
                <w:i/>
                <w:szCs w:val="22"/>
              </w:rPr>
              <w:t>000</w:t>
            </w:r>
            <w:r>
              <w:rPr>
                <w:rFonts w:ascii="Times New Roman" w:hAnsi="Times New Roman"/>
                <w:i/>
                <w:szCs w:val="22"/>
              </w:rPr>
              <w:t xml:space="preserve"> / </w:t>
            </w:r>
            <w:r w:rsidRPr="00991EA8">
              <w:rPr>
                <w:rFonts w:ascii="Times New Roman" w:hAnsi="Times New Roman"/>
                <w:i/>
                <w:szCs w:val="22"/>
              </w:rPr>
              <w:t>4)</w:t>
            </w:r>
          </w:p>
        </w:tc>
        <w:tc>
          <w:tcPr>
            <w:tcW w:w="1920"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jc w:val="center"/>
              <w:rPr>
                <w:rFonts w:ascii="Times New Roman" w:hAnsi="Times New Roman"/>
                <w:i/>
                <w:szCs w:val="22"/>
              </w:rPr>
            </w:pPr>
            <w:r w:rsidRPr="00991EA8">
              <w:rPr>
                <w:rFonts w:ascii="Times New Roman" w:hAnsi="Times New Roman"/>
                <w:i/>
                <w:szCs w:val="22"/>
              </w:rPr>
              <w:t>odpis z LVC</w:t>
            </w:r>
          </w:p>
          <w:p w:rsidR="004F4B99" w:rsidRPr="00991EA8" w:rsidP="004F4B99">
            <w:pPr>
              <w:bidi w:val="0"/>
              <w:jc w:val="center"/>
              <w:rPr>
                <w:rFonts w:ascii="Times New Roman" w:hAnsi="Times New Roman"/>
                <w:i/>
                <w:szCs w:val="22"/>
              </w:rPr>
            </w:pPr>
            <w:r w:rsidRPr="00991EA8">
              <w:rPr>
                <w:rFonts w:ascii="Times New Roman" w:hAnsi="Times New Roman"/>
                <w:i/>
                <w:szCs w:val="22"/>
              </w:rPr>
              <w:t>(48</w:t>
            </w:r>
            <w:r>
              <w:rPr>
                <w:rFonts w:ascii="Times New Roman" w:hAnsi="Times New Roman"/>
                <w:i/>
                <w:szCs w:val="22"/>
              </w:rPr>
              <w:t> </w:t>
            </w:r>
            <w:r w:rsidRPr="00991EA8">
              <w:rPr>
                <w:rFonts w:ascii="Times New Roman" w:hAnsi="Times New Roman"/>
                <w:i/>
                <w:szCs w:val="22"/>
              </w:rPr>
              <w:t>000</w:t>
            </w:r>
            <w:r>
              <w:rPr>
                <w:rFonts w:ascii="Times New Roman" w:hAnsi="Times New Roman"/>
                <w:i/>
                <w:szCs w:val="22"/>
              </w:rPr>
              <w:t xml:space="preserve"> / </w:t>
            </w:r>
            <w:r w:rsidRPr="00991EA8">
              <w:rPr>
                <w:rFonts w:ascii="Times New Roman" w:hAnsi="Times New Roman"/>
                <w:i/>
                <w:szCs w:val="22"/>
              </w:rPr>
              <w:t>4)</w:t>
            </w:r>
          </w:p>
        </w:tc>
        <w:tc>
          <w:tcPr>
            <w:tcW w:w="3599"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ak ZD&lt;1</w:t>
            </w:r>
            <w:r w:rsidRPr="00991EA8">
              <w:rPr>
                <w:rFonts w:ascii="Times New Roman" w:hAnsi="Times New Roman"/>
                <w:bCs/>
                <w:i/>
                <w:szCs w:val="22"/>
              </w:rPr>
              <w:t xml:space="preserve">2 000, tak </w:t>
            </w:r>
            <w:r w:rsidRPr="00991EA8">
              <w:rPr>
                <w:rFonts w:ascii="Times New Roman" w:hAnsi="Times New Roman"/>
                <w:i/>
                <w:szCs w:val="22"/>
              </w:rPr>
              <w:t>ZD sa zvýši o rozdiel medzi odpisom z OC a odpisom z LVC</w:t>
            </w:r>
          </w:p>
          <w:p w:rsidR="004F4B99" w:rsidRPr="00991EA8" w:rsidP="004F4B99">
            <w:pPr>
              <w:bidi w:val="0"/>
              <w:jc w:val="center"/>
              <w:rPr>
                <w:rFonts w:ascii="Times New Roman" w:hAnsi="Times New Roman"/>
                <w:i/>
                <w:szCs w:val="22"/>
              </w:rPr>
            </w:pPr>
            <w:r w:rsidRPr="00991EA8">
              <w:rPr>
                <w:rFonts w:ascii="Times New Roman" w:hAnsi="Times New Roman"/>
                <w:i/>
                <w:szCs w:val="22"/>
              </w:rPr>
              <w:t>(15 000 – 12 000)</w:t>
            </w:r>
          </w:p>
        </w:tc>
      </w:tr>
      <w:tr>
        <w:tblPrEx>
          <w:tblW w:w="911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Pr>
                <w:rFonts w:ascii="Times New Roman" w:hAnsi="Times New Roman"/>
                <w:i/>
                <w:szCs w:val="22"/>
              </w:rPr>
              <w:t>2015</w:t>
            </w:r>
          </w:p>
        </w:tc>
        <w:tc>
          <w:tcPr>
            <w:tcW w:w="98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4 000</w:t>
            </w:r>
          </w:p>
        </w:tc>
        <w:tc>
          <w:tcPr>
            <w:tcW w:w="190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15 000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91EA8" w:rsidP="004F4B99">
            <w:pPr>
              <w:bidi w:val="0"/>
              <w:jc w:val="center"/>
              <w:rPr>
                <w:rFonts w:ascii="Times New Roman" w:hAnsi="Times New Roman"/>
                <w:i/>
                <w:szCs w:val="22"/>
              </w:rPr>
            </w:pPr>
            <w:r w:rsidRPr="00991EA8">
              <w:rPr>
                <w:rFonts w:ascii="Times New Roman" w:hAnsi="Times New Roman"/>
                <w:i/>
                <w:szCs w:val="22"/>
              </w:rPr>
              <w:t>12 000</w:t>
            </w:r>
          </w:p>
        </w:tc>
        <w:tc>
          <w:tcPr>
            <w:tcW w:w="359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3 000</w:t>
            </w:r>
          </w:p>
        </w:tc>
      </w:tr>
      <w:tr>
        <w:tblPrEx>
          <w:tblW w:w="911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2</w:t>
            </w:r>
            <w:r>
              <w:rPr>
                <w:rFonts w:ascii="Times New Roman" w:hAnsi="Times New Roman"/>
                <w:i/>
                <w:szCs w:val="22"/>
              </w:rPr>
              <w:t>016</w:t>
            </w:r>
          </w:p>
        </w:tc>
        <w:tc>
          <w:tcPr>
            <w:tcW w:w="98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12 500</w:t>
            </w:r>
          </w:p>
        </w:tc>
        <w:tc>
          <w:tcPr>
            <w:tcW w:w="190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15 000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91EA8" w:rsidP="004F4B99">
            <w:pPr>
              <w:bidi w:val="0"/>
              <w:jc w:val="center"/>
              <w:rPr>
                <w:rFonts w:ascii="Times New Roman" w:hAnsi="Times New Roman"/>
                <w:i/>
                <w:szCs w:val="22"/>
              </w:rPr>
            </w:pPr>
            <w:r w:rsidRPr="00991EA8">
              <w:rPr>
                <w:rFonts w:ascii="Times New Roman" w:hAnsi="Times New Roman"/>
                <w:i/>
                <w:szCs w:val="22"/>
              </w:rPr>
              <w:t>12 000</w:t>
            </w:r>
          </w:p>
        </w:tc>
        <w:tc>
          <w:tcPr>
            <w:tcW w:w="359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w:t>
            </w:r>
          </w:p>
        </w:tc>
      </w:tr>
      <w:tr>
        <w:tblPrEx>
          <w:tblW w:w="911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Pr>
                <w:rFonts w:ascii="Times New Roman" w:hAnsi="Times New Roman"/>
                <w:i/>
                <w:szCs w:val="22"/>
              </w:rPr>
              <w:t>2017</w:t>
            </w:r>
          </w:p>
        </w:tc>
        <w:tc>
          <w:tcPr>
            <w:tcW w:w="98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11 000</w:t>
            </w:r>
          </w:p>
        </w:tc>
        <w:tc>
          <w:tcPr>
            <w:tcW w:w="190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15 000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91EA8" w:rsidP="004F4B99">
            <w:pPr>
              <w:bidi w:val="0"/>
              <w:jc w:val="center"/>
              <w:rPr>
                <w:rFonts w:ascii="Times New Roman" w:hAnsi="Times New Roman"/>
                <w:i/>
                <w:szCs w:val="22"/>
              </w:rPr>
            </w:pPr>
            <w:r w:rsidRPr="00991EA8">
              <w:rPr>
                <w:rFonts w:ascii="Times New Roman" w:hAnsi="Times New Roman"/>
                <w:i/>
                <w:szCs w:val="22"/>
              </w:rPr>
              <w:t>12 000</w:t>
            </w:r>
          </w:p>
        </w:tc>
        <w:tc>
          <w:tcPr>
            <w:tcW w:w="359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3 000</w:t>
            </w:r>
          </w:p>
        </w:tc>
      </w:tr>
      <w:tr>
        <w:tblPrEx>
          <w:tblW w:w="911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Pr>
                <w:rFonts w:ascii="Times New Roman" w:hAnsi="Times New Roman"/>
                <w:i/>
                <w:szCs w:val="22"/>
              </w:rPr>
              <w:t>2018</w:t>
            </w:r>
          </w:p>
        </w:tc>
        <w:tc>
          <w:tcPr>
            <w:tcW w:w="98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16 000</w:t>
            </w:r>
          </w:p>
        </w:tc>
        <w:tc>
          <w:tcPr>
            <w:tcW w:w="190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15 000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91EA8" w:rsidP="004F4B99">
            <w:pPr>
              <w:bidi w:val="0"/>
              <w:jc w:val="center"/>
              <w:rPr>
                <w:rFonts w:ascii="Times New Roman" w:hAnsi="Times New Roman"/>
                <w:i/>
                <w:szCs w:val="22"/>
              </w:rPr>
            </w:pPr>
            <w:r w:rsidRPr="00991EA8">
              <w:rPr>
                <w:rFonts w:ascii="Times New Roman" w:hAnsi="Times New Roman"/>
                <w:i/>
                <w:szCs w:val="22"/>
              </w:rPr>
              <w:t>12 000</w:t>
            </w:r>
          </w:p>
        </w:tc>
        <w:tc>
          <w:tcPr>
            <w:tcW w:w="359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91EA8" w:rsidP="004F4B99">
            <w:pPr>
              <w:bidi w:val="0"/>
              <w:jc w:val="center"/>
              <w:rPr>
                <w:rFonts w:ascii="Times New Roman" w:hAnsi="Times New Roman"/>
                <w:i/>
                <w:szCs w:val="22"/>
              </w:rPr>
            </w:pPr>
            <w:r w:rsidRPr="00991EA8">
              <w:rPr>
                <w:rFonts w:ascii="Times New Roman" w:hAnsi="Times New Roman"/>
                <w:i/>
                <w:szCs w:val="22"/>
              </w:rPr>
              <w:t>-</w:t>
            </w:r>
          </w:p>
        </w:tc>
      </w:tr>
      <w:tr>
        <w:tblPrEx>
          <w:tblW w:w="9110" w:type="dxa"/>
          <w:tblInd w:w="70" w:type="dxa"/>
          <w:tblCellMar>
            <w:left w:w="70" w:type="dxa"/>
            <w:right w:w="70" w:type="dxa"/>
          </w:tblCellMar>
          <w:tblLook w:val="04A0"/>
        </w:tblPrEx>
        <w:trPr>
          <w:trHeight w:hRule="exact" w:val="284"/>
        </w:trPr>
        <w:tc>
          <w:tcPr>
            <w:tcW w:w="709" w:type="dxa"/>
            <w:tcBorders>
              <w:top w:val="single" w:sz="4" w:space="0" w:color="auto"/>
              <w:left w:val="nil"/>
              <w:bottom w:val="nil"/>
              <w:right w:val="nil"/>
            </w:tcBorders>
            <w:noWrap/>
            <w:textDirection w:val="lrTb"/>
            <w:vAlign w:val="center"/>
            <w:hideMark/>
          </w:tcPr>
          <w:p w:rsidR="004F4B99" w:rsidRPr="00991EA8" w:rsidP="004F4B99">
            <w:pPr>
              <w:bidi w:val="0"/>
              <w:rPr>
                <w:rFonts w:ascii="Times New Roman" w:hAnsi="Times New Roman"/>
                <w:i/>
                <w:szCs w:val="22"/>
              </w:rPr>
            </w:pPr>
          </w:p>
        </w:tc>
        <w:tc>
          <w:tcPr>
            <w:tcW w:w="980" w:type="dxa"/>
            <w:tcBorders>
              <w:top w:val="single" w:sz="4" w:space="0" w:color="auto"/>
              <w:left w:val="nil"/>
              <w:bottom w:val="nil"/>
              <w:right w:val="nil"/>
            </w:tcBorders>
            <w:noWrap/>
            <w:textDirection w:val="lrTb"/>
            <w:vAlign w:val="center"/>
            <w:hideMark/>
          </w:tcPr>
          <w:p w:rsidR="004F4B99" w:rsidRPr="00991EA8" w:rsidP="004F4B99">
            <w:pPr>
              <w:bidi w:val="0"/>
              <w:rPr>
                <w:rFonts w:ascii="Times New Roman" w:hAnsi="Times New Roman"/>
                <w:i/>
                <w:szCs w:val="22"/>
              </w:rPr>
            </w:pPr>
          </w:p>
        </w:tc>
        <w:tc>
          <w:tcPr>
            <w:tcW w:w="1902" w:type="dxa"/>
            <w:tcBorders>
              <w:top w:val="single" w:sz="4" w:space="0" w:color="auto"/>
              <w:left w:val="nil"/>
              <w:bottom w:val="nil"/>
              <w:right w:val="single" w:sz="4" w:space="0" w:color="auto"/>
            </w:tcBorders>
            <w:noWrap/>
            <w:textDirection w:val="lrTb"/>
            <w:vAlign w:val="center"/>
            <w:hideMark/>
          </w:tcPr>
          <w:p w:rsidR="004F4B99" w:rsidRPr="00991EA8" w:rsidP="004F4B99">
            <w:pPr>
              <w:bidi w:val="0"/>
              <w:rPr>
                <w:rFonts w:ascii="Times New Roman" w:hAnsi="Times New Roman"/>
                <w:i/>
                <w:szCs w:val="22"/>
              </w:rPr>
            </w:pPr>
          </w:p>
        </w:tc>
        <w:tc>
          <w:tcPr>
            <w:tcW w:w="1920" w:type="dxa"/>
            <w:tcBorders>
              <w:top w:val="single" w:sz="4" w:space="0" w:color="auto"/>
              <w:left w:val="single" w:sz="4" w:space="0" w:color="auto"/>
              <w:bottom w:val="single" w:sz="4" w:space="0" w:color="auto"/>
              <w:right w:val="single" w:sz="4" w:space="0" w:color="auto"/>
            </w:tcBorders>
            <w:textDirection w:val="lrTb"/>
            <w:vAlign w:val="center"/>
          </w:tcPr>
          <w:p w:rsidR="004F4B99" w:rsidRPr="00991EA8" w:rsidP="004F4B99">
            <w:pPr>
              <w:bidi w:val="0"/>
              <w:ind w:left="-52"/>
              <w:jc w:val="center"/>
              <w:rPr>
                <w:rFonts w:ascii="Times New Roman" w:hAnsi="Times New Roman"/>
                <w:b/>
                <w:bCs/>
                <w:i/>
                <w:szCs w:val="22"/>
              </w:rPr>
            </w:pPr>
            <w:r w:rsidRPr="00991EA8">
              <w:rPr>
                <w:rFonts w:ascii="Times New Roman" w:hAnsi="Times New Roman"/>
                <w:b/>
                <w:bCs/>
                <w:i/>
                <w:szCs w:val="22"/>
              </w:rPr>
              <w:t>spolu úprava ZD</w:t>
            </w:r>
          </w:p>
        </w:tc>
        <w:tc>
          <w:tcPr>
            <w:tcW w:w="3599"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91EA8" w:rsidP="004F4B99">
            <w:pPr>
              <w:bidi w:val="0"/>
              <w:jc w:val="center"/>
              <w:rPr>
                <w:rFonts w:ascii="Times New Roman" w:hAnsi="Times New Roman"/>
                <w:b/>
                <w:bCs/>
                <w:i/>
                <w:szCs w:val="22"/>
              </w:rPr>
            </w:pPr>
            <w:r w:rsidRPr="00991EA8">
              <w:rPr>
                <w:rFonts w:ascii="Times New Roman" w:hAnsi="Times New Roman"/>
                <w:b/>
                <w:bCs/>
                <w:i/>
                <w:szCs w:val="22"/>
              </w:rPr>
              <w:t>6 000</w:t>
            </w:r>
          </w:p>
        </w:tc>
      </w:tr>
    </w:tbl>
    <w:p w:rsidR="004F4B99" w:rsidRPr="00991EA8" w:rsidP="004F4B99">
      <w:pPr>
        <w:bidi w:val="0"/>
        <w:jc w:val="both"/>
        <w:rPr>
          <w:rFonts w:ascii="Times New Roman" w:hAnsi="Times New Roman"/>
          <w:i/>
        </w:rPr>
      </w:pPr>
    </w:p>
    <w:p w:rsidR="004F4B99" w:rsidRPr="00991EA8" w:rsidP="004F4B99">
      <w:pPr>
        <w:bidi w:val="0"/>
        <w:jc w:val="both"/>
        <w:rPr>
          <w:rFonts w:ascii="Times New Roman" w:hAnsi="Times New Roman"/>
          <w:i/>
        </w:rPr>
      </w:pPr>
      <w:r w:rsidRPr="00991EA8">
        <w:rPr>
          <w:rFonts w:ascii="Times New Roman" w:hAnsi="Times New Roman"/>
          <w:i/>
        </w:rPr>
        <w:t>Komentár k tabuľke:</w:t>
      </w:r>
    </w:p>
    <w:p w:rsidR="004F4B99" w:rsidRPr="00991EA8" w:rsidP="004F4B99">
      <w:pPr>
        <w:bidi w:val="0"/>
        <w:ind w:left="709" w:hanging="709"/>
        <w:jc w:val="both"/>
        <w:rPr>
          <w:rFonts w:ascii="Times New Roman" w:hAnsi="Times New Roman"/>
          <w:i/>
        </w:rPr>
      </w:pPr>
      <w:r>
        <w:rPr>
          <w:rFonts w:ascii="Times New Roman" w:hAnsi="Times New Roman"/>
          <w:i/>
        </w:rPr>
        <w:t>2015</w:t>
      </w:r>
      <w:r w:rsidRPr="00991EA8">
        <w:rPr>
          <w:rFonts w:ascii="Times New Roman" w:hAnsi="Times New Roman"/>
          <w:i/>
        </w:rPr>
        <w:t xml:space="preserve">: </w:t>
        <w:tab/>
        <w:t xml:space="preserve">Daňovník vykáže základ dane vo výške 4 000 eur. Keďže tento základ dane je nižší ako limitovaný daňový odpis (12 000 eur), tak sa základ dane zvýši o sumu 3 000 eur, ktorá sa vypočíta ako rozdiel medzi skutočne uplatneným daňovým odpisom (15 000 eur) a odpisom z limitovanej vstupnej ceny (12 000 eur). </w:t>
      </w:r>
    </w:p>
    <w:p w:rsidR="004F4B99" w:rsidRPr="00991EA8" w:rsidP="004F4B99">
      <w:pPr>
        <w:bidi w:val="0"/>
        <w:ind w:left="709" w:hanging="709"/>
        <w:jc w:val="both"/>
        <w:rPr>
          <w:rFonts w:ascii="Times New Roman" w:hAnsi="Times New Roman"/>
          <w:i/>
        </w:rPr>
      </w:pPr>
      <w:r>
        <w:rPr>
          <w:rFonts w:ascii="Times New Roman" w:hAnsi="Times New Roman"/>
          <w:i/>
        </w:rPr>
        <w:t>2016</w:t>
      </w:r>
      <w:r w:rsidRPr="00991EA8">
        <w:rPr>
          <w:rFonts w:ascii="Times New Roman" w:hAnsi="Times New Roman"/>
          <w:i/>
        </w:rPr>
        <w:t xml:space="preserve">: </w:t>
        <w:tab/>
        <w:t>Základ dane je vyšší ako výška odpisu z limitovanej vstupnej ceny (12 000 eur) a úprava základu dane sa nevykoná.</w:t>
      </w:r>
    </w:p>
    <w:p w:rsidR="004F4B99" w:rsidRPr="00991EA8" w:rsidP="004F4B99">
      <w:pPr>
        <w:tabs>
          <w:tab w:val="left" w:pos="709"/>
        </w:tabs>
        <w:bidi w:val="0"/>
        <w:ind w:left="709" w:hanging="709"/>
        <w:jc w:val="both"/>
        <w:rPr>
          <w:rFonts w:ascii="Times New Roman" w:hAnsi="Times New Roman"/>
          <w:i/>
        </w:rPr>
      </w:pPr>
      <w:r>
        <w:rPr>
          <w:rFonts w:ascii="Times New Roman" w:hAnsi="Times New Roman"/>
          <w:i/>
        </w:rPr>
        <w:t>2017</w:t>
      </w:r>
      <w:r w:rsidRPr="00991EA8">
        <w:rPr>
          <w:rFonts w:ascii="Times New Roman" w:hAnsi="Times New Roman"/>
          <w:i/>
        </w:rPr>
        <w:t xml:space="preserve">: </w:t>
      </w:r>
      <w:r>
        <w:rPr>
          <w:rFonts w:ascii="Times New Roman" w:hAnsi="Times New Roman"/>
          <w:i/>
        </w:rPr>
        <w:tab/>
      </w:r>
      <w:r w:rsidRPr="00991EA8">
        <w:rPr>
          <w:rFonts w:ascii="Times New Roman" w:hAnsi="Times New Roman"/>
          <w:i/>
        </w:rPr>
        <w:t>Daňovník postupuje rovnako ako v</w:t>
      </w:r>
      <w:r>
        <w:rPr>
          <w:rFonts w:ascii="Times New Roman" w:hAnsi="Times New Roman"/>
          <w:i/>
        </w:rPr>
        <w:t> </w:t>
      </w:r>
      <w:r w:rsidRPr="00991EA8">
        <w:rPr>
          <w:rFonts w:ascii="Times New Roman" w:hAnsi="Times New Roman"/>
          <w:i/>
        </w:rPr>
        <w:t>roku</w:t>
      </w:r>
      <w:r>
        <w:rPr>
          <w:rFonts w:ascii="Times New Roman" w:hAnsi="Times New Roman"/>
          <w:i/>
        </w:rPr>
        <w:t xml:space="preserve"> 2015</w:t>
      </w:r>
      <w:r w:rsidRPr="00991EA8">
        <w:rPr>
          <w:rFonts w:ascii="Times New Roman" w:hAnsi="Times New Roman"/>
          <w:i/>
        </w:rPr>
        <w:t>. Základ dane je nižší ako výška odpisu z limitovanej vstupnej ceny, základ dane sa zvýši o 3 000 eur.</w:t>
      </w:r>
    </w:p>
    <w:p w:rsidR="004F4B99" w:rsidRPr="00991EA8" w:rsidP="004F4B99">
      <w:pPr>
        <w:tabs>
          <w:tab w:val="left" w:pos="993"/>
        </w:tabs>
        <w:bidi w:val="0"/>
        <w:ind w:left="709" w:hanging="709"/>
        <w:jc w:val="both"/>
        <w:rPr>
          <w:rFonts w:ascii="Times New Roman" w:hAnsi="Times New Roman"/>
          <w:i/>
        </w:rPr>
      </w:pPr>
      <w:r>
        <w:rPr>
          <w:rFonts w:ascii="Times New Roman" w:hAnsi="Times New Roman"/>
          <w:i/>
        </w:rPr>
        <w:t>2018</w:t>
      </w:r>
      <w:r w:rsidRPr="00991EA8">
        <w:rPr>
          <w:rFonts w:ascii="Times New Roman" w:hAnsi="Times New Roman"/>
          <w:i/>
        </w:rPr>
        <w:t xml:space="preserve">: </w:t>
        <w:tab/>
        <w:t>Daňovník postupuje rovnako ako v</w:t>
      </w:r>
      <w:r>
        <w:rPr>
          <w:rFonts w:ascii="Times New Roman" w:hAnsi="Times New Roman"/>
          <w:i/>
        </w:rPr>
        <w:t> </w:t>
      </w:r>
      <w:r w:rsidRPr="00991EA8">
        <w:rPr>
          <w:rFonts w:ascii="Times New Roman" w:hAnsi="Times New Roman"/>
          <w:i/>
        </w:rPr>
        <w:t>roku</w:t>
      </w:r>
      <w:r>
        <w:rPr>
          <w:rFonts w:ascii="Times New Roman" w:hAnsi="Times New Roman"/>
          <w:i/>
        </w:rPr>
        <w:t xml:space="preserve"> 2016</w:t>
      </w:r>
      <w:r w:rsidRPr="00991EA8">
        <w:rPr>
          <w:rFonts w:ascii="Times New Roman" w:hAnsi="Times New Roman"/>
          <w:i/>
        </w:rPr>
        <w:t>. Základ dane je vyšší ako výška odpisu z limitovanej vstupnej ceny a úprava základu dane sa nevykoná.</w:t>
      </w:r>
    </w:p>
    <w:p w:rsidR="004F4B99" w:rsidRPr="00991EA8" w:rsidP="004F4B99">
      <w:pPr>
        <w:bidi w:val="0"/>
        <w:jc w:val="both"/>
        <w:rPr>
          <w:rFonts w:ascii="Times New Roman" w:hAnsi="Times New Roman"/>
          <w:i/>
        </w:rPr>
      </w:pPr>
    </w:p>
    <w:p w:rsidR="004F4B99" w:rsidRPr="00991EA8" w:rsidP="004F4B99">
      <w:pPr>
        <w:bidi w:val="0"/>
        <w:jc w:val="both"/>
        <w:rPr>
          <w:rFonts w:ascii="Times New Roman" w:hAnsi="Times New Roman"/>
          <w:i/>
        </w:rPr>
      </w:pPr>
      <w:r w:rsidRPr="00991EA8">
        <w:rPr>
          <w:rFonts w:ascii="Times New Roman" w:hAnsi="Times New Roman"/>
          <w:i/>
        </w:rPr>
        <w:t>Vysvetlivky:</w:t>
      </w:r>
    </w:p>
    <w:p w:rsidR="004F4B99" w:rsidRPr="00991EA8" w:rsidP="004F4B99">
      <w:pPr>
        <w:bidi w:val="0"/>
        <w:jc w:val="both"/>
        <w:rPr>
          <w:rFonts w:ascii="Times New Roman" w:hAnsi="Times New Roman"/>
          <w:i/>
        </w:rPr>
      </w:pPr>
      <w:r w:rsidRPr="00991EA8">
        <w:rPr>
          <w:rFonts w:ascii="Times New Roman" w:hAnsi="Times New Roman"/>
          <w:i/>
        </w:rPr>
        <w:t>ZD: základ dane</w:t>
      </w:r>
    </w:p>
    <w:p w:rsidR="004F4B99" w:rsidRPr="00991EA8" w:rsidP="004F4B99">
      <w:pPr>
        <w:bidi w:val="0"/>
        <w:jc w:val="both"/>
        <w:rPr>
          <w:rFonts w:ascii="Times New Roman" w:hAnsi="Times New Roman"/>
          <w:i/>
        </w:rPr>
      </w:pPr>
      <w:r w:rsidRPr="00991EA8">
        <w:rPr>
          <w:rFonts w:ascii="Times New Roman" w:hAnsi="Times New Roman"/>
          <w:i/>
        </w:rPr>
        <w:t>OC: obstarávacia cena</w:t>
      </w:r>
    </w:p>
    <w:p w:rsidR="004F4B99" w:rsidRPr="00E37FC6" w:rsidP="004F4B99">
      <w:pPr>
        <w:bidi w:val="0"/>
        <w:jc w:val="both"/>
        <w:rPr>
          <w:rFonts w:ascii="Times New Roman" w:hAnsi="Times New Roman"/>
        </w:rPr>
      </w:pPr>
      <w:r w:rsidRPr="00991EA8">
        <w:rPr>
          <w:rFonts w:ascii="Times New Roman" w:hAnsi="Times New Roman"/>
          <w:i/>
        </w:rPr>
        <w:t>LVC: limitovaná vstupná cena 48 000 eur</w:t>
      </w:r>
    </w:p>
    <w:p w:rsidR="004F4B99" w:rsidRPr="00E37FC6" w:rsidP="004F4B99">
      <w:pPr>
        <w:bidi w:val="0"/>
        <w:jc w:val="both"/>
        <w:rPr>
          <w:rFonts w:ascii="Times New Roman" w:hAnsi="Times New Roman"/>
        </w:rPr>
      </w:pP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b/>
          <w:sz w:val="24"/>
          <w:szCs w:val="24"/>
        </w:rPr>
        <w:t xml:space="preserve">K odseku 35 </w:t>
      </w:r>
      <w:r w:rsidRPr="00E37FC6">
        <w:rPr>
          <w:rFonts w:ascii="Times New Roman" w:hAnsi="Times New Roman"/>
          <w:sz w:val="24"/>
          <w:szCs w:val="24"/>
        </w:rPr>
        <w:t xml:space="preserve">– Obdobne ako v prípade uplatňovania odpisov z osobných automobilov so vstupnou cenou presahujúcou 48 000 eur sa postupuje aj v prípade zahrnovania nájomného z osobného automobilu na základe operatívneho prenájmu. Nájomca najskôr testuje dosiahnutý základ dane voči násobku počtu prenajatých osobných automobilov so vstupnou cenou u prenajímateľa 48 000 eur a viac a limitovaného nájomného vo výške 14 400 eur (uvedená suma predstavuje ročný odpis zo vstupnej ceny 48 000 eur zvýšený o 20 % ziskovú prirážku u prenajímateľa).  Ak základ dane je nižší ako stanovený násobok, nájomca je povinný základ dane zvýšiť o rozdiel medzi dosiahnutým základom dane a uvedeným násobkom. Ak je základ dane vyšší ako stanovený násobok, nájomca nemusí upravovať základ dane. V prípade, ak nájomná zmluva je uzavretá v priebehu roka (napr. v marci) limitované nájomné sa bude krátiť na výšku zodpovedajúcu mesiacom, v ktorých bol uzavretý nájomný vzťah.  </w:t>
      </w:r>
    </w:p>
    <w:p w:rsidR="004F4B99"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96426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i/>
          <w:sz w:val="24"/>
          <w:szCs w:val="24"/>
          <w:u w:val="single"/>
        </w:rPr>
      </w:pPr>
      <w:r w:rsidRPr="00964266">
        <w:rPr>
          <w:rFonts w:ascii="Times New Roman" w:hAnsi="Times New Roman"/>
          <w:i/>
          <w:sz w:val="24"/>
          <w:szCs w:val="24"/>
          <w:u w:val="single"/>
        </w:rPr>
        <w:t>Príklad 6:</w:t>
      </w:r>
    </w:p>
    <w:p w:rsidR="004F4B99" w:rsidRPr="00964266" w:rsidP="004F4B99">
      <w:pPr>
        <w:bidi w:val="0"/>
        <w:jc w:val="both"/>
        <w:rPr>
          <w:rFonts w:ascii="Times New Roman" w:hAnsi="Times New Roman"/>
          <w:i/>
        </w:rPr>
      </w:pPr>
      <w:r w:rsidRPr="00964266">
        <w:rPr>
          <w:rFonts w:ascii="Times New Roman" w:hAnsi="Times New Roman"/>
          <w:i/>
        </w:rPr>
        <w:t>Daňovník v januári v</w:t>
      </w:r>
      <w:r>
        <w:rPr>
          <w:rFonts w:ascii="Times New Roman" w:hAnsi="Times New Roman"/>
          <w:i/>
        </w:rPr>
        <w:t> </w:t>
      </w:r>
      <w:r w:rsidRPr="00964266">
        <w:rPr>
          <w:rFonts w:ascii="Times New Roman" w:hAnsi="Times New Roman"/>
          <w:i/>
        </w:rPr>
        <w:t>roku</w:t>
      </w:r>
      <w:r>
        <w:rPr>
          <w:rFonts w:ascii="Times New Roman" w:hAnsi="Times New Roman"/>
          <w:i/>
        </w:rPr>
        <w:t xml:space="preserve"> 2015</w:t>
      </w:r>
      <w:r w:rsidRPr="00964266">
        <w:rPr>
          <w:rFonts w:ascii="Times New Roman" w:hAnsi="Times New Roman"/>
          <w:i/>
        </w:rPr>
        <w:t xml:space="preserve"> obstará osobný automobil v hodnote 60 000 eur formou operatívneho prenájmu, za ktorý ročne platí nájomné vo výške 18 000 eur. Podľa navrhovanej úpravy sa základ dane neupraví o rozdiel medzi skutočne uplatneným nájomným a limitovaným nájomným (14 400 eur), ak daňovník vykáže základ dane aspoň vo výške limitovaného nájomného (14 400 eur). Osobný automobil využíva 4 roky.</w:t>
      </w:r>
    </w:p>
    <w:p w:rsidR="004F4B99" w:rsidRPr="00964266" w:rsidP="004F4B99">
      <w:pPr>
        <w:bidi w:val="0"/>
        <w:jc w:val="both"/>
        <w:rPr>
          <w:rFonts w:ascii="Times New Roman" w:hAnsi="Times New Roman"/>
          <w:i/>
        </w:rPr>
      </w:pPr>
    </w:p>
    <w:p w:rsidR="004F4B99" w:rsidRPr="00964266" w:rsidP="004F4B99">
      <w:pPr>
        <w:bidi w:val="0"/>
        <w:jc w:val="both"/>
        <w:rPr>
          <w:rFonts w:ascii="Times New Roman" w:hAnsi="Times New Roman"/>
          <w:i/>
        </w:rPr>
      </w:pPr>
      <w:r w:rsidRPr="00964266">
        <w:rPr>
          <w:rFonts w:ascii="Times New Roman" w:hAnsi="Times New Roman"/>
          <w:i/>
        </w:rPr>
        <w:t>Tabuľka (v eur):</w:t>
        <w:tab/>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1418"/>
        <w:gridCol w:w="1740"/>
        <w:gridCol w:w="1920"/>
        <w:gridCol w:w="328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851"/>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rok</w:t>
            </w:r>
          </w:p>
        </w:tc>
        <w:tc>
          <w:tcPr>
            <w:tcW w:w="1418"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 xml:space="preserve">základ dane </w:t>
            </w:r>
          </w:p>
          <w:p w:rsidR="004F4B99" w:rsidRPr="00964266" w:rsidP="004F4B99">
            <w:pPr>
              <w:bidi w:val="0"/>
              <w:jc w:val="center"/>
              <w:rPr>
                <w:rFonts w:ascii="Times New Roman" w:hAnsi="Times New Roman"/>
                <w:i/>
                <w:szCs w:val="22"/>
              </w:rPr>
            </w:pPr>
            <w:r w:rsidRPr="00964266">
              <w:rPr>
                <w:rFonts w:ascii="Times New Roman" w:hAnsi="Times New Roman"/>
                <w:i/>
                <w:szCs w:val="22"/>
              </w:rPr>
              <w:t>(ZD)</w:t>
            </w:r>
          </w:p>
        </w:tc>
        <w:tc>
          <w:tcPr>
            <w:tcW w:w="1740"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uplatnené nájomné (UN)</w:t>
            </w:r>
          </w:p>
        </w:tc>
        <w:tc>
          <w:tcPr>
            <w:tcW w:w="1920" w:type="dxa"/>
            <w:tcBorders>
              <w:top w:val="single" w:sz="4" w:space="0" w:color="auto"/>
              <w:left w:val="single" w:sz="4" w:space="0" w:color="auto"/>
              <w:bottom w:val="single" w:sz="4" w:space="0" w:color="auto"/>
              <w:right w:val="single" w:sz="4" w:space="0" w:color="auto"/>
            </w:tcBorders>
            <w:textDirection w:val="lrTb"/>
            <w:vAlign w:val="center"/>
          </w:tcPr>
          <w:p w:rsidR="004F4B99" w:rsidRPr="00964266" w:rsidP="004F4B99">
            <w:pPr>
              <w:bidi w:val="0"/>
              <w:jc w:val="center"/>
              <w:rPr>
                <w:rFonts w:ascii="Times New Roman" w:hAnsi="Times New Roman"/>
                <w:i/>
                <w:szCs w:val="22"/>
              </w:rPr>
            </w:pPr>
            <w:r w:rsidRPr="00964266">
              <w:rPr>
                <w:rFonts w:ascii="Times New Roman" w:hAnsi="Times New Roman"/>
                <w:i/>
                <w:szCs w:val="22"/>
              </w:rPr>
              <w:t>limitované nájomné (LN)</w:t>
            </w:r>
          </w:p>
        </w:tc>
        <w:tc>
          <w:tcPr>
            <w:tcW w:w="3285"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ak ZD&lt;14</w:t>
            </w:r>
            <w:r w:rsidRPr="00964266">
              <w:rPr>
                <w:rFonts w:ascii="Times New Roman" w:hAnsi="Times New Roman"/>
                <w:bCs/>
                <w:i/>
                <w:szCs w:val="22"/>
              </w:rPr>
              <w:t xml:space="preserve"> 400, tak </w:t>
            </w:r>
            <w:r w:rsidRPr="00964266">
              <w:rPr>
                <w:rFonts w:ascii="Times New Roman" w:hAnsi="Times New Roman"/>
                <w:i/>
                <w:szCs w:val="22"/>
              </w:rPr>
              <w:t>ZD sa zvýši o rozdiel medzi UN a LN</w:t>
            </w:r>
          </w:p>
          <w:p w:rsidR="004F4B99" w:rsidRPr="00964266" w:rsidP="004F4B99">
            <w:pPr>
              <w:bidi w:val="0"/>
              <w:jc w:val="center"/>
              <w:rPr>
                <w:rFonts w:ascii="Times New Roman" w:hAnsi="Times New Roman"/>
                <w:i/>
                <w:szCs w:val="22"/>
              </w:rPr>
            </w:pPr>
            <w:r w:rsidRPr="00964266">
              <w:rPr>
                <w:rFonts w:ascii="Times New Roman" w:hAnsi="Times New Roman"/>
                <w:i/>
                <w:szCs w:val="22"/>
              </w:rPr>
              <w:t>(18 000 – 14 400)</w:t>
            </w:r>
          </w:p>
        </w:tc>
      </w:tr>
      <w:tr>
        <w:tblPrEx>
          <w:tblW w:w="9072"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Pr>
                <w:rFonts w:ascii="Times New Roman" w:hAnsi="Times New Roman"/>
                <w:i/>
                <w:szCs w:val="22"/>
              </w:rPr>
              <w:t>2015</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12 000</w:t>
            </w:r>
          </w:p>
        </w:tc>
        <w:tc>
          <w:tcPr>
            <w:tcW w:w="174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328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3 600</w:t>
            </w:r>
          </w:p>
        </w:tc>
      </w:tr>
      <w:tr>
        <w:tblPrEx>
          <w:tblW w:w="9072"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w:t>
            </w:r>
            <w:r>
              <w:rPr>
                <w:rFonts w:ascii="Times New Roman" w:hAnsi="Times New Roman"/>
                <w:i/>
                <w:szCs w:val="22"/>
              </w:rPr>
              <w:t>016</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20 000</w:t>
            </w:r>
          </w:p>
        </w:tc>
        <w:tc>
          <w:tcPr>
            <w:tcW w:w="174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328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w:t>
            </w:r>
          </w:p>
        </w:tc>
      </w:tr>
      <w:tr>
        <w:tblPrEx>
          <w:tblW w:w="9072"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Pr>
                <w:rFonts w:ascii="Times New Roman" w:hAnsi="Times New Roman"/>
                <w:i/>
                <w:szCs w:val="22"/>
              </w:rPr>
              <w:t>2017</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10 000</w:t>
            </w:r>
          </w:p>
        </w:tc>
        <w:tc>
          <w:tcPr>
            <w:tcW w:w="174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328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3 600</w:t>
            </w:r>
          </w:p>
        </w:tc>
      </w:tr>
      <w:tr>
        <w:tblPrEx>
          <w:tblW w:w="9072"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Pr>
                <w:rFonts w:ascii="Times New Roman" w:hAnsi="Times New Roman"/>
                <w:i/>
                <w:szCs w:val="22"/>
              </w:rPr>
              <w:t>2018</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16 000</w:t>
            </w:r>
          </w:p>
        </w:tc>
        <w:tc>
          <w:tcPr>
            <w:tcW w:w="1740"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328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w:t>
            </w:r>
          </w:p>
        </w:tc>
      </w:tr>
      <w:tr>
        <w:tblPrEx>
          <w:tblW w:w="9072" w:type="dxa"/>
          <w:tblInd w:w="70" w:type="dxa"/>
          <w:tblCellMar>
            <w:left w:w="70" w:type="dxa"/>
            <w:right w:w="70" w:type="dxa"/>
          </w:tblCellMar>
          <w:tblLook w:val="04A0"/>
        </w:tblPrEx>
        <w:trPr>
          <w:trHeight w:hRule="exact" w:val="284"/>
        </w:trPr>
        <w:tc>
          <w:tcPr>
            <w:tcW w:w="709" w:type="dxa"/>
            <w:tcBorders>
              <w:top w:val="single" w:sz="4" w:space="0" w:color="auto"/>
              <w:left w:val="nil"/>
              <w:bottom w:val="nil"/>
              <w:right w:val="nil"/>
            </w:tcBorders>
            <w:noWrap/>
            <w:textDirection w:val="lrTb"/>
            <w:vAlign w:val="center"/>
            <w:hideMark/>
          </w:tcPr>
          <w:p w:rsidR="004F4B99" w:rsidRPr="00964266" w:rsidP="004F4B99">
            <w:pPr>
              <w:bidi w:val="0"/>
              <w:rPr>
                <w:rFonts w:ascii="Times New Roman" w:hAnsi="Times New Roman"/>
                <w:i/>
                <w:szCs w:val="22"/>
              </w:rPr>
            </w:pPr>
          </w:p>
        </w:tc>
        <w:tc>
          <w:tcPr>
            <w:tcW w:w="1418" w:type="dxa"/>
            <w:tcBorders>
              <w:top w:val="single" w:sz="4" w:space="0" w:color="auto"/>
              <w:left w:val="nil"/>
              <w:bottom w:val="nil"/>
              <w:right w:val="nil"/>
            </w:tcBorders>
            <w:noWrap/>
            <w:textDirection w:val="lrTb"/>
            <w:vAlign w:val="center"/>
            <w:hideMark/>
          </w:tcPr>
          <w:p w:rsidR="004F4B99" w:rsidRPr="00964266" w:rsidP="004F4B99">
            <w:pPr>
              <w:bidi w:val="0"/>
              <w:rPr>
                <w:rFonts w:ascii="Times New Roman" w:hAnsi="Times New Roman"/>
                <w:i/>
                <w:szCs w:val="22"/>
              </w:rPr>
            </w:pPr>
          </w:p>
        </w:tc>
        <w:tc>
          <w:tcPr>
            <w:tcW w:w="1740" w:type="dxa"/>
            <w:tcBorders>
              <w:top w:val="single" w:sz="4" w:space="0" w:color="auto"/>
              <w:left w:val="nil"/>
              <w:bottom w:val="nil"/>
              <w:right w:val="single" w:sz="4" w:space="0" w:color="auto"/>
            </w:tcBorders>
            <w:noWrap/>
            <w:textDirection w:val="lrTb"/>
            <w:vAlign w:val="center"/>
            <w:hideMark/>
          </w:tcPr>
          <w:p w:rsidR="004F4B99" w:rsidRPr="00964266" w:rsidP="004F4B99">
            <w:pPr>
              <w:bidi w:val="0"/>
              <w:rPr>
                <w:rFonts w:ascii="Times New Roman" w:hAnsi="Times New Roman"/>
                <w:i/>
                <w:szCs w:val="22"/>
              </w:rPr>
            </w:pPr>
          </w:p>
        </w:tc>
        <w:tc>
          <w:tcPr>
            <w:tcW w:w="1920" w:type="dxa"/>
            <w:tcBorders>
              <w:top w:val="single" w:sz="4" w:space="0" w:color="auto"/>
              <w:left w:val="single" w:sz="4" w:space="0" w:color="auto"/>
              <w:bottom w:val="single" w:sz="4" w:space="0" w:color="auto"/>
              <w:right w:val="single" w:sz="4" w:space="0" w:color="auto"/>
            </w:tcBorders>
            <w:textDirection w:val="lrTb"/>
            <w:vAlign w:val="center"/>
          </w:tcPr>
          <w:p w:rsidR="004F4B99" w:rsidRPr="00964266" w:rsidP="004F4B99">
            <w:pPr>
              <w:bidi w:val="0"/>
              <w:ind w:left="-52"/>
              <w:jc w:val="center"/>
              <w:rPr>
                <w:rFonts w:ascii="Times New Roman" w:hAnsi="Times New Roman"/>
                <w:b/>
                <w:bCs/>
                <w:i/>
                <w:szCs w:val="22"/>
              </w:rPr>
            </w:pPr>
            <w:r w:rsidRPr="00964266">
              <w:rPr>
                <w:rFonts w:ascii="Times New Roman" w:hAnsi="Times New Roman"/>
                <w:b/>
                <w:bCs/>
                <w:i/>
                <w:szCs w:val="22"/>
              </w:rPr>
              <w:t>spolu úprava ZD</w:t>
            </w:r>
          </w:p>
        </w:tc>
        <w:tc>
          <w:tcPr>
            <w:tcW w:w="3285"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64266" w:rsidP="004F4B99">
            <w:pPr>
              <w:bidi w:val="0"/>
              <w:jc w:val="center"/>
              <w:rPr>
                <w:rFonts w:ascii="Times New Roman" w:hAnsi="Times New Roman"/>
                <w:b/>
                <w:bCs/>
                <w:i/>
                <w:szCs w:val="22"/>
              </w:rPr>
            </w:pPr>
            <w:r w:rsidRPr="00964266">
              <w:rPr>
                <w:rFonts w:ascii="Times New Roman" w:hAnsi="Times New Roman"/>
                <w:b/>
                <w:bCs/>
                <w:i/>
                <w:szCs w:val="22"/>
              </w:rPr>
              <w:t>7 200</w:t>
            </w:r>
          </w:p>
        </w:tc>
      </w:tr>
    </w:tbl>
    <w:p w:rsidR="004F4B99" w:rsidRPr="00964266" w:rsidP="004F4B99">
      <w:pPr>
        <w:bidi w:val="0"/>
        <w:jc w:val="both"/>
        <w:rPr>
          <w:rFonts w:ascii="Times New Roman" w:hAnsi="Times New Roman"/>
          <w:i/>
        </w:rPr>
      </w:pPr>
    </w:p>
    <w:p w:rsidR="004F4B99" w:rsidRPr="00964266" w:rsidP="004F4B99">
      <w:pPr>
        <w:bidi w:val="0"/>
        <w:jc w:val="both"/>
        <w:rPr>
          <w:rFonts w:ascii="Times New Roman" w:hAnsi="Times New Roman"/>
          <w:i/>
        </w:rPr>
      </w:pPr>
      <w:r w:rsidRPr="00964266">
        <w:rPr>
          <w:rFonts w:ascii="Times New Roman" w:hAnsi="Times New Roman"/>
          <w:i/>
        </w:rPr>
        <w:t>Komentár k tabuľke:</w:t>
      </w:r>
    </w:p>
    <w:p w:rsidR="004F4B99" w:rsidRPr="00964266" w:rsidP="004F4B99">
      <w:pPr>
        <w:bidi w:val="0"/>
        <w:ind w:left="709" w:hanging="709"/>
        <w:jc w:val="both"/>
        <w:rPr>
          <w:rFonts w:ascii="Times New Roman" w:hAnsi="Times New Roman"/>
          <w:i/>
        </w:rPr>
      </w:pPr>
      <w:r>
        <w:rPr>
          <w:rFonts w:ascii="Times New Roman" w:hAnsi="Times New Roman"/>
          <w:i/>
        </w:rPr>
        <w:t>2015</w:t>
      </w:r>
      <w:r w:rsidRPr="00964266">
        <w:rPr>
          <w:rFonts w:ascii="Times New Roman" w:hAnsi="Times New Roman"/>
          <w:i/>
        </w:rPr>
        <w:t xml:space="preserve">: </w:t>
        <w:tab/>
        <w:t xml:space="preserve">Daňovník vykáže základ dane vo výške 12 000 eur. Keďže tento základ dane je nižší ako limitované nájomné (14 400 eur), tak sa základ dane zvýši o sumu 3 600 eur, ktorá sa vypočíta ako rozdiel medzi skutočne uplatneným nájomným (18 000 eur) a limitovaným nájomným (14 400 eur). </w:t>
      </w:r>
    </w:p>
    <w:p w:rsidR="004F4B99" w:rsidRPr="00964266" w:rsidP="004F4B99">
      <w:pPr>
        <w:bidi w:val="0"/>
        <w:ind w:left="709" w:hanging="709"/>
        <w:jc w:val="both"/>
        <w:rPr>
          <w:rFonts w:ascii="Times New Roman" w:hAnsi="Times New Roman"/>
          <w:i/>
        </w:rPr>
      </w:pPr>
      <w:r w:rsidRPr="00964266">
        <w:rPr>
          <w:rFonts w:ascii="Times New Roman" w:hAnsi="Times New Roman"/>
          <w:i/>
        </w:rPr>
        <w:t>2</w:t>
      </w:r>
      <w:r>
        <w:rPr>
          <w:rFonts w:ascii="Times New Roman" w:hAnsi="Times New Roman"/>
          <w:i/>
        </w:rPr>
        <w:t>016</w:t>
      </w:r>
      <w:r w:rsidRPr="00964266">
        <w:rPr>
          <w:rFonts w:ascii="Times New Roman" w:hAnsi="Times New Roman"/>
          <w:i/>
        </w:rPr>
        <w:t xml:space="preserve">: </w:t>
        <w:tab/>
        <w:t>Základ dane je vyšší ako výška limitovaného nájomného a úpravu základu dane nevykoná.</w:t>
      </w:r>
    </w:p>
    <w:p w:rsidR="004F4B99" w:rsidRPr="00964266" w:rsidP="004F4B99">
      <w:pPr>
        <w:bidi w:val="0"/>
        <w:ind w:left="709" w:hanging="709"/>
        <w:jc w:val="both"/>
        <w:rPr>
          <w:rFonts w:ascii="Times New Roman" w:hAnsi="Times New Roman"/>
          <w:i/>
        </w:rPr>
      </w:pPr>
      <w:r>
        <w:rPr>
          <w:rFonts w:ascii="Times New Roman" w:hAnsi="Times New Roman"/>
          <w:i/>
        </w:rPr>
        <w:t>2017</w:t>
      </w:r>
      <w:r w:rsidRPr="00964266">
        <w:rPr>
          <w:rFonts w:ascii="Times New Roman" w:hAnsi="Times New Roman"/>
          <w:i/>
        </w:rPr>
        <w:t xml:space="preserve">: </w:t>
      </w:r>
      <w:r>
        <w:rPr>
          <w:rFonts w:ascii="Times New Roman" w:hAnsi="Times New Roman"/>
          <w:i/>
        </w:rPr>
        <w:tab/>
      </w:r>
      <w:r w:rsidRPr="00964266">
        <w:rPr>
          <w:rFonts w:ascii="Times New Roman" w:hAnsi="Times New Roman"/>
          <w:i/>
        </w:rPr>
        <w:t>Daňovník postupuje rovnako ako v</w:t>
      </w:r>
      <w:r>
        <w:rPr>
          <w:rFonts w:ascii="Times New Roman" w:hAnsi="Times New Roman"/>
          <w:i/>
        </w:rPr>
        <w:t> </w:t>
      </w:r>
      <w:r w:rsidRPr="00964266">
        <w:rPr>
          <w:rFonts w:ascii="Times New Roman" w:hAnsi="Times New Roman"/>
          <w:i/>
        </w:rPr>
        <w:t>roku</w:t>
      </w:r>
      <w:r>
        <w:rPr>
          <w:rFonts w:ascii="Times New Roman" w:hAnsi="Times New Roman"/>
          <w:i/>
        </w:rPr>
        <w:t xml:space="preserve"> 2015</w:t>
      </w:r>
      <w:r w:rsidRPr="00964266">
        <w:rPr>
          <w:rFonts w:ascii="Times New Roman" w:hAnsi="Times New Roman"/>
          <w:i/>
        </w:rPr>
        <w:t>. Základ dane je nižší ako výška limitovaného nájomného a základ dane sa zvýši o 3 600 eur.</w:t>
      </w:r>
    </w:p>
    <w:p w:rsidR="004F4B99" w:rsidRPr="00964266" w:rsidP="004F4B99">
      <w:pPr>
        <w:bidi w:val="0"/>
        <w:ind w:left="709" w:hanging="709"/>
        <w:jc w:val="both"/>
        <w:rPr>
          <w:rFonts w:ascii="Times New Roman" w:hAnsi="Times New Roman"/>
          <w:i/>
        </w:rPr>
      </w:pPr>
      <w:r>
        <w:rPr>
          <w:rFonts w:ascii="Times New Roman" w:hAnsi="Times New Roman"/>
          <w:i/>
        </w:rPr>
        <w:t>2018</w:t>
      </w:r>
      <w:r w:rsidRPr="00964266">
        <w:rPr>
          <w:rFonts w:ascii="Times New Roman" w:hAnsi="Times New Roman"/>
          <w:i/>
        </w:rPr>
        <w:t xml:space="preserve">: </w:t>
      </w:r>
      <w:r>
        <w:rPr>
          <w:rFonts w:ascii="Times New Roman" w:hAnsi="Times New Roman"/>
          <w:i/>
        </w:rPr>
        <w:tab/>
      </w:r>
      <w:r w:rsidRPr="00964266">
        <w:rPr>
          <w:rFonts w:ascii="Times New Roman" w:hAnsi="Times New Roman"/>
          <w:i/>
        </w:rPr>
        <w:t>Daňovník postupuje rovnako ako v</w:t>
      </w:r>
      <w:r>
        <w:rPr>
          <w:rFonts w:ascii="Times New Roman" w:hAnsi="Times New Roman"/>
          <w:i/>
        </w:rPr>
        <w:t> </w:t>
      </w:r>
      <w:r w:rsidRPr="00964266">
        <w:rPr>
          <w:rFonts w:ascii="Times New Roman" w:hAnsi="Times New Roman"/>
          <w:i/>
        </w:rPr>
        <w:t>roku</w:t>
      </w:r>
      <w:r>
        <w:rPr>
          <w:rFonts w:ascii="Times New Roman" w:hAnsi="Times New Roman"/>
          <w:i/>
        </w:rPr>
        <w:t xml:space="preserve"> 2016</w:t>
      </w:r>
      <w:r w:rsidRPr="00964266">
        <w:rPr>
          <w:rFonts w:ascii="Times New Roman" w:hAnsi="Times New Roman"/>
          <w:i/>
        </w:rPr>
        <w:t>. Základ dane je vyšší ako výška limitovaného nájomného a úpravu základu dane nevykoná.</w:t>
      </w:r>
    </w:p>
    <w:p w:rsidR="004F4B99" w:rsidRPr="0096426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b/>
          <w:i/>
          <w:sz w:val="24"/>
          <w:szCs w:val="24"/>
        </w:rPr>
      </w:pPr>
    </w:p>
    <w:p w:rsidR="004F4B99" w:rsidRPr="00964266" w:rsidP="004F4B99">
      <w:pPr>
        <w:bidi w:val="0"/>
        <w:jc w:val="both"/>
        <w:rPr>
          <w:rFonts w:ascii="Times New Roman" w:hAnsi="Times New Roman"/>
          <w:i/>
          <w:u w:val="single"/>
        </w:rPr>
      </w:pPr>
      <w:r w:rsidRPr="00964266">
        <w:rPr>
          <w:rFonts w:ascii="Times New Roman" w:hAnsi="Times New Roman"/>
          <w:i/>
          <w:u w:val="single"/>
        </w:rPr>
        <w:t>Príklad 7:</w:t>
      </w:r>
    </w:p>
    <w:p w:rsidR="004F4B99" w:rsidRPr="00964266" w:rsidP="004F4B99">
      <w:pPr>
        <w:bidi w:val="0"/>
        <w:jc w:val="both"/>
        <w:rPr>
          <w:rFonts w:ascii="Times New Roman" w:hAnsi="Times New Roman"/>
          <w:i/>
        </w:rPr>
      </w:pPr>
      <w:r w:rsidRPr="00964266">
        <w:rPr>
          <w:rFonts w:ascii="Times New Roman" w:hAnsi="Times New Roman"/>
          <w:i/>
        </w:rPr>
        <w:t>Daňovník v apríli 2015 obstará osobný automobil v hodnote 60 000 eur formou operatívneho prenájmu, za ktorý ročne platí nájomné vo výške 18 000 eur. Podľa navrhovanej úpravy sa základ dane neupraví o rozdiel medzi skutočne uplatneným nájomným a limitovaným nájomným (14 400 eur) alebo jeho pomernej časti, ak daňovník vykáže základ dane aspoň vo výške limitovaného nájomného (14 400 eur) alebo jeho pomernej časti. Osobný automobil využíva 4 roky (od apríla 2015 do marca 2019</w:t>
      </w:r>
      <w:r>
        <w:rPr>
          <w:rFonts w:ascii="Times New Roman" w:hAnsi="Times New Roman"/>
          <w:i/>
        </w:rPr>
        <w:t>).</w:t>
      </w:r>
    </w:p>
    <w:p w:rsidR="004F4B99" w:rsidP="004F4B99">
      <w:pPr>
        <w:bidi w:val="0"/>
        <w:jc w:val="both"/>
        <w:rPr>
          <w:rFonts w:ascii="Times New Roman" w:hAnsi="Times New Roman"/>
          <w:i/>
        </w:rPr>
      </w:pPr>
    </w:p>
    <w:p w:rsidR="004F4B99" w:rsidP="004F4B99">
      <w:pPr>
        <w:bidi w:val="0"/>
        <w:jc w:val="both"/>
        <w:rPr>
          <w:rFonts w:ascii="Times New Roman" w:hAnsi="Times New Roman"/>
          <w:i/>
        </w:rPr>
      </w:pPr>
    </w:p>
    <w:p w:rsidR="004F4B99" w:rsidP="004F4B99">
      <w:pPr>
        <w:bidi w:val="0"/>
        <w:jc w:val="both"/>
        <w:rPr>
          <w:rFonts w:ascii="Times New Roman" w:hAnsi="Times New Roman"/>
          <w:i/>
        </w:rPr>
      </w:pPr>
    </w:p>
    <w:p w:rsidR="004F4B99" w:rsidRPr="00964266" w:rsidP="004F4B99">
      <w:pPr>
        <w:bidi w:val="0"/>
        <w:jc w:val="both"/>
        <w:rPr>
          <w:rFonts w:ascii="Times New Roman" w:hAnsi="Times New Roman"/>
          <w:i/>
        </w:rPr>
      </w:pPr>
    </w:p>
    <w:p w:rsidR="004F4B99" w:rsidRPr="00964266" w:rsidP="004F4B99">
      <w:pPr>
        <w:bidi w:val="0"/>
        <w:jc w:val="both"/>
        <w:rPr>
          <w:rFonts w:ascii="Times New Roman" w:hAnsi="Times New Roman"/>
          <w:i/>
        </w:rPr>
      </w:pPr>
      <w:r w:rsidRPr="00964266">
        <w:rPr>
          <w:rFonts w:ascii="Times New Roman" w:hAnsi="Times New Roman"/>
          <w:i/>
        </w:rPr>
        <w:t>Tabuľka (v eur):</w:t>
        <w:tab/>
      </w:r>
    </w:p>
    <w:tbl>
      <w:tblPr>
        <w:tblStyle w:val="TableNormal"/>
        <w:tblW w:w="92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992"/>
        <w:gridCol w:w="2835"/>
        <w:gridCol w:w="2693"/>
        <w:gridCol w:w="1984"/>
      </w:tblGrid>
      <w:tr>
        <w:tblPrEx>
          <w:tblW w:w="92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1295"/>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rok</w:t>
            </w:r>
          </w:p>
        </w:tc>
        <w:tc>
          <w:tcPr>
            <w:tcW w:w="992"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 xml:space="preserve">základ dane </w:t>
            </w:r>
          </w:p>
          <w:p w:rsidR="004F4B99" w:rsidRPr="00964266" w:rsidP="004F4B99">
            <w:pPr>
              <w:bidi w:val="0"/>
              <w:jc w:val="center"/>
              <w:rPr>
                <w:rFonts w:ascii="Times New Roman" w:hAnsi="Times New Roman"/>
                <w:i/>
                <w:szCs w:val="22"/>
              </w:rPr>
            </w:pPr>
            <w:r w:rsidRPr="00964266">
              <w:rPr>
                <w:rFonts w:ascii="Times New Roman" w:hAnsi="Times New Roman"/>
                <w:i/>
                <w:szCs w:val="22"/>
              </w:rPr>
              <w:t>(ZD)</w:t>
            </w:r>
          </w:p>
        </w:tc>
        <w:tc>
          <w:tcPr>
            <w:tcW w:w="2835"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uplatnené nájomné (UN)</w:t>
            </w: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64266" w:rsidP="004F4B99">
            <w:pPr>
              <w:bidi w:val="0"/>
              <w:jc w:val="center"/>
              <w:rPr>
                <w:rFonts w:ascii="Times New Roman" w:hAnsi="Times New Roman"/>
                <w:i/>
                <w:szCs w:val="22"/>
              </w:rPr>
            </w:pPr>
            <w:r w:rsidRPr="00964266">
              <w:rPr>
                <w:rFonts w:ascii="Times New Roman" w:hAnsi="Times New Roman"/>
                <w:i/>
                <w:szCs w:val="22"/>
              </w:rPr>
              <w:t>limitované nájomné (LN)</w:t>
            </w:r>
          </w:p>
        </w:tc>
        <w:tc>
          <w:tcPr>
            <w:tcW w:w="1984"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ak ZD&lt;14</w:t>
            </w:r>
            <w:r w:rsidRPr="00964266">
              <w:rPr>
                <w:rFonts w:ascii="Times New Roman" w:hAnsi="Times New Roman"/>
                <w:bCs/>
                <w:i/>
                <w:szCs w:val="22"/>
              </w:rPr>
              <w:t xml:space="preserve"> 400, tak </w:t>
            </w:r>
            <w:r w:rsidRPr="00964266">
              <w:rPr>
                <w:rFonts w:ascii="Times New Roman" w:hAnsi="Times New Roman"/>
                <w:i/>
                <w:szCs w:val="22"/>
              </w:rPr>
              <w:t>ZD sa zvýši o rozdiel medzi UN a LN</w:t>
            </w:r>
          </w:p>
        </w:tc>
      </w:tr>
      <w:tr>
        <w:tblPrEx>
          <w:tblW w:w="9213"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2015</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9 000</w:t>
            </w:r>
          </w:p>
        </w:tc>
        <w:tc>
          <w:tcPr>
            <w:tcW w:w="283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rPr>
                <w:rFonts w:ascii="Times New Roman" w:hAnsi="Times New Roman"/>
                <w:i/>
                <w:szCs w:val="22"/>
              </w:rPr>
            </w:pPr>
            <w:r w:rsidRPr="00964266">
              <w:rPr>
                <w:rFonts w:ascii="Times New Roman" w:hAnsi="Times New Roman"/>
                <w:i/>
                <w:szCs w:val="22"/>
              </w:rPr>
              <w:t>13 500 (apríl - december)</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rPr>
                <w:rFonts w:ascii="Times New Roman" w:hAnsi="Times New Roman"/>
                <w:i/>
                <w:szCs w:val="22"/>
              </w:rPr>
            </w:pPr>
            <w:r w:rsidRPr="00964266">
              <w:rPr>
                <w:rFonts w:ascii="Times New Roman" w:hAnsi="Times New Roman"/>
                <w:i/>
                <w:szCs w:val="22"/>
              </w:rPr>
              <w:t>10 800 (apríl - december)</w:t>
            </w:r>
          </w:p>
        </w:tc>
        <w:tc>
          <w:tcPr>
            <w:tcW w:w="198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2 700</w:t>
            </w:r>
          </w:p>
        </w:tc>
      </w:tr>
      <w:tr>
        <w:tblPrEx>
          <w:tblW w:w="9213"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2016</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20 000</w:t>
            </w:r>
          </w:p>
        </w:tc>
        <w:tc>
          <w:tcPr>
            <w:tcW w:w="283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198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w:t>
            </w:r>
          </w:p>
        </w:tc>
      </w:tr>
      <w:tr>
        <w:tblPrEx>
          <w:tblW w:w="9213"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2017</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10 000</w:t>
            </w:r>
          </w:p>
        </w:tc>
        <w:tc>
          <w:tcPr>
            <w:tcW w:w="283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198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3 600</w:t>
            </w:r>
          </w:p>
        </w:tc>
      </w:tr>
      <w:tr>
        <w:tblPrEx>
          <w:tblW w:w="9213"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2018</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16 000</w:t>
            </w:r>
          </w:p>
        </w:tc>
        <w:tc>
          <w:tcPr>
            <w:tcW w:w="2835"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18 000</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jc w:val="center"/>
              <w:rPr>
                <w:rFonts w:ascii="Times New Roman" w:hAnsi="Times New Roman"/>
                <w:i/>
                <w:szCs w:val="22"/>
              </w:rPr>
            </w:pPr>
            <w:r w:rsidRPr="00964266">
              <w:rPr>
                <w:rFonts w:ascii="Times New Roman" w:hAnsi="Times New Roman"/>
                <w:i/>
                <w:szCs w:val="22"/>
              </w:rPr>
              <w:t>14 400</w:t>
            </w:r>
          </w:p>
        </w:tc>
        <w:tc>
          <w:tcPr>
            <w:tcW w:w="1984"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964266" w:rsidP="004F4B99">
            <w:pPr>
              <w:bidi w:val="0"/>
              <w:jc w:val="center"/>
              <w:rPr>
                <w:rFonts w:ascii="Times New Roman" w:hAnsi="Times New Roman"/>
                <w:i/>
                <w:szCs w:val="22"/>
              </w:rPr>
            </w:pPr>
            <w:r w:rsidRPr="00964266">
              <w:rPr>
                <w:rFonts w:ascii="Times New Roman" w:hAnsi="Times New Roman"/>
                <w:i/>
                <w:szCs w:val="22"/>
              </w:rPr>
              <w:t>-</w:t>
            </w:r>
          </w:p>
        </w:tc>
      </w:tr>
      <w:tr>
        <w:tblPrEx>
          <w:tblW w:w="9213"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64266" w:rsidP="004F4B99">
            <w:pPr>
              <w:bidi w:val="0"/>
              <w:jc w:val="center"/>
              <w:rPr>
                <w:rFonts w:ascii="Times New Roman" w:hAnsi="Times New Roman"/>
                <w:i/>
                <w:szCs w:val="22"/>
              </w:rPr>
            </w:pPr>
            <w:r w:rsidRPr="00964266">
              <w:rPr>
                <w:rFonts w:ascii="Times New Roman" w:hAnsi="Times New Roman"/>
                <w:i/>
                <w:szCs w:val="22"/>
              </w:rPr>
              <w:t>2019</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64266" w:rsidP="004F4B99">
            <w:pPr>
              <w:bidi w:val="0"/>
              <w:jc w:val="center"/>
              <w:rPr>
                <w:rFonts w:ascii="Times New Roman" w:hAnsi="Times New Roman"/>
                <w:i/>
                <w:szCs w:val="22"/>
              </w:rPr>
            </w:pPr>
            <w:r w:rsidRPr="00964266">
              <w:rPr>
                <w:rFonts w:ascii="Times New Roman" w:hAnsi="Times New Roman"/>
                <w:i/>
                <w:szCs w:val="22"/>
              </w:rPr>
              <w:t>3 000</w:t>
            </w:r>
          </w:p>
        </w:tc>
        <w:tc>
          <w:tcPr>
            <w:tcW w:w="2835"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64266" w:rsidP="004F4B99">
            <w:pPr>
              <w:bidi w:val="0"/>
              <w:rPr>
                <w:rFonts w:ascii="Times New Roman" w:hAnsi="Times New Roman"/>
                <w:i/>
                <w:szCs w:val="22"/>
              </w:rPr>
            </w:pPr>
            <w:r w:rsidRPr="00964266">
              <w:rPr>
                <w:rFonts w:ascii="Times New Roman" w:hAnsi="Times New Roman"/>
                <w:i/>
                <w:szCs w:val="22"/>
              </w:rPr>
              <w:t>4 500 (január - marec)</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4F4B99" w:rsidRPr="00964266" w:rsidP="004F4B99">
            <w:pPr>
              <w:bidi w:val="0"/>
              <w:rPr>
                <w:rFonts w:ascii="Times New Roman" w:hAnsi="Times New Roman"/>
                <w:i/>
                <w:szCs w:val="22"/>
              </w:rPr>
            </w:pPr>
            <w:r w:rsidRPr="00964266">
              <w:rPr>
                <w:rFonts w:ascii="Times New Roman" w:hAnsi="Times New Roman"/>
                <w:i/>
                <w:szCs w:val="22"/>
              </w:rPr>
              <w:t>3 600 (január - marec)</w:t>
            </w:r>
          </w:p>
        </w:tc>
        <w:tc>
          <w:tcPr>
            <w:tcW w:w="1984"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64266" w:rsidP="004F4B99">
            <w:pPr>
              <w:bidi w:val="0"/>
              <w:jc w:val="center"/>
              <w:rPr>
                <w:rFonts w:ascii="Times New Roman" w:hAnsi="Times New Roman"/>
                <w:i/>
                <w:szCs w:val="22"/>
              </w:rPr>
            </w:pPr>
            <w:r w:rsidRPr="00964266">
              <w:rPr>
                <w:rFonts w:ascii="Times New Roman" w:hAnsi="Times New Roman"/>
                <w:i/>
                <w:szCs w:val="22"/>
              </w:rPr>
              <w:t>900</w:t>
            </w:r>
          </w:p>
        </w:tc>
      </w:tr>
      <w:tr>
        <w:tblPrEx>
          <w:tblW w:w="9213" w:type="dxa"/>
          <w:tblInd w:w="70" w:type="dxa"/>
          <w:tblCellMar>
            <w:left w:w="70" w:type="dxa"/>
            <w:right w:w="70" w:type="dxa"/>
          </w:tblCellMar>
          <w:tblLook w:val="04A0"/>
        </w:tblPrEx>
        <w:trPr>
          <w:trHeight w:hRule="exact" w:val="284"/>
        </w:trPr>
        <w:tc>
          <w:tcPr>
            <w:tcW w:w="709" w:type="dxa"/>
            <w:tcBorders>
              <w:top w:val="single" w:sz="4" w:space="0" w:color="auto"/>
              <w:left w:val="nil"/>
              <w:bottom w:val="nil"/>
              <w:right w:val="nil"/>
            </w:tcBorders>
            <w:noWrap/>
            <w:textDirection w:val="lrTb"/>
            <w:vAlign w:val="center"/>
            <w:hideMark/>
          </w:tcPr>
          <w:p w:rsidR="004F4B99" w:rsidRPr="00964266" w:rsidP="004F4B99">
            <w:pPr>
              <w:bidi w:val="0"/>
              <w:rPr>
                <w:rFonts w:ascii="Times New Roman" w:hAnsi="Times New Roman"/>
                <w:i/>
                <w:szCs w:val="22"/>
              </w:rPr>
            </w:pPr>
          </w:p>
        </w:tc>
        <w:tc>
          <w:tcPr>
            <w:tcW w:w="992" w:type="dxa"/>
            <w:tcBorders>
              <w:top w:val="single" w:sz="4" w:space="0" w:color="auto"/>
              <w:left w:val="nil"/>
              <w:bottom w:val="nil"/>
              <w:right w:val="nil"/>
            </w:tcBorders>
            <w:noWrap/>
            <w:textDirection w:val="lrTb"/>
            <w:vAlign w:val="center"/>
            <w:hideMark/>
          </w:tcPr>
          <w:p w:rsidR="004F4B99" w:rsidRPr="00964266" w:rsidP="004F4B99">
            <w:pPr>
              <w:bidi w:val="0"/>
              <w:rPr>
                <w:rFonts w:ascii="Times New Roman" w:hAnsi="Times New Roman"/>
                <w:i/>
                <w:szCs w:val="22"/>
              </w:rPr>
            </w:pPr>
          </w:p>
        </w:tc>
        <w:tc>
          <w:tcPr>
            <w:tcW w:w="2835" w:type="dxa"/>
            <w:tcBorders>
              <w:top w:val="single" w:sz="4" w:space="0" w:color="auto"/>
              <w:left w:val="nil"/>
              <w:bottom w:val="nil"/>
              <w:right w:val="single" w:sz="4" w:space="0" w:color="auto"/>
            </w:tcBorders>
            <w:noWrap/>
            <w:textDirection w:val="lrTb"/>
            <w:vAlign w:val="center"/>
            <w:hideMark/>
          </w:tcPr>
          <w:p w:rsidR="004F4B99" w:rsidRPr="00964266" w:rsidP="004F4B99">
            <w:pPr>
              <w:bidi w:val="0"/>
              <w:rPr>
                <w:rFonts w:ascii="Times New Roman" w:hAnsi="Times New Roman"/>
                <w:i/>
                <w:szCs w:val="22"/>
              </w:rPr>
            </w:pPr>
          </w:p>
        </w:tc>
        <w:tc>
          <w:tcPr>
            <w:tcW w:w="2693" w:type="dxa"/>
            <w:tcBorders>
              <w:top w:val="single" w:sz="4" w:space="0" w:color="auto"/>
              <w:left w:val="single" w:sz="4" w:space="0" w:color="auto"/>
              <w:bottom w:val="single" w:sz="4" w:space="0" w:color="auto"/>
              <w:right w:val="single" w:sz="4" w:space="0" w:color="auto"/>
            </w:tcBorders>
            <w:textDirection w:val="lrTb"/>
            <w:vAlign w:val="center"/>
          </w:tcPr>
          <w:p w:rsidR="004F4B99" w:rsidRPr="00964266" w:rsidP="004F4B99">
            <w:pPr>
              <w:bidi w:val="0"/>
              <w:ind w:left="-52"/>
              <w:jc w:val="center"/>
              <w:rPr>
                <w:rFonts w:ascii="Times New Roman" w:hAnsi="Times New Roman"/>
                <w:b/>
                <w:bCs/>
                <w:i/>
                <w:szCs w:val="22"/>
              </w:rPr>
            </w:pPr>
            <w:r w:rsidRPr="00964266">
              <w:rPr>
                <w:rFonts w:ascii="Times New Roman" w:hAnsi="Times New Roman"/>
                <w:b/>
                <w:bCs/>
                <w:i/>
                <w:szCs w:val="22"/>
              </w:rPr>
              <w:t>spolu úprava ZD</w:t>
            </w:r>
          </w:p>
        </w:tc>
        <w:tc>
          <w:tcPr>
            <w:tcW w:w="1984" w:type="dxa"/>
            <w:tcBorders>
              <w:top w:val="single" w:sz="4" w:space="0" w:color="auto"/>
              <w:left w:val="single" w:sz="4" w:space="0" w:color="auto"/>
              <w:bottom w:val="single" w:sz="4" w:space="0" w:color="auto"/>
              <w:right w:val="single" w:sz="4" w:space="0" w:color="auto"/>
            </w:tcBorders>
            <w:noWrap/>
            <w:textDirection w:val="lrTb"/>
            <w:vAlign w:val="center"/>
          </w:tcPr>
          <w:p w:rsidR="004F4B99" w:rsidRPr="00964266" w:rsidP="004F4B99">
            <w:pPr>
              <w:bidi w:val="0"/>
              <w:jc w:val="center"/>
              <w:rPr>
                <w:rFonts w:ascii="Times New Roman" w:hAnsi="Times New Roman"/>
                <w:b/>
                <w:bCs/>
                <w:i/>
                <w:szCs w:val="22"/>
              </w:rPr>
            </w:pPr>
            <w:r w:rsidRPr="00964266">
              <w:rPr>
                <w:rFonts w:ascii="Times New Roman" w:hAnsi="Times New Roman"/>
                <w:b/>
                <w:bCs/>
                <w:i/>
                <w:szCs w:val="22"/>
              </w:rPr>
              <w:t>7 200</w:t>
            </w:r>
          </w:p>
        </w:tc>
      </w:tr>
    </w:tbl>
    <w:p w:rsidR="004F4B99" w:rsidRPr="00964266" w:rsidP="004F4B99">
      <w:pPr>
        <w:bidi w:val="0"/>
        <w:jc w:val="both"/>
        <w:rPr>
          <w:rFonts w:ascii="Times New Roman" w:hAnsi="Times New Roman"/>
          <w:i/>
        </w:rPr>
      </w:pPr>
    </w:p>
    <w:p w:rsidR="004F4B99" w:rsidRPr="00964266" w:rsidP="004F4B99">
      <w:pPr>
        <w:bidi w:val="0"/>
        <w:jc w:val="both"/>
        <w:rPr>
          <w:rFonts w:ascii="Times New Roman" w:hAnsi="Times New Roman"/>
          <w:i/>
        </w:rPr>
      </w:pPr>
      <w:r w:rsidRPr="00964266">
        <w:rPr>
          <w:rFonts w:ascii="Times New Roman" w:hAnsi="Times New Roman"/>
          <w:i/>
        </w:rPr>
        <w:t>Komentár k tabuľke:</w:t>
      </w:r>
    </w:p>
    <w:p w:rsidR="004F4B99" w:rsidRPr="00964266" w:rsidP="004F4B99">
      <w:pPr>
        <w:bidi w:val="0"/>
        <w:ind w:left="709" w:hanging="709"/>
        <w:jc w:val="both"/>
        <w:rPr>
          <w:rFonts w:ascii="Times New Roman" w:hAnsi="Times New Roman"/>
          <w:i/>
        </w:rPr>
      </w:pPr>
      <w:r w:rsidRPr="00964266">
        <w:rPr>
          <w:rFonts w:ascii="Times New Roman" w:hAnsi="Times New Roman"/>
          <w:i/>
        </w:rPr>
        <w:t>2015:</w:t>
        <w:tab/>
        <w:t xml:space="preserve">Daňovník vykáže základ dane vo výške 9 000 eur. Keďže tento základ dane je nižší ako pomerná časť limitovaného nájomného [14 400 eur </w:t>
      </w:r>
      <w:r>
        <w:rPr>
          <w:rFonts w:ascii="Times New Roman" w:hAnsi="Times New Roman"/>
          <w:i/>
        </w:rPr>
        <w:t>/ 12 x</w:t>
      </w:r>
      <w:r w:rsidRPr="00964266">
        <w:rPr>
          <w:rFonts w:ascii="Times New Roman" w:hAnsi="Times New Roman"/>
          <w:i/>
        </w:rPr>
        <w:t xml:space="preserve"> 9 (počet mesiacov) = 10 800 eur], tak sa základ dane zvýši o sumu 2 700 eur, ktorá sa vypočíta ako rozdiel medzi skutočne uplatneným nájomným (13 500 eur) a pomernej časti limitovaného nájomného (10 800 eur).</w:t>
      </w:r>
    </w:p>
    <w:p w:rsidR="004F4B99" w:rsidRPr="00964266" w:rsidP="004F4B99">
      <w:pPr>
        <w:tabs>
          <w:tab w:val="left" w:pos="567"/>
        </w:tabs>
        <w:bidi w:val="0"/>
        <w:ind w:left="705" w:hanging="705"/>
        <w:jc w:val="both"/>
        <w:rPr>
          <w:rFonts w:ascii="Times New Roman" w:hAnsi="Times New Roman"/>
          <w:i/>
        </w:rPr>
      </w:pPr>
      <w:r w:rsidRPr="00964266">
        <w:rPr>
          <w:rFonts w:ascii="Times New Roman" w:hAnsi="Times New Roman"/>
          <w:i/>
        </w:rPr>
        <w:t xml:space="preserve">2016: </w:t>
        <w:tab/>
        <w:t>Základ dane je vyšší ako výška limitovaného nájomného a úpravu základu dane nevykoná.</w:t>
      </w:r>
    </w:p>
    <w:p w:rsidR="004F4B99" w:rsidRPr="00964266" w:rsidP="004F4B99">
      <w:pPr>
        <w:tabs>
          <w:tab w:val="left" w:pos="567"/>
        </w:tabs>
        <w:bidi w:val="0"/>
        <w:ind w:left="705" w:hanging="705"/>
        <w:jc w:val="both"/>
        <w:rPr>
          <w:rFonts w:ascii="Times New Roman" w:hAnsi="Times New Roman"/>
          <w:i/>
        </w:rPr>
      </w:pPr>
      <w:r w:rsidRPr="00964266">
        <w:rPr>
          <w:rFonts w:ascii="Times New Roman" w:hAnsi="Times New Roman"/>
          <w:i/>
        </w:rPr>
        <w:t xml:space="preserve">2017: </w:t>
        <w:tab/>
        <w:t>Daňovník postupuje obdobne ako v roku 2015. Základ dane je nižší ako výška limitovaného nájomného (14 400 eur),tak základ dane sa zvýši o sumu 3 600 eur (18 000 – 14 400).</w:t>
      </w:r>
    </w:p>
    <w:p w:rsidR="004F4B99" w:rsidRPr="00964266" w:rsidP="004F4B99">
      <w:pPr>
        <w:tabs>
          <w:tab w:val="left" w:pos="567"/>
        </w:tabs>
        <w:bidi w:val="0"/>
        <w:ind w:left="705" w:hanging="705"/>
        <w:jc w:val="both"/>
        <w:rPr>
          <w:rFonts w:ascii="Times New Roman" w:hAnsi="Times New Roman"/>
          <w:i/>
        </w:rPr>
      </w:pPr>
      <w:r w:rsidRPr="00964266">
        <w:rPr>
          <w:rFonts w:ascii="Times New Roman" w:hAnsi="Times New Roman"/>
          <w:i/>
        </w:rPr>
        <w:t xml:space="preserve">2018: </w:t>
        <w:tab/>
        <w:t>Daňovník postupuje rovnako ako v roku 2016. Základ dane je vyšší ako výška limitovaného nájomného a úpravu základu dane nevykoná.</w:t>
      </w:r>
    </w:p>
    <w:p w:rsidR="004F4B99" w:rsidRPr="00964266" w:rsidP="004F4B99">
      <w:pPr>
        <w:tabs>
          <w:tab w:val="left" w:pos="567"/>
        </w:tabs>
        <w:bidi w:val="0"/>
        <w:ind w:left="705" w:hanging="705"/>
        <w:jc w:val="both"/>
        <w:rPr>
          <w:rFonts w:ascii="Times New Roman" w:hAnsi="Times New Roman"/>
          <w:i/>
        </w:rPr>
      </w:pPr>
      <w:r w:rsidRPr="00964266">
        <w:rPr>
          <w:rFonts w:ascii="Times New Roman" w:hAnsi="Times New Roman"/>
          <w:i/>
        </w:rPr>
        <w:t xml:space="preserve">2019: </w:t>
        <w:tab/>
        <w:t>Vykázaný základ dane je nižší ako výška pomernej časti limitovaného nájomného, základ dane sa preto zvýši o 900 eur (4 500 – 3 600).</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b/>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b/>
          <w:sz w:val="24"/>
          <w:szCs w:val="24"/>
        </w:rPr>
        <w:t>K odseku 36</w:t>
      </w:r>
      <w:r w:rsidRPr="00E37FC6">
        <w:rPr>
          <w:rFonts w:ascii="Times New Roman" w:hAnsi="Times New Roman"/>
          <w:sz w:val="24"/>
          <w:szCs w:val="24"/>
        </w:rPr>
        <w:t xml:space="preserve"> - Ustanovenie nadväzuje na úpravu, ktorou boli v účtovníctve s účinnosťou od 1.1.2014 zavedené pravidlá účtovania pre mikro účtovné jednotky. Základ dane daňovníka, ktorý sa v zdaňovacom období stal mikro účtovnou jednotkou, sa zvýši, resp. zníži o hodnotu zmeny reálnej hodnoty cenných papierov, ktorá sa účtovala ku dňu, ku ktorému sa zostavuje účtovná závierka. Úprava základu dane sa vykoná o hodnotu odúčtovanú na účet nerozdelený zisk minulých rokov alebo na účet neuhradená strata minulých rokov. Podľa § 52zd ods. 9 sa uvedené ustanovenie po prvýkrát použije pri podaní daňového priznania po 31.12.2014. </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b/>
          <w:sz w:val="24"/>
          <w:szCs w:val="24"/>
        </w:rPr>
      </w:pPr>
      <w:r w:rsidRPr="00E37FC6">
        <w:rPr>
          <w:rFonts w:ascii="Times New Roman" w:hAnsi="Times New Roman"/>
          <w:b/>
          <w:sz w:val="24"/>
          <w:szCs w:val="24"/>
        </w:rPr>
        <w:t>K bodom 31 a 47 - § 19 ods. 1 a § 21 ods. 1 písm. e)</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V súlade so súčasným znením § 19 ods. 1 zákona je možné uplatniť výdavky, ktoré limitujú osobitné predpisy (napr. Zákonník práce, zákon o cestovných náhradách) do daňových výdavkov len v takto stanovenom limite. S účinnosťou od 1.1.2015 sa navrhuje rozšírenie možnosti uplatnenia výdavkov nad rámec stanovených limitov v osobitných predpisoch v prípade, ak ide o výdavky zamestnávateľa uhrádzané ako plnenia (nároky) zamestnanca upravené v týchto osobitných predpisoch, ktoré sú na strane zamestnanca zdaniteľným príjmom podľa § 5 ods. 1 a ods. 3 písm. d) zákona za podmienky, že takéto vyššie nároky vyplývajú z kolektívnej zmluvy, z interného predpisu zamestnávateľa, z pracovnej alebo inej zmluvy uzatvorenej medzi zamestnancom a zamestnávateľom upravené zákonom č. 311/2001 Z. z. Zákonník práce. Nemusí ísť len o nároky upravené v Zákonníku práce, ale napr. aj o nároky upravené v zákone o cestovných náhradách avšak ich vyššia výška ako je upravená v danom osobitnom predpise musí byť dohodnutá v kolektívnej zmluve, pracovnej zmluve a pod.</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shd w:val="clear" w:color="auto" w:fill="FFFFFF"/>
        <w:bidi w:val="0"/>
        <w:rPr>
          <w:rFonts w:ascii="Times New Roman" w:hAnsi="Times New Roman"/>
          <w:b/>
        </w:rPr>
      </w:pPr>
      <w:r w:rsidRPr="00E37FC6">
        <w:rPr>
          <w:rFonts w:ascii="Times New Roman" w:hAnsi="Times New Roman"/>
          <w:b/>
        </w:rPr>
        <w:t>K bodu 33 - § 19 ods. 2 písm. e) prvý bod</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Podľa navrhovanej úpravy, bude môcť daňovník s príjmami podľa § 6 ods. 1 a 2 zákona uplatniť výdavky vo výške sadzby základnej náhrady, len ak osobné motorové vozidlo nemá zaradené v obchodnom majetku nielen počas vykonávania činnosti v inom mieste ako je miesto jeho pravidelného vykonávania činnosti, ale ho ani nikdy nemal zaradené v obchodnom majetku.</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shd w:val="clear" w:color="auto" w:fill="FFFFFF"/>
        <w:bidi w:val="0"/>
        <w:rPr>
          <w:rFonts w:ascii="Times New Roman" w:hAnsi="Times New Roman"/>
          <w:b/>
        </w:rPr>
      </w:pPr>
      <w:r w:rsidRPr="00E37FC6">
        <w:rPr>
          <w:rFonts w:ascii="Times New Roman" w:hAnsi="Times New Roman"/>
          <w:b/>
        </w:rPr>
        <w:t>K bodu 34 - § 19 ods. 2 písm. h)</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 xml:space="preserve">Súčasťou základu dane daňovníka, podľa § 19 ods. 2 písm. h) v prvom až piatom bode bude len odpis menovitej hodnoty takej pohľadávky, ktorá bola zahrnutá do zdaniteľných príjmov daňovníka. Touto úpravou sa zabezpečí, že daňovo účinný bude odpis pohľadávky vzniknutej napr. z dôvodu poskytnutia pôžičky len u daňovníka, ktorý je bankou,  pobočkou zahraničnej banky a Exportno-importnou bankou Slovenska a u daňovníka, ktorý poskytuje spotrebiteľské úvery podľa osobitného predpisu. V prípade pohľadávky nadobudnutej postúpením, je odpis pohľadávky daňovo účinný do výšky daňovníkom (postupníkom) uhradenej obstarávacej ceny alebo dlžníkom neuhradenej časti. </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rPr>
          <w:rFonts w:ascii="Times New Roman" w:hAnsi="Times New Roman"/>
          <w:b/>
        </w:rPr>
      </w:pPr>
      <w:r w:rsidRPr="00E37FC6">
        <w:rPr>
          <w:rFonts w:ascii="Times New Roman" w:hAnsi="Times New Roman"/>
          <w:b/>
        </w:rPr>
        <w:t xml:space="preserve">K bodu 35 - § 19 ods. 2 písm. i) </w:t>
      </w:r>
    </w:p>
    <w:p w:rsidR="004F4B99" w:rsidRPr="00E37FC6" w:rsidP="004F4B99">
      <w:pPr>
        <w:shd w:val="clear" w:color="auto" w:fill="FFFFFF"/>
        <w:bidi w:val="0"/>
        <w:jc w:val="both"/>
        <w:rPr>
          <w:rFonts w:ascii="Times New Roman" w:hAnsi="Times New Roman"/>
        </w:rPr>
      </w:pPr>
      <w:r w:rsidRPr="00E37FC6">
        <w:rPr>
          <w:rFonts w:ascii="Times New Roman" w:hAnsi="Times New Roman"/>
        </w:rPr>
        <w:t>Doterajšie ustanovenie § 19 ods. 2 písm. i) zákona sa nahrádza novým znením, podľa ktorého výdavky (náklady) daňovníka ako prevádzkovateľa hazardnej hry na vecné ceny do lotériovej hry tomboly je možné zahrnúť do základu dane len do výšky príjmov z predaja žrebov. Súčasťou základu dane teda nie je strata, ktorá daňovníkovi vznikne z dôvodu, že príjmy z predaja žrebov nepokryjú výdavky (náklady) na obstaranie vecných cien. Ak daňovník v priebehu zdaňovacieho obdobia uskutoční viac lotériových hier typu tomboly, na účely tohto ustanovenia sa každá lotériová hra tombola posudzuje samostatne. Doterajšie ustanovenie riešilo odpis pohľadávok v menovitej hodnote nepresahujúcej 332 eur. Nahradením doterajšieho ustanovenia sa pri odpise pohľadávok v menovitej hodnote nepresahujúcej 332 eur sa bude postupovať podľa § 19 ods. 2 písm. h) a r) zákona.</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shd w:val="clear" w:color="auto" w:fill="FFFFFF"/>
        <w:bidi w:val="0"/>
        <w:rPr>
          <w:rFonts w:ascii="Times New Roman" w:hAnsi="Times New Roman"/>
          <w:b/>
          <w:bCs/>
        </w:rPr>
      </w:pPr>
      <w:r w:rsidRPr="00E37FC6">
        <w:rPr>
          <w:rFonts w:ascii="Times New Roman" w:hAnsi="Times New Roman"/>
          <w:b/>
          <w:bCs/>
        </w:rPr>
        <w:t xml:space="preserve">K bodu 36 - § 19 ods. 2 písm. l) tretí bod </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Podľa navrhovaného znenia, si výdavky na spotrebované PHL formou paušálnych výdavkov do výšky 80 %  z preukázateľného nákupu podľa stavu tachometra na začiatku a na konci zdaňovacieho obdobia, môže uplatniť len zamestnávateľ, ktorý dáva zamestnancovi k dispozícií motorové vozidlo aj na súkromné účely a ktorý zdaňuje takéto poskytnutie motorového vozidla podľa § 5 ods. 3 písm. a). </w:t>
      </w:r>
    </w:p>
    <w:p w:rsidR="004F4B99" w:rsidRPr="00E37FC6" w:rsidP="004F4B99">
      <w:pPr>
        <w:shd w:val="clear" w:color="auto" w:fill="FFFFFF"/>
        <w:bidi w:val="0"/>
        <w:jc w:val="both"/>
        <w:rPr>
          <w:rFonts w:ascii="Times New Roman" w:hAnsi="Times New Roman"/>
        </w:rPr>
      </w:pPr>
      <w:r w:rsidRPr="00E37FC6">
        <w:rPr>
          <w:rFonts w:ascii="Times New Roman" w:hAnsi="Times New Roman"/>
        </w:rPr>
        <w:t>Ostatní daňovníci môžu uplatniť spotrebu PHL len podľa prvého a druhého bodu.</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38 - § 19 ods. 3 písm. a) a b)</w:t>
      </w:r>
    </w:p>
    <w:p w:rsidR="004F4B99" w:rsidRPr="00E37FC6" w:rsidP="004F4B99">
      <w:pPr>
        <w:shd w:val="clear" w:color="auto" w:fill="FFFFFF"/>
        <w:bidi w:val="0"/>
        <w:jc w:val="both"/>
        <w:rPr>
          <w:rFonts w:ascii="Times New Roman" w:hAnsi="Times New Roman"/>
        </w:rPr>
      </w:pPr>
      <w:r w:rsidRPr="00E37FC6">
        <w:rPr>
          <w:rFonts w:ascii="Times New Roman" w:hAnsi="Times New Roman"/>
        </w:rPr>
        <w:t>Navrhovanou úpravou sa u prenajímateľa obmedzuje zahrnovanie odpisov do základu dane v prípade majetku poskytnutého na operatívny prenájom najviac do výšky časovo rozlíšenej sumy príjmov z prenájmu za príslušné zdaňovacie obdobie, pričom daňové odpisy z každého hmotného majetku sa posudzujú samostatne voči príjmom dosiahnutým z prenájmu tohto majetku. Zároveň sa pri vybraných druhoch hmotného majetku ustanovuje obmedzenie pre zahrnovanie daňovej zostatkovej ceny do základu dane pri ich predaji, a to len do výšky príjmov z predaja tohto hmotného majetku zahrnutých do základu dane. Obdobne sa každý hmotný majetok patriaci do ustanovených kódov Klasifikácie produkcie posudzuje samostatne.</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40 a 59 - § 19 ods. 3 písm. k) a § 25 ods. 5 písm. c)</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U daňovníka, ktorý je platiteľom DPH a ktorý uplatňuje nárok na jej odpočítanie koeficientom, sa zavádza povinnosť zahrnutia neodpočítanej DPH, ktorá sa vzťahuje k hmotnému a nehmotnému majetku do ich vstupnej ceny.  Neodpočítaná DPH sa zahrnie do daňových výdavkov postupne vo forme odpisov. </w:t>
      </w:r>
    </w:p>
    <w:p w:rsidR="004F4B99" w:rsidRPr="00E37FC6" w:rsidP="004F4B99">
      <w:pPr>
        <w:shd w:val="clear" w:color="auto" w:fill="FFFFFF"/>
        <w:bidi w:val="0"/>
        <w:jc w:val="both"/>
        <w:rPr>
          <w:rFonts w:ascii="Times New Roman" w:hAnsi="Times New Roman"/>
          <w:b/>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41 - § 19 ods. 3 písm. n)</w:t>
      </w:r>
    </w:p>
    <w:p w:rsidR="004F4B99" w:rsidRPr="00E37FC6" w:rsidP="004F4B99">
      <w:pPr>
        <w:shd w:val="clear" w:color="auto" w:fill="FFFFFF"/>
        <w:bidi w:val="0"/>
        <w:jc w:val="both"/>
        <w:rPr>
          <w:rFonts w:ascii="Times New Roman" w:hAnsi="Times New Roman"/>
        </w:rPr>
      </w:pPr>
      <w:r w:rsidRPr="00E37FC6">
        <w:rPr>
          <w:rFonts w:ascii="Times New Roman" w:hAnsi="Times New Roman"/>
        </w:rPr>
        <w:t>Ustanovenie o zahrnovaní členského príspevku vyplývajúceho z nepovinného členstva v právnickej osobe zriadenej na účel ochrany záujmov platiteľa sa mení tak, že tieto členské príspevky sa zahrnujú do základu dane v úhrne maximálne do výšky 5 % zo základu dane, najviac však do výšky 30 000 eur ročne.</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42 - § 19 ods. 3 písm. p)</w:t>
      </w:r>
    </w:p>
    <w:p w:rsidR="004F4B99" w:rsidRPr="00E37FC6" w:rsidP="004F4B99">
      <w:pPr>
        <w:shd w:val="clear" w:color="auto" w:fill="FFFFFF"/>
        <w:bidi w:val="0"/>
        <w:jc w:val="both"/>
        <w:rPr>
          <w:rFonts w:ascii="Times New Roman" w:hAnsi="Times New Roman"/>
        </w:rPr>
      </w:pPr>
      <w:r w:rsidRPr="00E37FC6">
        <w:rPr>
          <w:rFonts w:ascii="Times New Roman" w:hAnsi="Times New Roman"/>
        </w:rPr>
        <w:t>Novým znením § 19 ods. 3 písm. p) zákona sa zavádza limit na zahrnovanie odplaty (provízie) za vymáhanie pohľadávky do základu dane vo výške 50 % z hodnoty vymoženej pohľadávky. Ustanovenie sa vzťahuje aj na odplaty (provízie) za vymáhanie pohľadávok vzniknutých do 31. 12. 2014 a vymožených od 1. 1. 2015.</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44 - § 20 ods. 2 písm. d) až f)</w:t>
      </w:r>
    </w:p>
    <w:p w:rsidR="004F4B99" w:rsidRPr="00E37FC6" w:rsidP="004F4B99">
      <w:pPr>
        <w:shd w:val="clear" w:color="auto" w:fill="FFFFFF"/>
        <w:bidi w:val="0"/>
        <w:jc w:val="both"/>
        <w:rPr>
          <w:rFonts w:ascii="Times New Roman" w:hAnsi="Times New Roman"/>
        </w:rPr>
      </w:pPr>
      <w:r w:rsidRPr="00E37FC6">
        <w:rPr>
          <w:rFonts w:ascii="Times New Roman" w:hAnsi="Times New Roman"/>
        </w:rPr>
        <w:t>Ide o legislatívno-technickú úpravu vykonanú z dôvodu právnej istoty daňovníka.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45 - § 20 ods. 9 písm. a)</w:t>
      </w:r>
    </w:p>
    <w:p w:rsidR="004F4B99" w:rsidRPr="00E37FC6" w:rsidP="004F4B99">
      <w:pPr>
        <w:shd w:val="clear" w:color="auto" w:fill="FFFFFF"/>
        <w:bidi w:val="0"/>
        <w:jc w:val="both"/>
        <w:rPr>
          <w:rFonts w:ascii="Times New Roman" w:hAnsi="Times New Roman"/>
        </w:rPr>
      </w:pPr>
      <w:r w:rsidRPr="00E37FC6">
        <w:rPr>
          <w:rFonts w:ascii="Times New Roman" w:hAnsi="Times New Roman"/>
        </w:rPr>
        <w:t>Navrhovanou úpravou sa z rezerv, ktorých tvorba účtovaná ako náklad je uznaná za daňový výdavok vypúšťajú rezervy na nevyfakturované dodávky a služby, zostavenie, overenie, zverejnenie účtovnej závierky a výročnej správy a na zostavenie daňového priznania.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46 - § 20 ods. 10</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Za daňový výdavok bude možné uznať tvorbu opravnej položky voči dlžníkom v konkurznom a reštrukturalizačnom konaní k pohľadávke, ktorá sa vzťahuje k istine z nesplatenej pôžičky len u bánk, pobočiek zahraničných bánk a Exportno-importnej banky Slovenska a u daňovníkov, ktorí poskytujú spotrebiteľské úvery podľa osobitného predpisu.  K príslušenstvu, ktoré bolo zahrnuté do základu dane, je možné tvoriť opravnú položku v zmysle tohto ustanovenia. K pohľadávkam nadobudnutým postúpením v obstarávacej cene je možné tvoriť opravnú položku, len ak táto obstarávacia cena bola daňovníkom skutočne uhradená. </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48 - § 21 ods. 1 písm. h)</w:t>
      </w:r>
    </w:p>
    <w:p w:rsidR="004F4B99" w:rsidRPr="00E37FC6" w:rsidP="004F4B99">
      <w:pPr>
        <w:shd w:val="clear" w:color="auto" w:fill="FFFFFF"/>
        <w:bidi w:val="0"/>
        <w:jc w:val="both"/>
        <w:rPr>
          <w:rFonts w:ascii="Times New Roman" w:hAnsi="Times New Roman"/>
        </w:rPr>
      </w:pPr>
      <w:r w:rsidRPr="00E37FC6">
        <w:rPr>
          <w:rFonts w:ascii="Times New Roman" w:hAnsi="Times New Roman"/>
        </w:rPr>
        <w:t>U daňovníka, ktorého výroba tabakových výrobkov a alkoholických nápojov nie je hlavným predmetom činnosti, nie je možné tabakové výrobky a alkoholické nápoje, v hodnote neprevyšujúcej 17 eur za jednotlivý predmet, považovať za reklamný predmet zahrnovaný do daňových výdavkov.</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49 a 51 - § 21 ods. 2 písm. a) a m)</w:t>
      </w:r>
    </w:p>
    <w:p w:rsidR="004F4B99" w:rsidRPr="00E37FC6" w:rsidP="004F4B99">
      <w:pPr>
        <w:shd w:val="clear" w:color="auto" w:fill="FFFFFF"/>
        <w:bidi w:val="0"/>
        <w:jc w:val="both"/>
        <w:rPr>
          <w:rFonts w:ascii="Times New Roman" w:hAnsi="Times New Roman"/>
        </w:rPr>
      </w:pPr>
      <w:r w:rsidRPr="00E37FC6">
        <w:rPr>
          <w:rFonts w:ascii="Times New Roman" w:hAnsi="Times New Roman"/>
        </w:rPr>
        <w:t>Navrhovaným ustanovením sa mení spôsob zahrnovania paušálnej náhrady nákladov spojených s uplatnením pohľadávok, zmluvnej pokuty, poplatkov z omeškania a úrokov z omeškania do základu dane. U daňovníka, na ktorého sa vzťahuje povinnosť ich úhrady, nie sú tieto zmluvné sankcie daňovým výdavkom. Daňovník, ktorý požaduje úhradu týchto zmluvných sankcii, resp. veriteľ, ich zahrnuje do základu dane ako súčasť výsledku hospodárenia.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52 - § 21 ods. 2 písm. n)</w:t>
      </w:r>
    </w:p>
    <w:p w:rsidR="004F4B99" w:rsidRPr="00E37FC6" w:rsidP="004F4B99">
      <w:pPr>
        <w:shd w:val="clear" w:color="auto" w:fill="FFFFFF"/>
        <w:bidi w:val="0"/>
        <w:jc w:val="both"/>
        <w:rPr>
          <w:rFonts w:ascii="Times New Roman" w:hAnsi="Times New Roman"/>
        </w:rPr>
      </w:pPr>
      <w:r w:rsidRPr="00E37FC6">
        <w:rPr>
          <w:rFonts w:ascii="Times New Roman" w:hAnsi="Times New Roman"/>
        </w:rPr>
        <w:t>V ustanovení sa zamedzuje zahrnovať obstarávaciu cenu zásob vo vymedzených prípadoch do základu dane. Obstarávaciu cenu zásob tovaru, ktorý bol klasifikovaný ako nebezpečný podľa zákona o ochrane spotrebiteľa, nemožno zahrnúť do daňových výdavkov. Zásoby tovaru, ktoré majú stanovenú dobu exspirácie, možno zahrnúť do daňových výdavkov pri ich vyradení z dôvodu uplynutia tejto doby až vtedy, ak daňovník preukáže, že pred uplynutím doby exspirácie postupne znižoval ich cenu, čo sa považuje za opatrenie na podporu ich trvania. Postupné znižovanie ceny potravín možno nahradiť ich bezodplatným odovzdaním Potravinovej banke Slovenska. Daňovým výdavkom budú aj výdavky vo výške obstarávacej ceny zásob vyradených liekov ich likvidáciou ak ide o lieky, ktorých výdaj je viazaný na predpis podľa § 51 zákona 362/2011 Z. z. o liekoch a zdravotníckych pomôckach  a lekárne nie sú oprávnené znižovať ich cenu pred blížiacim sa dátumom exspirácie. Pri zahrnovaní obstarávacej ceny zásob tovaru, ktoré nemajú stanovenú dobu exspirácie do daňových výdavkov je potrebné preukázať dosiahnutie príjmu z ich predaja.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53 - § 21a</w:t>
      </w:r>
    </w:p>
    <w:p w:rsidR="004F4B99" w:rsidRPr="00E37FC6" w:rsidP="004F4B99">
      <w:pPr>
        <w:bidi w:val="0"/>
        <w:jc w:val="both"/>
        <w:rPr>
          <w:rFonts w:ascii="Times New Roman" w:hAnsi="Times New Roman"/>
        </w:rPr>
      </w:pPr>
      <w:r w:rsidRPr="00E37FC6">
        <w:rPr>
          <w:rFonts w:ascii="Times New Roman" w:hAnsi="Times New Roman"/>
        </w:rPr>
        <w:t>V tomto ustanovení pri tzv. podkapitalizácii sa zavádza limit pre maximálnu výšku úrokov z úverov a pôžičiek, účtovanú v nákladoch, zahrnovanú do daňových výdavkov, ak sú úvery a pôžičky vyplácané medzi závislými právnickými osobami. Takéto obmedzenie zároveň podporuje závislé osoby, aby namiesto poskytovania úverov a pôžičiek realizovali vklady do základného imania a zvyšovali tak ručenie za prípadné záväzky. Limit pre maximálnu výšku úrokov, ktoré je možné považovať za daňový výdavok, je ustanovený do 25 % ukazovateľa stanoveného ako súčet:</w:t>
      </w:r>
    </w:p>
    <w:p w:rsidR="004F4B99" w:rsidRPr="00E37FC6" w:rsidP="004F4B99">
      <w:pPr>
        <w:numPr>
          <w:numId w:val="36"/>
        </w:numPr>
        <w:bidi w:val="0"/>
        <w:jc w:val="both"/>
        <w:rPr>
          <w:rFonts w:ascii="Times New Roman" w:hAnsi="Times New Roman"/>
        </w:rPr>
      </w:pPr>
      <w:r w:rsidRPr="00E37FC6">
        <w:rPr>
          <w:rFonts w:ascii="Times New Roman" w:hAnsi="Times New Roman"/>
        </w:rPr>
        <w:t xml:space="preserve">výsledku hospodárenia pred zdanením uvedeného na riadku 100 daňového priznania k dani z príjmov právnickej osoby daňovníka za príslušné zdaňovacie obdobie a  </w:t>
      </w:r>
    </w:p>
    <w:p w:rsidR="004F4B99" w:rsidRPr="00E37FC6" w:rsidP="004F4B99">
      <w:pPr>
        <w:numPr>
          <w:numId w:val="36"/>
        </w:numPr>
        <w:bidi w:val="0"/>
        <w:jc w:val="both"/>
        <w:rPr>
          <w:rFonts w:ascii="Times New Roman" w:hAnsi="Times New Roman"/>
        </w:rPr>
      </w:pPr>
      <w:r w:rsidRPr="00E37FC6">
        <w:rPr>
          <w:rFonts w:ascii="Times New Roman" w:hAnsi="Times New Roman"/>
        </w:rPr>
        <w:t>odpisov zahrnutých do tohto výsledku hospodárenia uvedeného na riadku 100 a</w:t>
      </w:r>
    </w:p>
    <w:p w:rsidR="004F4B99" w:rsidRPr="00E37FC6" w:rsidP="004F4B99">
      <w:pPr>
        <w:numPr>
          <w:numId w:val="36"/>
        </w:numPr>
        <w:bidi w:val="0"/>
        <w:jc w:val="both"/>
        <w:rPr>
          <w:rFonts w:ascii="Times New Roman" w:hAnsi="Times New Roman"/>
        </w:rPr>
      </w:pPr>
      <w:r w:rsidRPr="00E37FC6">
        <w:rPr>
          <w:rFonts w:ascii="Times New Roman" w:hAnsi="Times New Roman"/>
        </w:rPr>
        <w:t>nákladových úrokov zahrnutých do tohto výsledku hospodárenia.</w:t>
      </w:r>
    </w:p>
    <w:p w:rsidR="004F4B99" w:rsidRPr="00E37FC6" w:rsidP="004F4B99">
      <w:pPr>
        <w:bidi w:val="0"/>
        <w:jc w:val="both"/>
        <w:rPr>
          <w:rFonts w:ascii="Times New Roman" w:hAnsi="Times New Roman"/>
          <w:highlight w:val="lightGray"/>
        </w:rPr>
      </w:pPr>
      <w:r w:rsidRPr="00E37FC6">
        <w:rPr>
          <w:rFonts w:ascii="Times New Roman" w:hAnsi="Times New Roman"/>
        </w:rPr>
        <w:t>Súčasťou posudzovaných úrokov sú aj výdavky (náklady) súvisiace s prijatými úvermi a pôžičkami (napr. znalecké posudky, poplatky za bankové záruky, provízie za sprostredkovanie pôžičky, poplatky za predčasné splatenie úveru). Do posudzovaného stavu úverov a pôžičiek sa nezahrnujú úvery a pôžičky alebo ich časti, z ktorých úroky sú súčasťou obstarávacej ceny majetku. V odseku 2 sa ustanovuje, že za závislú osobu voči dlžníkovi sa považuje aj veriteľ, ktorý úver dlžníkovi priamo poskytol, pričom podmienkou na jeho poskytnutie  bolo, že veriteľ obdržal najskôr úver od osoby, ktorá je vo vzťahu k dlžníkovi závislou osobou. Podľa odseku 3 sa ustanovenia o podkapitalizácii nevzťahujú na finančné inštitúcie a subjekty kolektívneho investovania.</w:t>
      </w:r>
    </w:p>
    <w:p w:rsidR="004F4B99" w:rsidRPr="00E37FC6" w:rsidP="004F4B99">
      <w:pPr>
        <w:shd w:val="clear" w:color="auto" w:fill="FFFFFF"/>
        <w:bidi w:val="0"/>
        <w:jc w:val="both"/>
        <w:rPr>
          <w:rFonts w:ascii="Times New Roman" w:hAnsi="Times New Roman"/>
          <w:b/>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54 - § 22 ods.  6 písm. f)</w:t>
      </w:r>
    </w:p>
    <w:p w:rsidR="004F4B99" w:rsidRPr="00E37FC6" w:rsidP="004F4B99">
      <w:pPr>
        <w:bidi w:val="0"/>
        <w:jc w:val="both"/>
        <w:rPr>
          <w:rFonts w:ascii="Times New Roman" w:hAnsi="Times New Roman"/>
        </w:rPr>
      </w:pPr>
      <w:r w:rsidRPr="00E37FC6">
        <w:rPr>
          <w:rFonts w:ascii="Times New Roman" w:hAnsi="Times New Roman"/>
        </w:rPr>
        <w:t>Úprava je vykonaná z dôvodu zavedenia rovnakého spôsobu odpisovania hmotného majetku obstaraného formou finančného prenájmu s ostatnými formami nadobudnutia hmotného majetku. Technické zhodnotenie hmotného majetku obstarávaného formou finančného prenájmu sa nepovažuje za iný majetok odpisovaný, ale bude súčasťou vstupnej ceny hmotného majetku, a to v tom zdaňovacom období, v ktorom bolo technické zhodnotenie hmotného majetku dokončené a zaradené do užívania.</w:t>
      </w:r>
    </w:p>
    <w:p w:rsidR="004F4B99" w:rsidRPr="00E37FC6" w:rsidP="004F4B99">
      <w:pPr>
        <w:shd w:val="clear" w:color="auto" w:fill="FFFFFF"/>
        <w:bidi w:val="0"/>
        <w:jc w:val="both"/>
        <w:rPr>
          <w:rFonts w:ascii="Times New Roman" w:hAnsi="Times New Roman"/>
          <w:b/>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55 - § 22 ods. 9</w:t>
      </w:r>
    </w:p>
    <w:p w:rsidR="004F4B99" w:rsidRPr="00E37FC6" w:rsidP="004F4B99">
      <w:pPr>
        <w:shd w:val="clear" w:color="auto" w:fill="FFFFFF"/>
        <w:bidi w:val="0"/>
        <w:jc w:val="both"/>
        <w:rPr>
          <w:rFonts w:ascii="Times New Roman" w:hAnsi="Times New Roman"/>
        </w:rPr>
      </w:pPr>
      <w:r w:rsidRPr="00E37FC6">
        <w:rPr>
          <w:rFonts w:ascii="Times New Roman" w:hAnsi="Times New Roman"/>
        </w:rPr>
        <w:t>Navrhovaným opatrením sa vymedzujú ďalšie prípady, v ktorých je daňovník povinný prerušiť odpisovanie hmotného majetku, a to ak majetok nie je daňovníkom využívaný na dosiahnutie zdaniteľných príjmov okrem majetku rezervného charakteru a ak počas dvoch po sebe idúcich kalendárnych rokov má daňovník v dôsledku zmien zdaňovacích období (z kalendárneho roka na hospodársky rok a naopak) tri zdaňovacie obdobia. K prerušeniu odpisovania dôjde v zdaňovacom období, ktoré začína dňom v poradí druhej zmeny zdaňovacieho obdobia, a to až do toho zdaňovacieho obdobia, v ktorom od poslednej zmeny zdaňovacieho obdobia uplynie 12 po sebe nasledujúcich kalendárnych mesiacov. Povinnosť prerušenia odpisovania hmotného majetku podľa tohto ustanovenia sa nevzťahuje na daňovníka, ktorý uplatňuje úľavu na dani podľa § 30a alebo § 30b zákona.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56 - § 22 ods. 11 a 12</w:t>
      </w:r>
    </w:p>
    <w:p w:rsidR="004F4B99" w:rsidRPr="00E37FC6" w:rsidP="004F4B99">
      <w:pPr>
        <w:shd w:val="clear" w:color="auto" w:fill="FFFFFF"/>
        <w:bidi w:val="0"/>
        <w:jc w:val="both"/>
        <w:rPr>
          <w:rFonts w:ascii="Times New Roman" w:hAnsi="Times New Roman"/>
        </w:rPr>
      </w:pPr>
      <w:r w:rsidRPr="00E37FC6">
        <w:rPr>
          <w:rFonts w:ascii="Times New Roman" w:hAnsi="Times New Roman"/>
        </w:rPr>
        <w:t>Úprava sa navrhuje v nadväznosti na zjednotenie podmienok odpisovania hmotného majetku obstaraného formou finančného prenájmu s ostatnými formami obstarania hmotného majetku.</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rPr>
          <w:rFonts w:ascii="Times New Roman" w:hAnsi="Times New Roman"/>
          <w:b/>
          <w:bCs/>
        </w:rPr>
      </w:pPr>
      <w:r w:rsidRPr="00E37FC6">
        <w:rPr>
          <w:rFonts w:ascii="Times New Roman" w:hAnsi="Times New Roman"/>
          <w:b/>
          <w:bCs/>
        </w:rPr>
        <w:t>K bodu 57 - § 24 ods. 8</w:t>
      </w:r>
    </w:p>
    <w:p w:rsidR="004F4B99" w:rsidRPr="00E37FC6" w:rsidP="004F4B99">
      <w:pPr>
        <w:shd w:val="clear" w:color="auto" w:fill="FFFFFF"/>
        <w:bidi w:val="0"/>
        <w:jc w:val="both"/>
        <w:rPr>
          <w:rFonts w:ascii="Times New Roman" w:hAnsi="Times New Roman"/>
        </w:rPr>
      </w:pPr>
      <w:r w:rsidRPr="00E37FC6">
        <w:rPr>
          <w:rFonts w:ascii="Times New Roman" w:hAnsi="Times New Roman"/>
        </w:rPr>
        <w:t>V nadväznosti na úpravy vykonané v § 19 ods. 2 písm. t) zákona sa dopĺňa aj ustanovenie      § 24 ods. 8 zákona, podľa ktorého ak ide o majetok uvedený v navrhovanej prílohe č. 6 zákona, ktorý má charakter aj využívania na osobnú potrebu a daňovník ho aj na osobnú potrebu využíva, musí upraviť aj odpisy v rovnakej percentuálnej výške ako uplatňuje tieto výdavky. V prípade, ak by išlo o osobné motorové vozidlo so vstupnou cenou rovnou alebo vyššou ako 48 000 eur najskôr musí postupovať podľa § 17 ods. 34 zákona a potom postupuje podľa § 24 ods. 8 zákona v nadväznosti na § 19 ods. 2 písm. t) navrhovaného znenia zákona.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58 - § 25 ods. 3</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Ustanovenie sa mení v nadväznosti na povinnosť úpravy základu dane v špecificky vymedzených prípadoch uplatňovania daňových výdavkov. Zostatkovou cenou sa v prípade uplatňovania daňových odpisov z limitovanej vstupnej ceny osobných automobilov podľa           § 17 ods. 34, uplatňovania daňových odpisov podľa § 24 ods. 8 zákona v nadväznosti na úpravu výdavkov v § 19 ods. 2 písm. t) zákona rozumie vstupná cena hmotného majetku znížená o ročné odpisy vypočítané podľa § 27 zákona (pri rešpektovaní výpočtu ročných odpisov v roku zaradenia hmotného majetku do užívania) bez ohľadu na ich úpravu podľa uvedených ustanovení (bez vylúčenia časti výdavkov z daňových výdavkov z dôvodu úprav v § 17 ods. 34 a § 19 ods. 2 písm. t) zákona). </w:t>
      </w:r>
    </w:p>
    <w:p w:rsidR="004F4B99" w:rsidRPr="00E37FC6" w:rsidP="004F4B99">
      <w:pPr>
        <w:shd w:val="clear" w:color="auto" w:fill="FFFFFF"/>
        <w:bidi w:val="0"/>
        <w:jc w:val="both"/>
        <w:rPr>
          <w:rFonts w:ascii="Times New Roman" w:hAnsi="Times New Roman"/>
          <w:b/>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60 a 8</w:t>
      </w:r>
      <w:r>
        <w:rPr>
          <w:rFonts w:ascii="Times New Roman" w:hAnsi="Times New Roman"/>
          <w:b/>
        </w:rPr>
        <w:t>6</w:t>
      </w:r>
      <w:r w:rsidRPr="00E37FC6">
        <w:rPr>
          <w:rFonts w:ascii="Times New Roman" w:hAnsi="Times New Roman"/>
          <w:b/>
        </w:rPr>
        <w:t xml:space="preserve"> – § 26 ods. 1 a príloha č. 1</w:t>
      </w:r>
    </w:p>
    <w:p w:rsidR="004F4B99" w:rsidRPr="00E37FC6" w:rsidP="004F4B99">
      <w:pPr>
        <w:shd w:val="clear" w:color="auto" w:fill="FFFFFF"/>
        <w:bidi w:val="0"/>
        <w:jc w:val="both"/>
        <w:rPr>
          <w:rFonts w:ascii="Times New Roman" w:hAnsi="Times New Roman"/>
        </w:rPr>
      </w:pPr>
      <w:r w:rsidRPr="00E37FC6">
        <w:rPr>
          <w:rFonts w:ascii="Times New Roman" w:hAnsi="Times New Roman"/>
        </w:rPr>
        <w:t>Úprava vykonaná v nadväznosti na rozdelenie doterajšej odpisovej skupiny 3 s dobou odpisovania 12 rokov na nové odpisové skupiny 3 a 4, keď do novej odpisovej skupiny s dobou odpisovania 8 rokov boli preradené vybrané druhy hmotného majetku technologického charakteru, umožní ich rýchlejšie odpísanie. Zároveň bola doterajšia odpisovaná skupina 4 rozdelená na nové skupiny 5 a 6, keď do odpisovej skupiny 6 boli preradené vybrané administratívne typy budov a stavieb s dlhšou dobou odpisovania ako doteraz. Touto zmenou prichádza k zreálneniu doby odpisovania týchto budov a stavieb s dobou ich používania.</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61 - § 26 ods. 2</w:t>
      </w:r>
    </w:p>
    <w:p w:rsidR="004F4B99" w:rsidRPr="00E37FC6" w:rsidP="004F4B99">
      <w:pPr>
        <w:shd w:val="clear" w:color="auto" w:fill="FFFFFF"/>
        <w:bidi w:val="0"/>
        <w:jc w:val="both"/>
        <w:rPr>
          <w:rFonts w:ascii="Times New Roman" w:hAnsi="Times New Roman"/>
        </w:rPr>
      </w:pPr>
      <w:r w:rsidRPr="00E37FC6">
        <w:rPr>
          <w:rFonts w:ascii="Times New Roman" w:hAnsi="Times New Roman"/>
        </w:rPr>
        <w:t>Zmena ustanovenia nadväzuje na zmenu odpisovania budov a stavieb prostredníctvom dvoch odpisových skupín (odpisová skupina 5 a 6). Ak sa budova používa na niekoľko účelov (napr. na výrobnú aj administratívnu činnosť) pri zaradení do príslušnej odpisovej skupiny je podstatné a rozhodujúce jej hlavné využitie, ktoré sa stanoví porovnaním úžitkovej plochy v m</w:t>
      </w:r>
      <w:r w:rsidRPr="00E37FC6">
        <w:rPr>
          <w:rFonts w:ascii="Times New Roman" w:hAnsi="Times New Roman"/>
          <w:vertAlign w:val="superscript"/>
        </w:rPr>
        <w:t xml:space="preserve">2 </w:t>
      </w:r>
      <w:r w:rsidRPr="00E37FC6">
        <w:rPr>
          <w:rFonts w:ascii="Times New Roman" w:hAnsi="Times New Roman"/>
        </w:rPr>
        <w:t>využívanej na účely podľa odpisovej skupiny 6 k úžitkovej ploche v m</w:t>
      </w:r>
      <w:r w:rsidRPr="00E37FC6">
        <w:rPr>
          <w:rFonts w:ascii="Times New Roman" w:hAnsi="Times New Roman"/>
          <w:vertAlign w:val="superscript"/>
        </w:rPr>
        <w:t>2</w:t>
      </w:r>
      <w:r w:rsidRPr="00E37FC6">
        <w:rPr>
          <w:rFonts w:ascii="Times New Roman" w:hAnsi="Times New Roman"/>
        </w:rPr>
        <w:t xml:space="preserve"> na ostatné účely (účely podľa odpisovej skupiny 5).</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62, 68 a 69 - § 26 ods. 3, § 28</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Od 1. 1. 2015 sa všetok hmotný majetok odpisuje rovnomernou metódou odpisovania (§ 27) s výnimkou hmotného majetku zaradeného do odpisovej skupiny 2 a 3, kde daňovník môže aj naďalej využiť zrýchlenú metódu odpisovania, ak sa tak rozhodne. </w:t>
      </w:r>
    </w:p>
    <w:p w:rsidR="004F4B99" w:rsidP="004F4B99">
      <w:pPr>
        <w:shd w:val="clear" w:color="auto" w:fill="FFFFFF"/>
        <w:bidi w:val="0"/>
        <w:jc w:val="both"/>
        <w:rPr>
          <w:rFonts w:ascii="Times New Roman" w:hAnsi="Times New Roman"/>
        </w:rPr>
      </w:pPr>
    </w:p>
    <w:p w:rsidR="004F4B99" w:rsidRPr="00051E4E" w:rsidP="004F4B99">
      <w:pPr>
        <w:shd w:val="clear" w:color="auto" w:fill="FFFFFF"/>
        <w:bidi w:val="0"/>
        <w:jc w:val="both"/>
        <w:rPr>
          <w:rFonts w:ascii="Times New Roman" w:hAnsi="Times New Roman"/>
          <w:i/>
        </w:rPr>
      </w:pPr>
      <w:r w:rsidRPr="00051E4E">
        <w:rPr>
          <w:rFonts w:ascii="Times New Roman" w:hAnsi="Times New Roman"/>
          <w:i/>
        </w:rPr>
        <w:t>Príklad 8:</w:t>
      </w:r>
    </w:p>
    <w:p w:rsidR="004F4B99" w:rsidRPr="00051E4E" w:rsidP="004F4B99">
      <w:pPr>
        <w:bidi w:val="0"/>
        <w:jc w:val="both"/>
        <w:rPr>
          <w:rFonts w:ascii="Times New Roman" w:hAnsi="Times New Roman"/>
          <w:i/>
        </w:rPr>
      </w:pPr>
      <w:r w:rsidRPr="00051E4E">
        <w:rPr>
          <w:rFonts w:ascii="Times New Roman" w:hAnsi="Times New Roman"/>
          <w:i/>
        </w:rPr>
        <w:t>Daňovník v januári 2014 obstaral stroj na výrobu nápojov v hodnote 16 000 eur. Uvedený majetok sa rozhodol odpisovať zrýchlenou metódou odpisovania 4 roky. Podľa navrhovanej úpravy sa všetok hmotný majetok od 1.1.2015 odpisuje rovnomernou metódou odpisovania s výnimkou hmotného majetku zaradeného do odpisovej skupiny 2 a 3. Keďže stroj na výrobu nápojov je zaradený do 1. odpisovej skupiny, je potrebné zmeniť metódu odpisovania zo zrýchlenej na rovnomernú.</w:t>
      </w:r>
    </w:p>
    <w:p w:rsidR="004F4B99" w:rsidRPr="00051E4E" w:rsidP="004F4B99">
      <w:pPr>
        <w:bidi w:val="0"/>
        <w:jc w:val="both"/>
        <w:rPr>
          <w:rFonts w:ascii="Times New Roman" w:hAnsi="Times New Roman"/>
          <w:i/>
        </w:rPr>
      </w:pPr>
    </w:p>
    <w:p w:rsidR="004F4B99" w:rsidRPr="00051E4E" w:rsidP="004F4B99">
      <w:pPr>
        <w:bidi w:val="0"/>
        <w:jc w:val="both"/>
        <w:rPr>
          <w:rFonts w:ascii="Times New Roman" w:hAnsi="Times New Roman"/>
          <w:i/>
        </w:rPr>
      </w:pPr>
      <w:r w:rsidRPr="00051E4E">
        <w:rPr>
          <w:rFonts w:ascii="Times New Roman" w:hAnsi="Times New Roman"/>
          <w:i/>
        </w:rPr>
        <w:t>Tabuľka (v eur):</w:t>
        <w:tab/>
      </w:r>
    </w:p>
    <w:tbl>
      <w:tblPr>
        <w:tblStyle w:val="TableNormal"/>
        <w:tblW w:w="5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1159"/>
        <w:gridCol w:w="1300"/>
        <w:gridCol w:w="2502"/>
      </w:tblGrid>
      <w:tr>
        <w:tblPrEx>
          <w:tblW w:w="5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949"/>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rok</w:t>
            </w:r>
          </w:p>
        </w:tc>
        <w:tc>
          <w:tcPr>
            <w:tcW w:w="1159" w:type="dxa"/>
            <w:tcBorders>
              <w:top w:val="single" w:sz="4" w:space="0" w:color="auto"/>
              <w:left w:val="single" w:sz="4" w:space="0" w:color="auto"/>
              <w:bottom w:val="single" w:sz="4" w:space="0" w:color="auto"/>
              <w:right w:val="single" w:sz="4" w:space="0" w:color="auto"/>
            </w:tcBorders>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vstupná cena</w:t>
            </w:r>
          </w:p>
        </w:tc>
        <w:tc>
          <w:tcPr>
            <w:tcW w:w="1300" w:type="dxa"/>
            <w:tcBorders>
              <w:top w:val="single" w:sz="4" w:space="0" w:color="auto"/>
              <w:left w:val="single" w:sz="4" w:space="0" w:color="auto"/>
              <w:bottom w:val="single" w:sz="4" w:space="0" w:color="auto"/>
              <w:right w:val="single" w:sz="4" w:space="0" w:color="auto"/>
            </w:tcBorders>
            <w:textDirection w:val="lrTb"/>
            <w:vAlign w:val="center"/>
          </w:tcPr>
          <w:p w:rsidR="004F4B99" w:rsidRPr="00051E4E" w:rsidP="004F4B99">
            <w:pPr>
              <w:bidi w:val="0"/>
              <w:jc w:val="center"/>
              <w:rPr>
                <w:rFonts w:ascii="Times New Roman" w:hAnsi="Times New Roman"/>
                <w:i/>
                <w:szCs w:val="22"/>
              </w:rPr>
            </w:pPr>
            <w:r w:rsidRPr="00051E4E">
              <w:rPr>
                <w:rFonts w:ascii="Times New Roman" w:hAnsi="Times New Roman"/>
                <w:i/>
                <w:szCs w:val="22"/>
              </w:rPr>
              <w:t>zrýchlené odpisovanie</w:t>
            </w:r>
          </w:p>
        </w:tc>
        <w:tc>
          <w:tcPr>
            <w:tcW w:w="2502"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prechod zo zrýchleného na rovnomerné odpisovanie</w:t>
            </w:r>
          </w:p>
        </w:tc>
      </w:tr>
      <w:tr>
        <w:tblPrEx>
          <w:tblW w:w="567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2014</w:t>
            </w:r>
          </w:p>
        </w:tc>
        <w:tc>
          <w:tcPr>
            <w:tcW w:w="115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16 000</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4 000</w:t>
            </w:r>
          </w:p>
        </w:tc>
        <w:tc>
          <w:tcPr>
            <w:tcW w:w="2502"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w:t>
            </w:r>
          </w:p>
        </w:tc>
      </w:tr>
      <w:tr>
        <w:tblPrEx>
          <w:tblW w:w="567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2015</w:t>
            </w:r>
          </w:p>
        </w:tc>
        <w:tc>
          <w:tcPr>
            <w:tcW w:w="115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16 000</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6 000</w:t>
            </w:r>
          </w:p>
        </w:tc>
        <w:tc>
          <w:tcPr>
            <w:tcW w:w="2502"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4 000</w:t>
            </w:r>
          </w:p>
        </w:tc>
      </w:tr>
      <w:tr>
        <w:tblPrEx>
          <w:tblW w:w="567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2016</w:t>
            </w:r>
          </w:p>
        </w:tc>
        <w:tc>
          <w:tcPr>
            <w:tcW w:w="115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16 000</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4 000</w:t>
            </w:r>
          </w:p>
        </w:tc>
        <w:tc>
          <w:tcPr>
            <w:tcW w:w="2502"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4 000</w:t>
            </w:r>
          </w:p>
        </w:tc>
      </w:tr>
      <w:tr>
        <w:tblPrEx>
          <w:tblW w:w="5670" w:type="dxa"/>
          <w:tblInd w:w="70" w:type="dxa"/>
          <w:tblCellMar>
            <w:left w:w="70" w:type="dxa"/>
            <w:right w:w="70" w:type="dxa"/>
          </w:tblCellMar>
          <w:tblLook w:val="04A0"/>
        </w:tblPrEx>
        <w:trPr>
          <w:trHeight w:hRule="exact" w:val="284"/>
        </w:trPr>
        <w:tc>
          <w:tcPr>
            <w:tcW w:w="70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2017</w:t>
            </w:r>
          </w:p>
        </w:tc>
        <w:tc>
          <w:tcPr>
            <w:tcW w:w="1159" w:type="dxa"/>
            <w:tcBorders>
              <w:top w:val="single" w:sz="4" w:space="0" w:color="auto"/>
              <w:left w:val="single" w:sz="4" w:space="0" w:color="auto"/>
              <w:bottom w:val="single" w:sz="4" w:space="0" w:color="auto"/>
              <w:right w:val="single" w:sz="4" w:space="0" w:color="auto"/>
            </w:tcBorders>
            <w:noWrap/>
            <w:textDirection w:val="lrTb"/>
            <w:vAlign w:val="center"/>
            <w:hideMark/>
          </w:tcPr>
          <w:p w:rsidR="004F4B99" w:rsidRPr="00051E4E" w:rsidP="004F4B99">
            <w:pPr>
              <w:bidi w:val="0"/>
              <w:jc w:val="center"/>
              <w:rPr>
                <w:rFonts w:ascii="Times New Roman" w:hAnsi="Times New Roman"/>
                <w:i/>
                <w:szCs w:val="22"/>
              </w:rPr>
            </w:pPr>
            <w:r w:rsidRPr="00051E4E">
              <w:rPr>
                <w:rFonts w:ascii="Times New Roman" w:hAnsi="Times New Roman"/>
                <w:i/>
                <w:szCs w:val="22"/>
              </w:rPr>
              <w:t>16 000</w:t>
            </w:r>
          </w:p>
        </w:tc>
        <w:tc>
          <w:tcPr>
            <w:tcW w:w="1300"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2 000</w:t>
            </w:r>
          </w:p>
        </w:tc>
        <w:tc>
          <w:tcPr>
            <w:tcW w:w="2502" w:type="dxa"/>
            <w:tcBorders>
              <w:top w:val="single" w:sz="4" w:space="0" w:color="auto"/>
              <w:left w:val="single" w:sz="4" w:space="0" w:color="auto"/>
              <w:bottom w:val="single" w:sz="4" w:space="0" w:color="auto"/>
              <w:right w:val="single" w:sz="4" w:space="0" w:color="auto"/>
            </w:tcBorders>
            <w:textDirection w:val="lrTb"/>
            <w:vAlign w:val="top"/>
          </w:tcPr>
          <w:p w:rsidR="004F4B99" w:rsidRPr="00051E4E" w:rsidP="004F4B99">
            <w:pPr>
              <w:bidi w:val="0"/>
              <w:jc w:val="center"/>
              <w:rPr>
                <w:rFonts w:ascii="Times New Roman" w:hAnsi="Times New Roman"/>
                <w:i/>
                <w:szCs w:val="22"/>
              </w:rPr>
            </w:pPr>
            <w:r w:rsidRPr="00051E4E">
              <w:rPr>
                <w:rFonts w:ascii="Times New Roman" w:hAnsi="Times New Roman"/>
                <w:i/>
                <w:szCs w:val="22"/>
              </w:rPr>
              <w:t>4 000</w:t>
            </w:r>
          </w:p>
        </w:tc>
      </w:tr>
    </w:tbl>
    <w:p w:rsidR="004F4B99" w:rsidRPr="00051E4E" w:rsidP="004F4B99">
      <w:pPr>
        <w:bidi w:val="0"/>
        <w:jc w:val="both"/>
        <w:rPr>
          <w:rFonts w:ascii="Times New Roman" w:hAnsi="Times New Roman"/>
          <w:i/>
        </w:rPr>
      </w:pPr>
    </w:p>
    <w:p w:rsidR="004F4B99" w:rsidRPr="00051E4E" w:rsidP="004F4B99">
      <w:pPr>
        <w:bidi w:val="0"/>
        <w:jc w:val="both"/>
        <w:rPr>
          <w:rFonts w:ascii="Times New Roman" w:hAnsi="Times New Roman"/>
          <w:i/>
        </w:rPr>
      </w:pPr>
      <w:r w:rsidRPr="00051E4E">
        <w:rPr>
          <w:rFonts w:ascii="Times New Roman" w:hAnsi="Times New Roman"/>
          <w:i/>
        </w:rPr>
        <w:t>Komentár:</w:t>
      </w:r>
    </w:p>
    <w:p w:rsidR="004F4B99" w:rsidRPr="00051E4E" w:rsidP="004F4B99">
      <w:pPr>
        <w:bidi w:val="0"/>
        <w:jc w:val="both"/>
        <w:rPr>
          <w:rFonts w:ascii="Times New Roman" w:hAnsi="Times New Roman"/>
          <w:i/>
        </w:rPr>
      </w:pPr>
    </w:p>
    <w:p w:rsidR="004F4B99" w:rsidRPr="00051E4E" w:rsidP="004F4B99">
      <w:pPr>
        <w:bidi w:val="0"/>
        <w:ind w:left="709" w:hanging="709"/>
        <w:jc w:val="both"/>
        <w:rPr>
          <w:rFonts w:ascii="Times New Roman" w:hAnsi="Times New Roman"/>
          <w:i/>
        </w:rPr>
      </w:pPr>
      <w:r w:rsidRPr="00051E4E">
        <w:rPr>
          <w:rFonts w:ascii="Times New Roman" w:hAnsi="Times New Roman"/>
          <w:i/>
        </w:rPr>
        <w:t xml:space="preserve">2014: </w:t>
        <w:tab/>
        <w:t xml:space="preserve">Daňovník uplatní zrýchlený odpis, ktorý vypočíta ako podiel vstupnej ceny (16 000 eur) a priradeným koeficientom pre zrýchlené odpisovanie v 1. skupine (4). </w:t>
      </w:r>
    </w:p>
    <w:p w:rsidR="004F4B99" w:rsidRPr="00051E4E" w:rsidP="004F4B99">
      <w:pPr>
        <w:tabs>
          <w:tab w:val="left" w:pos="1134"/>
        </w:tabs>
        <w:bidi w:val="0"/>
        <w:ind w:left="709" w:hanging="709"/>
        <w:jc w:val="both"/>
        <w:rPr>
          <w:rFonts w:ascii="Times New Roman" w:hAnsi="Times New Roman"/>
          <w:i/>
        </w:rPr>
      </w:pPr>
      <w:r w:rsidRPr="00051E4E">
        <w:rPr>
          <w:rFonts w:ascii="Times New Roman" w:hAnsi="Times New Roman"/>
          <w:i/>
        </w:rPr>
        <w:t xml:space="preserve">2015: </w:t>
        <w:tab/>
        <w:t>Zmena metódy odpisovania zo zrýchlenej na rovnomernú. Rovnomerný odpis vypočíta ako podiel vstupnej ceny (16 000 eur) a počtom rokov (4).</w:t>
      </w:r>
    </w:p>
    <w:p w:rsidR="004F4B99" w:rsidRPr="00051E4E" w:rsidP="004F4B99">
      <w:pPr>
        <w:bidi w:val="0"/>
        <w:jc w:val="both"/>
        <w:rPr>
          <w:rFonts w:ascii="Times New Roman" w:hAnsi="Times New Roman"/>
          <w:i/>
        </w:rPr>
      </w:pPr>
      <w:r w:rsidRPr="00051E4E">
        <w:rPr>
          <w:rFonts w:ascii="Times New Roman" w:hAnsi="Times New Roman"/>
          <w:i/>
        </w:rPr>
        <w:t>V roku 2016 a 2017 daňovník uplatní rovnomerný odpis. Rozdiel medzi uplatnenými zrýchlenými a rovnomernými odpismi je 2 000 eur v druhom roku odpisovania (rok 2015), a tak došlo k presunu neuplatnených odpisov do posledného roku 2017.</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bodom 63, 64 a 65 - § 26 ods. 8, 9 a 10</w:t>
      </w:r>
    </w:p>
    <w:p w:rsidR="004F4B99" w:rsidRPr="00E37FC6" w:rsidP="004F4B99">
      <w:pPr>
        <w:shd w:val="clear" w:color="auto" w:fill="FFFFFF"/>
        <w:bidi w:val="0"/>
        <w:jc w:val="both"/>
        <w:rPr>
          <w:rFonts w:ascii="Times New Roman" w:hAnsi="Times New Roman"/>
        </w:rPr>
      </w:pPr>
      <w:r w:rsidRPr="00E37FC6">
        <w:rPr>
          <w:rFonts w:ascii="Times New Roman" w:hAnsi="Times New Roman"/>
        </w:rPr>
        <w:t>Úprava je vykonaná z dôvodu zjednotenia spôsobu odpisovania hmotného majetku obstaraného formou finančného prenájmu s ostatnými formami obstarania hmotného majetku. Hmotný majetok obstaraný formou finančného prenájmu sa odpisuje počas doby odpisovania ustanovenej zákonom a nie počas doby trvania prenájmu, a to metódou rovnomerného alebo zrýchleného spôsobu odpisovania. Tento majetok sa na daňové účely odpisuje do výšky vstupnej ceny ustanovenej podľa zákona, ktorou je obstarávacia cena vymedzená zákonom o účtovníctve, pričom sa zohľadní limit vstupnej ceny podľa § 17 ods. 34 u osobných automobiloch so vstupnou cenou 48 000 eur a viac.</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  </w:t>
      </w: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66 - § 26 ods. 11</w:t>
      </w:r>
    </w:p>
    <w:p w:rsidR="004F4B99" w:rsidRPr="00E37FC6" w:rsidP="004F4B99">
      <w:pPr>
        <w:bidi w:val="0"/>
        <w:jc w:val="both"/>
        <w:rPr>
          <w:rFonts w:ascii="Times New Roman" w:hAnsi="Times New Roman"/>
        </w:rPr>
      </w:pPr>
      <w:r w:rsidRPr="00E37FC6">
        <w:rPr>
          <w:rFonts w:ascii="Times New Roman" w:hAnsi="Times New Roman"/>
        </w:rPr>
        <w:t>Vykonanou zmenou sa jednoznačne stanovuje, že uplatnenie prerušenia odpisovania, resp. zrušenie prerušenia odpisovania nie je možné uplatniť prostredníctvom dodatočného daňového priznania za zdaňovacie obdobie, za ktoré bola vykonaná daňová kontrola. To znamená, že ak daňovník v riadnom daňovom priznaní uplatnil prerušenie odpisovania, tak v dodatočnom daňovom priznaní po vykonaní daňovej kontroly už nemôže zrušiť prerušenie odpisovania a daňové odpisy dodatočne uplatniť. Prerušiť odpisovanie resp. zmeniť prerušenie odpisovania nie je možné ani pri výkone daňovej kontroly podľa zákona                     č. 563/2009 Z.z. o správe daní (daňový poriadok) v znení neskorších predpisov.</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67 - § 27 ods. 1</w:t>
      </w:r>
    </w:p>
    <w:p w:rsidR="004F4B99" w:rsidRPr="00E37FC6" w:rsidP="004F4B99">
      <w:pPr>
        <w:bidi w:val="0"/>
        <w:jc w:val="both"/>
        <w:rPr>
          <w:rFonts w:ascii="Times New Roman" w:hAnsi="Times New Roman"/>
        </w:rPr>
      </w:pPr>
      <w:r w:rsidRPr="00E37FC6">
        <w:rPr>
          <w:rFonts w:ascii="Times New Roman" w:hAnsi="Times New Roman"/>
        </w:rPr>
        <w:t>Úprava vykonaná v nadväznosti na nové rozdelenie hmotného majetku do odpisových skupín podľa prílohy č. 1 a s tým spojená zmena doby odpisovania v § 26 ods. 1.</w:t>
      </w:r>
    </w:p>
    <w:p w:rsidR="004F4B99" w:rsidRPr="00E37FC6" w:rsidP="004F4B99">
      <w:pPr>
        <w:shd w:val="clear" w:color="auto" w:fill="FFFFFF"/>
        <w:bidi w:val="0"/>
        <w:jc w:val="both"/>
        <w:rPr>
          <w:rFonts w:ascii="Times New Roman" w:hAnsi="Times New Roman"/>
          <w:b/>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70 - § 30 ods. 1</w:t>
      </w:r>
    </w:p>
    <w:p w:rsidR="004F4B99" w:rsidRPr="00E37FC6" w:rsidP="004F4B99">
      <w:pPr>
        <w:bidi w:val="0"/>
        <w:jc w:val="both"/>
        <w:rPr>
          <w:rFonts w:ascii="Times New Roman" w:hAnsi="Times New Roman"/>
        </w:rPr>
      </w:pPr>
      <w:r w:rsidRPr="00E37FC6">
        <w:rPr>
          <w:rFonts w:ascii="Times New Roman" w:hAnsi="Times New Roman"/>
        </w:rPr>
        <w:t>Ide o legislatívno-technickú úpravu.</w:t>
      </w:r>
    </w:p>
    <w:p w:rsidR="004F4B99" w:rsidRPr="00E37FC6" w:rsidP="004F4B99">
      <w:pPr>
        <w:shd w:val="clear" w:color="auto" w:fill="FFFFFF"/>
        <w:bidi w:val="0"/>
        <w:jc w:val="both"/>
        <w:rPr>
          <w:rFonts w:ascii="Times New Roman" w:hAnsi="Times New Roman"/>
          <w:b/>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bodu 71 - § 30c</w:t>
      </w:r>
    </w:p>
    <w:p w:rsidR="004F4B99" w:rsidRPr="00E37FC6" w:rsidP="004F4B99">
      <w:pPr>
        <w:bidi w:val="0"/>
        <w:jc w:val="both"/>
        <w:rPr>
          <w:rFonts w:ascii="Times New Roman" w:hAnsi="Times New Roman"/>
        </w:rPr>
      </w:pPr>
      <w:r w:rsidRPr="00E37FC6">
        <w:rPr>
          <w:rFonts w:ascii="Times New Roman" w:hAnsi="Times New Roman"/>
        </w:rPr>
        <w:t>Pre daňovníkov, ktorí vykonávajú výskum a vývoj sa okrem existujúcej úľavy na dani podľa § 30b zákona zavádza aj nový typ daňového zvýhodnenia, ktoré spočíva v odpočte výdavkov (nákladov) na výskum a vývoj od základu dane, tzv. super odpočet. Tento odpočet môže využiť daňovník, ktorý realizuje projekt výskumu a vývoja, v súvislosti s ktorým mu vznikajú výdavky (náklady), ktoré sú súčasťou výsledku hospodárenia a ktoré sú spôsobilé na opätovné odpočítanie od základu dane zníženého o odpočet daňovej straty vo výške 25 %. Odpočet výdavkov (nákladov) možno zvýšiť o ďalších 25 % mzdových a ostatných pracovnoprávnych nárokov a poistného a príspevkov, ktoré sa vzťahujú k zamestnancom podieľajúcim sa na projekte výskumu a vývoja. Zvýšenie odpočtu možno využiť v zdaňovacom období, v ktorom daňovník so zamestnancom uzatvoril trvalý pracovný pomer a pred uzatvorením trvalého pracovného pomeru bol pracovník absolventom strednej alebo vysokej školy. Okrem týchto je možné využiť ďalší 25 % odpočet výdavkov (nákladov) zahrnovaných do odpočtu, ktoré prevyšujú úhrn výdavkov (nákladov) vynaložených v bezprostredne prechádzajúcom zdaňovacom období na výskum a vývoj zahrnovaných do odpočtu. Podmienkou využitia super odpočtu je, že výdavky (náklady) na výskum a vývoj sú zároveň daňovými výdavkami podľa § 2 písm. i) zákona.</w:t>
      </w:r>
    </w:p>
    <w:p w:rsidR="004F4B99" w:rsidRPr="00E37FC6" w:rsidP="004F4B99">
      <w:pPr>
        <w:bidi w:val="0"/>
        <w:jc w:val="both"/>
        <w:rPr>
          <w:rFonts w:ascii="Times New Roman" w:hAnsi="Times New Roman"/>
        </w:rPr>
      </w:pPr>
      <w:r w:rsidRPr="00E37FC6">
        <w:rPr>
          <w:rFonts w:ascii="Times New Roman" w:hAnsi="Times New Roman"/>
        </w:rPr>
        <w:t>V odseku 3 sú definované výdavky (náklady) na výskum a vývoj, na ktoré nie je možné uplatniť odpočet podľa odseku 1. Do odpočtu môžu byť zahrnuté výdavky (náklady), na ktoré nebola vôbec poskytnutá podpora z verejných financií a v prípade výdavkov (nákladov) na nakupované služby, licencie a nehmotné výsledky výskumu a vývoja len výdavky (náklady) na služby a nehmotné výsledky výskumu a vývoja obstarané od definovaných výskumných pracovísk. Na nakupované nehmotné výsledky výskumu a vývoja  je možné využiť odpočet podľa odseku 1 len v prípade, ak boli nakúpené od daňovníkov, ktorým bolo vydané osvedčenie o spôsobilosti  na základe hodnotenia spôsobilosti na vykonávanie výskumu a vývoja.</w:t>
      </w:r>
    </w:p>
    <w:p w:rsidR="004F4B99" w:rsidRPr="00E37FC6" w:rsidP="004F4B99">
      <w:pPr>
        <w:bidi w:val="0"/>
        <w:jc w:val="both"/>
        <w:rPr>
          <w:rFonts w:ascii="Times New Roman" w:hAnsi="Times New Roman"/>
        </w:rPr>
      </w:pPr>
      <w:r w:rsidRPr="00E37FC6">
        <w:rPr>
          <w:rFonts w:ascii="Times New Roman" w:hAnsi="Times New Roman"/>
        </w:rPr>
        <w:t xml:space="preserve">Podľa odseku 4 nie je možné uplatňovať súbeh úľavy na dani podľa § 30b zákona a odpočtu výdavkov (nákladov) podľa tohto ustanovenia. Taktiež daňovník, ktorý je držiteľom osvedčenia o spôsobilosti  na základe hodnotenia spôsobilosti na vykonávanie výskumu a vývoja, nemôže využiť odpočet podľa odseku 1 na výdavky (náklady), ktoré mu vznikli pri projekte výskumu a vývoja za účelom predaja nehmotných výsledkov výskumu a vývoja. </w:t>
      </w:r>
    </w:p>
    <w:p w:rsidR="004F4B99" w:rsidRPr="00E37FC6" w:rsidP="004F4B99">
      <w:pPr>
        <w:bidi w:val="0"/>
        <w:jc w:val="both"/>
        <w:rPr>
          <w:rFonts w:ascii="Times New Roman" w:hAnsi="Times New Roman"/>
        </w:rPr>
      </w:pPr>
      <w:r w:rsidRPr="00E37FC6">
        <w:rPr>
          <w:rFonts w:ascii="Times New Roman" w:hAnsi="Times New Roman"/>
        </w:rPr>
        <w:t xml:space="preserve">Keďže odpočet výdavkov (nákladov) je možné využiť na výdavky (náklady), ktoré súvisia s realizáciou projektu výskumu a vývoja, v odseku 5 sa stanovujú náležitosti tohto písomného dokumentu, ktorý je daňovník povinný predložiť správcovi dane pri daňovej kontrole. </w:t>
      </w:r>
    </w:p>
    <w:p w:rsidR="004F4B99" w:rsidRPr="00E37FC6" w:rsidP="004F4B99">
      <w:pPr>
        <w:bidi w:val="0"/>
        <w:jc w:val="both"/>
        <w:rPr>
          <w:rFonts w:ascii="Times New Roman" w:hAnsi="Times New Roman"/>
        </w:rPr>
      </w:pPr>
      <w:r w:rsidRPr="00E37FC6">
        <w:rPr>
          <w:rFonts w:ascii="Times New Roman" w:hAnsi="Times New Roman"/>
        </w:rPr>
        <w:t xml:space="preserve">Podľa odseku 6 sa umožňuje daňovníkovi, ktorý si nemohol uplatniť odpočet výdavkov (nákladov) na výskum a vývoj z dôvodu, že vykázal daňovú stratu, odpočítať tieto výdavky (náklady) alebo ich zostávajúcu časť v najbližšom nasledujúcom zdaňovacom období, v ktorom daňovník vykáže základ dane, najviac však v štyroch zdaňovacích obdobiach bezprostredne nasledujúcich po zdaňovacom období, v ktorom nárok na odpočet podľa odseku 1 vznikol. </w:t>
      </w:r>
    </w:p>
    <w:p w:rsidR="004F4B99" w:rsidRPr="00E37FC6" w:rsidP="004F4B99">
      <w:pPr>
        <w:bidi w:val="0"/>
        <w:jc w:val="both"/>
        <w:rPr>
          <w:rFonts w:ascii="Times New Roman" w:hAnsi="Times New Roman"/>
        </w:rPr>
      </w:pPr>
      <w:r w:rsidRPr="00E37FC6">
        <w:rPr>
          <w:rFonts w:ascii="Times New Roman" w:hAnsi="Times New Roman"/>
        </w:rPr>
        <w:t xml:space="preserve">Ak podľa odseku 7 daňovník, ktorý je držiteľom osvedčenia o spôsobilosti  na základe hodnotenia spôsobilosti na vykonávanie výskumu a vývoja predá nehmotné výsledky výskumu a vývoja, pričom pri realizácii projektu výskumu a vývoja, ktorého sú výsledkom, uplatňoval odpočet podľa odseku 1, stráca nárok na odpočet v príslušnom zdaňovacom období a zároveň je povinný podať dodatočné daňové priznanie za každé zdaňovacie obdobie, v ktorom odpočet podľa odseku 1 uplatňoval.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72 - § 32 ods. 7</w:t>
      </w:r>
    </w:p>
    <w:p w:rsidR="004F4B99" w:rsidRPr="00E37FC6" w:rsidP="004F4B99">
      <w:pPr>
        <w:bidi w:val="0"/>
        <w:jc w:val="both"/>
        <w:rPr>
          <w:rFonts w:ascii="Times New Roman" w:hAnsi="Times New Roman"/>
        </w:rPr>
      </w:pPr>
      <w:r w:rsidRPr="00E37FC6">
        <w:rPr>
          <w:rFonts w:ascii="Times New Roman" w:hAnsi="Times New Roman"/>
        </w:rPr>
        <w:t>Ide o legislatívno-technickú úpravu v súvislosti s úpravou tlačív daňových priznaní.</w:t>
      </w:r>
    </w:p>
    <w:p w:rsidR="004F4B99" w:rsidRPr="00E37FC6" w:rsidP="004F4B99">
      <w:pPr>
        <w:bidi w:val="0"/>
        <w:jc w:val="both"/>
        <w:rPr>
          <w:rFonts w:ascii="Times New Roman" w:hAnsi="Times New Roman"/>
        </w:rPr>
      </w:pPr>
    </w:p>
    <w:p w:rsidR="004F4B99" w:rsidRPr="00E37FC6" w:rsidP="004F4B99">
      <w:pPr>
        <w:shd w:val="clear" w:color="auto" w:fill="FFFFFF"/>
        <w:bidi w:val="0"/>
        <w:rPr>
          <w:rFonts w:ascii="Times New Roman" w:hAnsi="Times New Roman"/>
          <w:b/>
        </w:rPr>
      </w:pPr>
      <w:r w:rsidRPr="00E37FC6">
        <w:rPr>
          <w:rFonts w:ascii="Times New Roman" w:hAnsi="Times New Roman"/>
          <w:b/>
        </w:rPr>
        <w:t>K bodom 73, 74 a 8</w:t>
      </w:r>
      <w:r>
        <w:rPr>
          <w:rFonts w:ascii="Times New Roman" w:hAnsi="Times New Roman"/>
          <w:b/>
        </w:rPr>
        <w:t>5</w:t>
      </w:r>
      <w:r w:rsidRPr="00E37FC6">
        <w:rPr>
          <w:rFonts w:ascii="Times New Roman" w:hAnsi="Times New Roman"/>
          <w:b/>
        </w:rPr>
        <w:t xml:space="preserve"> - § 34 ods. 5 a 10, § 52zd ods. 8</w:t>
      </w:r>
    </w:p>
    <w:p w:rsidR="004F4B99" w:rsidRPr="00E37FC6" w:rsidP="004F4B99">
      <w:pPr>
        <w:bidi w:val="0"/>
        <w:jc w:val="both"/>
        <w:rPr>
          <w:rFonts w:ascii="Times New Roman" w:hAnsi="Times New Roman"/>
        </w:rPr>
      </w:pPr>
      <w:r w:rsidRPr="00E37FC6">
        <w:rPr>
          <w:rFonts w:ascii="Times New Roman" w:hAnsi="Times New Roman"/>
        </w:rPr>
        <w:t>Cieľom navrhovanej úpravy je, aby daňovník platil preddavky na daň len z príjmov podľa § 5 a 6 zákona, ktoré majú charakter pravidelne vykonávanej činnosti. V nadväznosti na túto úpravu sa mení definícia poslednej známej daňovej povinnosti. Uvedené zmeny sa budú prvýkrát aplikovať pri výpočte preddavkov na preddavkové obdobie roka 2015, t.j. preddavkové obdobie, ktoré začína prvý deň po uplynutí lehoty na podanie daňového priznania za rok 2014 v roku 2015.</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rPr>
          <w:rFonts w:ascii="Times New Roman" w:hAnsi="Times New Roman"/>
          <w:b/>
        </w:rPr>
      </w:pPr>
      <w:r w:rsidRPr="00E37FC6">
        <w:rPr>
          <w:rFonts w:ascii="Times New Roman" w:hAnsi="Times New Roman"/>
          <w:b/>
        </w:rPr>
        <w:t>K bodu 75- § 35 ods. 3 písm. a)</w:t>
      </w:r>
    </w:p>
    <w:p w:rsidR="004F4B99" w:rsidRPr="00E37FC6" w:rsidP="004F4B99">
      <w:pPr>
        <w:shd w:val="clear" w:color="auto" w:fill="FFFFFF"/>
        <w:bidi w:val="0"/>
        <w:jc w:val="both"/>
        <w:rPr>
          <w:rFonts w:ascii="Times New Roman" w:hAnsi="Times New Roman"/>
        </w:rPr>
      </w:pPr>
      <w:r w:rsidRPr="00E37FC6">
        <w:rPr>
          <w:rFonts w:ascii="Times New Roman" w:hAnsi="Times New Roman"/>
        </w:rPr>
        <w:t xml:space="preserve">Zamestnávateľ, ktorý poskytuje zamestnancovi nepeňažné plnenie spôsobom podľa § 5 ods. 9 ZDP, musí zrazený preddavok na daň spolu s povinným poistným a príspevkami za zamestnanca aj zaplatiť. Uvedené platí, aj ak nepeňažné plnenie nepredstavuje väčšiu časť zdaniteľnej mzdy. </w:t>
      </w:r>
    </w:p>
    <w:p w:rsidR="004F4B99" w:rsidRPr="00E37FC6" w:rsidP="004F4B99">
      <w:pPr>
        <w:shd w:val="clear" w:color="auto" w:fill="FFFFFF"/>
        <w:bidi w:val="0"/>
        <w:jc w:val="both"/>
        <w:rPr>
          <w:rFonts w:ascii="Times New Roman" w:hAnsi="Times New Roman"/>
        </w:rPr>
      </w:pP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K bodu 78 - § 39 ods. 9</w:t>
      </w:r>
    </w:p>
    <w:p w:rsidR="004F4B99"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275B7C">
        <w:rPr>
          <w:rFonts w:ascii="Times New Roman" w:hAnsi="Times New Roman"/>
          <w:sz w:val="24"/>
          <w:szCs w:val="24"/>
        </w:rPr>
        <w:t>Legislatívno - technická úprava vykonaná v súvislosti s úpravami ustanovenia § 49 ods. 1 zákona s účinnosťou od 1. 1. 2014 za účelom znižovania administratívnej záťaže daňovníkov. Zamestnávateľ, ktorý je platiteľom dane, je povinný podať prehľad o zrazených preddavkoch na daň z príjmov zo závislej činnosti, ktoré zamestnancom vyplatil, o zamestnaneckej prémii a o daňovom bonuse za uplynulý kalendárny mesiac a tiež hlásenie o vyúčtovaní dane a o úhrne príjmov zo závislej činnosti poskytnutých jednotlivým zamestnancom bez ohľadu na to, či ide o peňažné plnenie alebo nepeňažné plnenie za uplynulé zdaňovacie obdobie, o zrazených preddavkoch na daň, o zamestnaneckej prémii a o daňovom bonuse ktorémukoľvek správcovi dane.</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bodu 79 - § 42 ods. 2</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 xml:space="preserve">Legislatívno-technické spresnenie pri platení štvrťročných preddavkov na daň z príjmov právnických osôb, ktoré majú zdaňovacie obdobie hospodársky rok. </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 xml:space="preserve">K bodu 80 - § 43 ods. 2 </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 xml:space="preserve">Od 1. 1. 2015 je príjem plynúci daňovníkovi s obmedzenou daňovou povinnosťou zo služieb podľa § 16 ods. 1 písm. c) zdanený daňou vyberanou zrážkou. </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b/>
          <w:sz w:val="24"/>
          <w:szCs w:val="24"/>
        </w:rPr>
      </w:pPr>
      <w:r w:rsidRPr="00E37FC6">
        <w:rPr>
          <w:rFonts w:ascii="Times New Roman" w:hAnsi="Times New Roman"/>
          <w:b/>
          <w:sz w:val="24"/>
          <w:szCs w:val="24"/>
        </w:rPr>
        <w:t>K bodu 83 - § 47 ods. 1</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sz w:val="24"/>
          <w:szCs w:val="24"/>
        </w:rPr>
      </w:pPr>
      <w:r w:rsidRPr="00E37FC6">
        <w:rPr>
          <w:rFonts w:ascii="Times New Roman" w:hAnsi="Times New Roman"/>
          <w:sz w:val="24"/>
          <w:szCs w:val="24"/>
        </w:rPr>
        <w:t>Ide o legislatívno-technickú úpravu.</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shd w:val="clear" w:color="auto" w:fill="FFFFFF"/>
        <w:bidi w:val="0"/>
        <w:rPr>
          <w:rFonts w:ascii="Times New Roman" w:hAnsi="Times New Roman"/>
          <w:b/>
        </w:rPr>
      </w:pPr>
      <w:r>
        <w:rPr>
          <w:rFonts w:ascii="Times New Roman" w:hAnsi="Times New Roman"/>
          <w:b/>
        </w:rPr>
        <w:t>K bodu 85</w:t>
      </w:r>
      <w:r w:rsidRPr="00E37FC6">
        <w:rPr>
          <w:rFonts w:ascii="Times New Roman" w:hAnsi="Times New Roman"/>
          <w:b/>
        </w:rPr>
        <w:t xml:space="preserve"> - § 52zd</w:t>
      </w:r>
    </w:p>
    <w:p w:rsidR="004F4B99" w:rsidRPr="00E37FC6" w:rsidP="004F4B99">
      <w:pPr>
        <w:shd w:val="clear" w:color="auto" w:fill="FFFFFF"/>
        <w:bidi w:val="0"/>
        <w:jc w:val="both"/>
        <w:rPr>
          <w:rFonts w:ascii="Times New Roman" w:hAnsi="Times New Roman"/>
        </w:rPr>
      </w:pPr>
      <w:r w:rsidRPr="00E37FC6">
        <w:rPr>
          <w:rFonts w:ascii="Times New Roman" w:hAnsi="Times New Roman"/>
          <w:b/>
        </w:rPr>
        <w:t xml:space="preserve">K odseku 1 </w:t>
      </w:r>
      <w:r w:rsidRPr="00E37FC6">
        <w:rPr>
          <w:rFonts w:ascii="Times New Roman" w:hAnsi="Times New Roman"/>
        </w:rPr>
        <w:t>– nové pravidlá uplatňovania daňových odpisov pri hmotnom majetku obstaranom formou finančného prenájmu sa od 1. 1. 2015 použijú aj pri hmotnom majetku obstaranom touto formou na základe zmlúv uzatvorených od 1. 1. 2004.</w:t>
      </w:r>
    </w:p>
    <w:p w:rsidR="004F4B99" w:rsidRPr="00E37FC6" w:rsidP="004F4B99">
      <w:pPr>
        <w:shd w:val="clear" w:color="auto" w:fill="FFFFFF"/>
        <w:bidi w:val="0"/>
        <w:rPr>
          <w:rFonts w:ascii="Times New Roman" w:hAnsi="Times New Roman"/>
        </w:rPr>
      </w:pPr>
      <w:r w:rsidRPr="00E37FC6">
        <w:rPr>
          <w:rFonts w:ascii="Times New Roman" w:hAnsi="Times New Roman"/>
          <w:b/>
        </w:rPr>
        <w:t xml:space="preserve">K odseku 2 </w:t>
      </w:r>
      <w:r w:rsidRPr="00E37FC6">
        <w:rPr>
          <w:rFonts w:ascii="Times New Roman" w:hAnsi="Times New Roman"/>
        </w:rPr>
        <w:t>– ustanovenia týkajúce sa uplatňovania daňových výdavkov platné od 1. 1. 2015 sa prvýkrát použijú za zdaňovacie obdobie, ktoré začína najskôr 1. 1. 2015.</w:t>
      </w:r>
    </w:p>
    <w:p w:rsidR="004F4B99" w:rsidRPr="00E37FC6" w:rsidP="004F4B99">
      <w:pPr>
        <w:shd w:val="clear" w:color="auto" w:fill="FFFFFF"/>
        <w:bidi w:val="0"/>
        <w:jc w:val="both"/>
        <w:rPr>
          <w:rFonts w:ascii="Times New Roman" w:hAnsi="Times New Roman"/>
          <w:b/>
        </w:rPr>
      </w:pPr>
      <w:r w:rsidRPr="00E37FC6">
        <w:rPr>
          <w:rFonts w:ascii="Times New Roman" w:hAnsi="Times New Roman"/>
          <w:b/>
        </w:rPr>
        <w:t xml:space="preserve">K odseku 3 – </w:t>
      </w:r>
      <w:r w:rsidRPr="00E37FC6">
        <w:rPr>
          <w:rFonts w:ascii="Times New Roman" w:hAnsi="Times New Roman"/>
        </w:rPr>
        <w:t>na nepeňažné prímy, ktoré sú súčasťou základu dane za zdaňovacie obdobie roka 2014 sa použijú ustanovenia platné do 31.12.2014.</w:t>
      </w:r>
    </w:p>
    <w:p w:rsidR="004F4B99" w:rsidRPr="00E37FC6" w:rsidP="004F4B99">
      <w:pPr>
        <w:shd w:val="clear" w:color="auto" w:fill="FFFFFF"/>
        <w:bidi w:val="0"/>
        <w:jc w:val="both"/>
        <w:rPr>
          <w:rFonts w:ascii="Times New Roman" w:hAnsi="Times New Roman"/>
        </w:rPr>
      </w:pPr>
      <w:r w:rsidRPr="00E37FC6">
        <w:rPr>
          <w:rFonts w:ascii="Times New Roman" w:hAnsi="Times New Roman"/>
          <w:b/>
        </w:rPr>
        <w:t>K odseku 4</w:t>
      </w:r>
      <w:r w:rsidRPr="00E37FC6">
        <w:rPr>
          <w:rFonts w:ascii="Times New Roman" w:hAnsi="Times New Roman"/>
        </w:rPr>
        <w:t xml:space="preserve"> – ustanovenie o úprave základu dane o spätnom prenájme hmotného majetku sa po prvýkrát použije na zmluvy o predaji majetku, pri ktorých sa výnos (príjem) z predaja majetku zaúčtoval na účet výnosov budúcich období po 31. 12. 2014.  </w:t>
      </w:r>
    </w:p>
    <w:p w:rsidR="004F4B99" w:rsidRPr="00E37FC6" w:rsidP="004F4B99">
      <w:pPr>
        <w:shd w:val="clear" w:color="auto" w:fill="FFFFFF"/>
        <w:bidi w:val="0"/>
        <w:jc w:val="both"/>
        <w:rPr>
          <w:rFonts w:ascii="Times New Roman" w:hAnsi="Times New Roman"/>
        </w:rPr>
      </w:pPr>
      <w:r w:rsidRPr="00E37FC6">
        <w:rPr>
          <w:rFonts w:ascii="Times New Roman" w:hAnsi="Times New Roman"/>
          <w:b/>
        </w:rPr>
        <w:t>K odseku 5</w:t>
      </w:r>
      <w:r w:rsidRPr="00E37FC6">
        <w:rPr>
          <w:rFonts w:ascii="Times New Roman" w:hAnsi="Times New Roman"/>
        </w:rPr>
        <w:t xml:space="preserve"> – pravidlá nízkej kapitalizácie sa po prvýkrát uplatnia u daňovníka, ktorému  zdaňovacie obdobie začína najskôr 1. 1. 2015. Dátum uzatvorenia zmluvy o úvere a pôžičke vrátane dodatkov nemá vplyv na uplatňovanie tohto ustanovenia. </w:t>
      </w:r>
    </w:p>
    <w:p w:rsidR="004F4B99" w:rsidRPr="00E37FC6" w:rsidP="004F4B99">
      <w:pPr>
        <w:shd w:val="clear" w:color="auto" w:fill="FFFFFF"/>
        <w:bidi w:val="0"/>
        <w:jc w:val="both"/>
        <w:rPr>
          <w:rFonts w:ascii="Times New Roman" w:hAnsi="Times New Roman"/>
        </w:rPr>
      </w:pPr>
      <w:r w:rsidRPr="00E37FC6">
        <w:rPr>
          <w:rFonts w:ascii="Times New Roman" w:hAnsi="Times New Roman"/>
          <w:b/>
        </w:rPr>
        <w:t xml:space="preserve">K odseku 6 – </w:t>
      </w:r>
      <w:r w:rsidRPr="00E37FC6">
        <w:rPr>
          <w:rFonts w:ascii="Times New Roman" w:hAnsi="Times New Roman"/>
        </w:rPr>
        <w:t>zmenu metódy odpisovania, zmenu odpisovej skupiny, zmenu doby odpisovania, ročnej odpisovej sadzby alebo koeficientu hmotného majetku zaradeného do odpisovej skupiny 1, 4, 5 a 6 je daňovník povinný vykonať v zdaňovacom období, ktoré začína po 31. 12. 2014 a to aj u už odpisovaného hmotného majetku.</w:t>
      </w:r>
    </w:p>
    <w:p w:rsidR="004F4B99" w:rsidRPr="00E37FC6" w:rsidP="004F4B99">
      <w:pPr>
        <w:shd w:val="clear" w:color="auto" w:fill="FFFFFF"/>
        <w:bidi w:val="0"/>
        <w:jc w:val="both"/>
        <w:rPr>
          <w:rFonts w:ascii="Times New Roman" w:hAnsi="Times New Roman"/>
        </w:rPr>
      </w:pPr>
      <w:r w:rsidRPr="00E37FC6">
        <w:rPr>
          <w:rFonts w:ascii="Times New Roman" w:hAnsi="Times New Roman"/>
          <w:b/>
        </w:rPr>
        <w:t>K odseku 7</w:t>
      </w:r>
      <w:r w:rsidRPr="00E37FC6">
        <w:rPr>
          <w:rFonts w:ascii="Times New Roman" w:hAnsi="Times New Roman"/>
        </w:rPr>
        <w:t xml:space="preserve"> - v súčasnosti sa suma daňového bonusu zvyšuje rovnakým koeficientom ako suma životného minima (opatrenie MPSVaR SR) vždy k 1. júlu kalendárneho roka a zostáva v platnosti do 30. júna nasledujúceho roka. Navrhovaná úprava zvyšuje sumu daňového bonusu vždy k 1. januáru príslušného zdaňovacieho obdobia rovnakým koeficientom ako sa zvýšila suma životného minima k 1. júlu predchádzajúceho zdaňovacieho obdobia. Z dôvodu právnej istoty sa zavádza jednotná suma daňového bonusu počas celého príslušného zdaňovacieho obdobia.</w:t>
      </w:r>
    </w:p>
    <w:p w:rsidR="004F4B99" w:rsidRPr="00E37FC6" w:rsidP="004F4B99">
      <w:pPr>
        <w:bidi w:val="0"/>
        <w:jc w:val="both"/>
        <w:rPr>
          <w:rFonts w:ascii="Times New Roman" w:hAnsi="Times New Roman"/>
        </w:rPr>
      </w:pPr>
      <w:r w:rsidRPr="00E37FC6">
        <w:rPr>
          <w:rFonts w:ascii="Times New Roman" w:hAnsi="Times New Roman"/>
          <w:b/>
        </w:rPr>
        <w:t>K odseku 8</w:t>
      </w:r>
      <w:r w:rsidRPr="00E37FC6">
        <w:rPr>
          <w:rFonts w:ascii="Times New Roman" w:hAnsi="Times New Roman"/>
        </w:rPr>
        <w:t xml:space="preserve"> - Zmeny v platení preddavkov sa budú prvýkrát aplikovať pri ich výpočte na preddavkové obdobie roka 2015, t.j. preddavkové obdobie, ktoré začína prvý deň po uplynutí lehoty na podanie daňového priznania za rok 2014 v roku 2015.</w:t>
      </w:r>
    </w:p>
    <w:p w:rsidR="004F4B99" w:rsidRPr="00E37FC6" w:rsidP="004F4B99">
      <w:pPr>
        <w:shd w:val="clear" w:color="auto" w:fill="FFFFFF"/>
        <w:bidi w:val="0"/>
        <w:jc w:val="both"/>
        <w:rPr>
          <w:rFonts w:ascii="Times New Roman" w:hAnsi="Times New Roman"/>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Čl. II</w:t>
      </w:r>
    </w:p>
    <w:p w:rsidR="004F4B99" w:rsidRPr="00E37FC6" w:rsidP="004F4B99">
      <w:pPr>
        <w:bidi w:val="0"/>
        <w:jc w:val="both"/>
        <w:rPr>
          <w:rFonts w:ascii="Times New Roman" w:hAnsi="Times New Roman"/>
        </w:rPr>
      </w:pPr>
      <w:r w:rsidRPr="00E37FC6">
        <w:rPr>
          <w:rFonts w:ascii="Times New Roman" w:hAnsi="Times New Roman"/>
        </w:rPr>
        <w:t xml:space="preserve">V súvislosti s rozšírením činností, ktoré vykonávajú podľa zákona o účtovníctve jednotné kontaktné miesta sa upravuje aj živnostenský zákon.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Čl. III.</w:t>
      </w:r>
    </w:p>
    <w:p w:rsidR="004F4B99" w:rsidRPr="00E37FC6" w:rsidP="004F4B99">
      <w:pPr>
        <w:bidi w:val="0"/>
        <w:jc w:val="both"/>
        <w:rPr>
          <w:rFonts w:ascii="Times New Roman" w:hAnsi="Times New Roman"/>
          <w:b/>
        </w:rPr>
      </w:pPr>
      <w:r w:rsidRPr="00E37FC6">
        <w:rPr>
          <w:rFonts w:ascii="Times New Roman" w:hAnsi="Times New Roman"/>
          <w:b/>
        </w:rPr>
        <w:t>K bodom 1, 2, 6 a 8  -§ 2 ods. 5 až 15 a § 17a ods. 2 písm. b),   § 19 ods. 1 písm. a) druhý bod) a § 22 ods. 10 písm. b)</w:t>
      </w:r>
    </w:p>
    <w:p w:rsidR="004F4B99" w:rsidRPr="00E37FC6" w:rsidP="004F4B99">
      <w:pPr>
        <w:bidi w:val="0"/>
        <w:jc w:val="both"/>
        <w:rPr>
          <w:rFonts w:ascii="Times New Roman" w:hAnsi="Times New Roman"/>
        </w:rPr>
      </w:pPr>
      <w:r w:rsidRPr="00E37FC6">
        <w:rPr>
          <w:rFonts w:ascii="Times New Roman" w:hAnsi="Times New Roman"/>
        </w:rPr>
        <w:t xml:space="preserve">Predmetným návrhom sa transponuje článok 3 ods. 1 až 4 a ods. 10 až 12 Smernice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(ďalej len „smernica“). Ustanovenie upravuje na účely zostavenia individuálnej účtovnej závierky triedenie účtovných jednotiek podľa veľkostných skupín, a to na základe splnenia vymedzených veľkostných podmienok. K zmene triedenia do veľkostných skupín dochádza na základe presiahnutia alebo nepresiahnutia veľkostných podmienok za dve bezprostredne po sebe idúce účtovné obdobia. Novovzniknutá účtovná jednotka, napríklad účtovná jednotka, ktorá vznikla v roku 2015 sa sama zatriedi na základe vlastného rozhodnutia. Účtovná jednotka, ktorá spĺňa podmienky pre mikro účtovnú jednotku sa môže vždy rozhodnúť, že bude postupovať ako malá účtovná jednotka. Napríklad  ak sa účtovná jednotka v čase vzniku rozhodla, že bude malá účtovná jednotka, aj keď niekoľko rokov spĺňa podmienky pre mikro účtovnú jednotku, stále postupuje ako malá účtovná jednotka. </w:t>
      </w:r>
    </w:p>
    <w:p w:rsidR="004F4B99" w:rsidRPr="00E37FC6" w:rsidP="004F4B99">
      <w:pPr>
        <w:bidi w:val="0"/>
        <w:jc w:val="both"/>
        <w:rPr>
          <w:rFonts w:ascii="Times New Roman" w:hAnsi="Times New Roman"/>
        </w:rPr>
      </w:pPr>
      <w:r w:rsidRPr="00E37FC6">
        <w:rPr>
          <w:rFonts w:ascii="Times New Roman" w:hAnsi="Times New Roman"/>
        </w:rPr>
        <w:t>V § 2 ods. 14 sa transponuje článok 2 ods. 1 smernice a definujú sa subjekty verejného záujmu na účely účtovníctva. V predmetnom návrhu v nadväznosti na článok 2 ods. 1 písm. d) sa navrhujú subjekty verejného záujmu, ktoré členský štát zaradí medzi podniky, ktoré sú dôležité z verejného hľadiska, z dôvodu povahy ich podnikania, ich veľkosti alebo počtu zamestnancov. V nadväznosti na prijatie zákona sa  upravia príslušné nižšie právne predpisy upravujúce účtovanie a vykazovanie subjektov verejného záujmu. Úplná transpozícia smernice v nadväznosti na povinnosti subjektu verejného záujmu sa predpokladá v priebehu roku 2015.</w:t>
      </w:r>
    </w:p>
    <w:p w:rsidR="004F4B99" w:rsidRPr="00E37FC6" w:rsidP="004F4B99">
      <w:pPr>
        <w:bidi w:val="0"/>
        <w:jc w:val="both"/>
        <w:rPr>
          <w:rFonts w:ascii="Times New Roman" w:hAnsi="Times New Roman"/>
        </w:rPr>
      </w:pPr>
      <w:r w:rsidRPr="00E37FC6">
        <w:rPr>
          <w:rFonts w:ascii="Times New Roman" w:hAnsi="Times New Roman"/>
        </w:rPr>
        <w:t>V § 2 ods. 15 sa transponuje článok  2 ods. 5 a článok 3 ods. 12 smernice a definuje sa čistý obrat na účely účtovníctva. Pri vymedzení čistého obratu bola prevzatá obsahová podstata čistého obratu uvedená v smernici. Stanovenie čistého obratu sa odvíja od skutočného predmetu podnikania účtovnej jednotky a čistý obrat predstavujú výnosy, ktoré účtovná jednotka dosiahla z činnosti, ktoré sú predmetom jej podnikania. Do čistého obratu nepatria výnosy, ktoré nie sú opakujúce sa výnosy spojené s podnikaním účtovnej jednotky, napríklad výnosy z predaja prebytočného majetku.</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3 - § 4 ods. 2</w:t>
      </w:r>
    </w:p>
    <w:p w:rsidR="004F4B99" w:rsidRPr="00E37FC6" w:rsidP="004F4B99">
      <w:pPr>
        <w:bidi w:val="0"/>
        <w:jc w:val="both"/>
        <w:rPr>
          <w:rFonts w:ascii="Times New Roman" w:hAnsi="Times New Roman"/>
        </w:rPr>
      </w:pPr>
      <w:r w:rsidRPr="00E37FC6">
        <w:rPr>
          <w:rFonts w:ascii="Times New Roman" w:hAnsi="Times New Roman"/>
        </w:rPr>
        <w:t>Predmetným ustanovením sa spresňuje ustanovenie § 4 ods. 2 ohľadom obsahovej štruktúry účtovnej závierky, ktorá sa ustanovuje opatreniami Ministerstva financií Slovenskej republiky (ďalej len „ministerstvo“) pre jednotlivé typy účtovných jednotiek, ktoré ministerstvo vyhlasuje oznámením o jeho vydaní v Zbierke zákonov Slovenskej republiky.</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4 - § 17 ods. 2</w:t>
      </w:r>
    </w:p>
    <w:p w:rsidR="004F4B99" w:rsidRPr="00E37FC6" w:rsidP="004F4B99">
      <w:pPr>
        <w:bidi w:val="0"/>
        <w:jc w:val="both"/>
        <w:rPr>
          <w:rFonts w:ascii="Times New Roman" w:hAnsi="Times New Roman"/>
        </w:rPr>
      </w:pPr>
      <w:r w:rsidRPr="00E37FC6">
        <w:rPr>
          <w:rFonts w:ascii="Times New Roman" w:hAnsi="Times New Roman"/>
        </w:rPr>
        <w:t>Ustanovenia § 17 ods. 2 predstavujú úpravu vymedzenia všeobecných náležitostí účtovnej závierky. Ide o údaje, ktoré sa ustanovujú na úvodnej strane účtovnej závierky podľa vydaných opatrení ministerstva pre jednotlivé typy účtovných jednotiek. Medzi tieto informácie patrí aký typ účtovnej závierky účtovná jednotka predkladá, SK NACE. Uvedené spresnenie nadväzuje na elektronické aj písomné predkladanie účtovných závierok a ukladanie do registra účtovných závierok.</w:t>
      </w:r>
    </w:p>
    <w:p w:rsidR="004F4B99" w:rsidRPr="00E37FC6" w:rsidP="004F4B99">
      <w:pPr>
        <w:bidi w:val="0"/>
        <w:jc w:val="both"/>
        <w:rPr>
          <w:rFonts w:ascii="Times New Roman" w:hAnsi="Times New Roman"/>
        </w:rPr>
      </w:pPr>
    </w:p>
    <w:p w:rsidR="004F4B99" w:rsidRPr="00E37FC6" w:rsidP="004F4B99">
      <w:pPr>
        <w:bidi w:val="0"/>
        <w:rPr>
          <w:rFonts w:ascii="Times New Roman" w:hAnsi="Times New Roman"/>
          <w:b/>
        </w:rPr>
      </w:pPr>
      <w:r w:rsidRPr="00E37FC6">
        <w:rPr>
          <w:rFonts w:ascii="Times New Roman" w:hAnsi="Times New Roman"/>
          <w:b/>
        </w:rPr>
        <w:t>K bodu 5 - § 17a ods. 1</w:t>
      </w:r>
    </w:p>
    <w:p w:rsidR="004F4B99" w:rsidRPr="00E37FC6" w:rsidP="004F4B99">
      <w:pPr>
        <w:bidi w:val="0"/>
        <w:jc w:val="both"/>
        <w:rPr>
          <w:rFonts w:ascii="Times New Roman" w:hAnsi="Times New Roman"/>
        </w:rPr>
      </w:pPr>
      <w:r w:rsidRPr="00E37FC6">
        <w:rPr>
          <w:rFonts w:ascii="Times New Roman" w:hAnsi="Times New Roman"/>
        </w:rPr>
        <w:t xml:space="preserve">Na základe žiadosti EXIM banky a na základe rozhodnutia MF SR, ktoré je 100% akcionárom, sa vypúšťa EXIM banka z § 17a ods. 1. Vzhľadom na osobitú činnosť EXIM banky, pri ktorej vykazovanie podľa IFRS/EÚ  prierezovo nezohľadňuje vykazovanie niektorých špecifík, vydá MF SR osobitné opatrenie na účtovanie a vykazovanie pre EXIM banku. Uvedené opatrenie bude naďalej vychádzať z IFRS/EÚ a zohľadní osobitosti vykazovania tejto účtovnej jednotky. </w:t>
      </w:r>
    </w:p>
    <w:p w:rsidR="004F4B99" w:rsidRPr="00E37FC6" w:rsidP="004F4B99">
      <w:pPr>
        <w:bidi w:val="0"/>
        <w:rPr>
          <w:rFonts w:ascii="Times New Roman" w:hAnsi="Times New Roman"/>
        </w:rPr>
      </w:pPr>
    </w:p>
    <w:p w:rsidR="004F4B99" w:rsidRPr="00E37FC6" w:rsidP="004F4B99">
      <w:pPr>
        <w:bidi w:val="0"/>
        <w:rPr>
          <w:rFonts w:ascii="Times New Roman" w:hAnsi="Times New Roman"/>
          <w:b/>
        </w:rPr>
      </w:pPr>
      <w:r w:rsidRPr="00E37FC6">
        <w:rPr>
          <w:rFonts w:ascii="Times New Roman" w:hAnsi="Times New Roman"/>
          <w:b/>
        </w:rPr>
        <w:t>K bodu 7 - § 19a ods. 4 písm. b)</w:t>
      </w:r>
    </w:p>
    <w:p w:rsidR="004F4B99" w:rsidRPr="00E37FC6" w:rsidP="004F4B99">
      <w:pPr>
        <w:bidi w:val="0"/>
        <w:rPr>
          <w:rFonts w:ascii="Times New Roman" w:hAnsi="Times New Roman"/>
        </w:rPr>
      </w:pPr>
      <w:r w:rsidRPr="00E37FC6">
        <w:rPr>
          <w:rFonts w:ascii="Times New Roman" w:hAnsi="Times New Roman"/>
        </w:rPr>
        <w:t>V § 19a ods. 4 písm. b) sa vypúšťa text zavedenia legislatívnej skratky. Na základe legislatívne technických úprav sa legislatívna skratka ustanovuje v bode 2 (§ 2ods. 13).</w:t>
      </w:r>
    </w:p>
    <w:p w:rsidR="004F4B99" w:rsidRPr="00E37FC6" w:rsidP="004F4B99">
      <w:pPr>
        <w:bidi w:val="0"/>
        <w:jc w:val="both"/>
        <w:rPr>
          <w:rFonts w:ascii="Times New Roman" w:hAnsi="Times New Roman"/>
        </w:rPr>
      </w:pPr>
      <w:r w:rsidRPr="00E37FC6">
        <w:rPr>
          <w:rFonts w:ascii="Times New Roman" w:hAnsi="Times New Roman"/>
        </w:rPr>
        <w:t>K bodom 9 a 11 (§ 23 ods. 1 a § 23 ods. 4 a 7, § 23b, § 23c)</w:t>
      </w:r>
    </w:p>
    <w:p w:rsidR="004F4B99" w:rsidRPr="00E37FC6" w:rsidP="004F4B99">
      <w:pPr>
        <w:bidi w:val="0"/>
        <w:jc w:val="both"/>
        <w:rPr>
          <w:rFonts w:ascii="Times New Roman" w:hAnsi="Times New Roman"/>
        </w:rPr>
      </w:pPr>
      <w:r w:rsidRPr="00E37FC6">
        <w:rPr>
          <w:rFonts w:ascii="Times New Roman" w:hAnsi="Times New Roman"/>
        </w:rPr>
        <w:t>Správcom Registra účtovných závierok (ďalej len „register“) zodpovedným za vytváranie, správu a rozvoj informačného systému verejnej správy je ministerstvo. Prevádzkou systému je poverený prevádzkovateľ, ktorým je rozpočtová organizácia ministerstva financií DataCentrum.</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12 - § 23 ods. 4</w:t>
      </w:r>
    </w:p>
    <w:p w:rsidR="004F4B99" w:rsidRPr="00E37FC6" w:rsidP="004F4B99">
      <w:pPr>
        <w:bidi w:val="0"/>
        <w:jc w:val="both"/>
        <w:rPr>
          <w:rFonts w:ascii="Times New Roman" w:hAnsi="Times New Roman"/>
        </w:rPr>
      </w:pPr>
      <w:r w:rsidRPr="00E37FC6">
        <w:rPr>
          <w:rFonts w:ascii="Times New Roman" w:hAnsi="Times New Roman"/>
        </w:rPr>
        <w:t>Vypúšťa sa úloha prevádzkovateľa formálne kontrolovať  údaje uvádzané v účtovnej závierke. Formálnu kontrolu správnosti údajov budú vykonávať daňové úrady pre písomnú podobu a Finančné riaditeľstvo Slovenskej republiky pre elektronickú podobu, už na vstupe dokumentov  pri podaní.</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13 - § 23 ods. 6 písm. g)</w:t>
      </w:r>
    </w:p>
    <w:p w:rsidR="004F4B99" w:rsidRPr="00E37FC6" w:rsidP="004F4B99">
      <w:pPr>
        <w:bidi w:val="0"/>
        <w:jc w:val="both"/>
        <w:rPr>
          <w:rFonts w:ascii="Times New Roman" w:hAnsi="Times New Roman"/>
        </w:rPr>
      </w:pPr>
      <w:r w:rsidRPr="00E37FC6">
        <w:rPr>
          <w:rFonts w:ascii="Times New Roman" w:hAnsi="Times New Roman"/>
        </w:rPr>
        <w:t>V § 23 ods. 6 sa dopĺňa nové písmeno g), ktorým sa ustanovuje povinnosť pre EXIM banku ukladať dokumenty do verejnej časti registra účtovných závierok. Daná legislatívna úprava nadväzuje na zmenu vykazovania pre EXIM banku a ustanovuje jej povinnosť k registru účtovných závierok.</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bodom 10, 14  a 16 - § 23 ods. 2, § 23a ods. 2 a § 23a ods. 4</w:t>
      </w:r>
    </w:p>
    <w:p w:rsidR="004F4B99" w:rsidRPr="00E37FC6" w:rsidP="004F4B99">
      <w:pPr>
        <w:bidi w:val="0"/>
        <w:jc w:val="both"/>
        <w:rPr>
          <w:rFonts w:ascii="Times New Roman" w:hAnsi="Times New Roman"/>
        </w:rPr>
      </w:pPr>
      <w:r w:rsidRPr="00E37FC6">
        <w:rPr>
          <w:rFonts w:ascii="Times New Roman" w:hAnsi="Times New Roman"/>
        </w:rPr>
        <w:t xml:space="preserve">Rozširuje sa možnosť podať oznámenie o dátume schválenia účtovnej závierky v písomnej podobe. Dátum schválenia účtovnej závierky je potrebné doplniť do registra a aj do zbierky listín obchodného registra. V roku 2014 ho bolo možné oznámiť iba v elektronickej podobe. Účtovné jednotky, ktoré nemali zriadený prístup na elektronické doručovanie museli po schválení uložiť všetky dokumenty ešte raz. Aby to už nebolo potrebné, vydá ministerstvo vzor oznámenia opatrením. Dátum schválenia účtovnej závierky sa bude zo vzoru vyťažovať a spracovávať.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bodom 15 a 17 - § 23a ods. 4 a ods. 5</w:t>
      </w:r>
    </w:p>
    <w:p w:rsidR="004F4B99" w:rsidRPr="00E37FC6" w:rsidP="004F4B99">
      <w:pPr>
        <w:bidi w:val="0"/>
        <w:jc w:val="both"/>
        <w:rPr>
          <w:rFonts w:ascii="Times New Roman" w:hAnsi="Times New Roman"/>
        </w:rPr>
      </w:pPr>
      <w:r w:rsidRPr="00E37FC6">
        <w:rPr>
          <w:rFonts w:ascii="Times New Roman" w:hAnsi="Times New Roman"/>
        </w:rPr>
        <w:t xml:space="preserve">Ide  o legislatívno-technickú úpravu. Spôsob uvedenia, že ide o neschválenú účtovnú závierku alebo neauditovanú účtovnú závierka sa osobitne neustanovuje. Schválenie, resp. neschválenie účtovnej závierky je vyznačené vo všeobecných náležitostiach pripojených k účtovnej závierke vyplnením dňa schválenia. Ak je účtovná závierka schválená audítorom je uložená  správa audítora.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 xml:space="preserve">K bodom 18 až 22 - § 23b ods. 1 až § 23b ods. 6 </w:t>
      </w:r>
    </w:p>
    <w:p w:rsidR="004F4B99" w:rsidRPr="00E37FC6" w:rsidP="004F4B99">
      <w:pPr>
        <w:bidi w:val="0"/>
        <w:jc w:val="both"/>
        <w:rPr>
          <w:rFonts w:ascii="Times New Roman" w:hAnsi="Times New Roman"/>
        </w:rPr>
      </w:pPr>
      <w:r w:rsidRPr="00E37FC6">
        <w:rPr>
          <w:rFonts w:ascii="Times New Roman" w:hAnsi="Times New Roman"/>
        </w:rPr>
        <w:t xml:space="preserve">Praktické skúsenosti s prvým rokom fungovania ostrej prevádzky registra poukázali na to, že je potrebné zvýšiť kontrolný mechanizmus dokumentov na vstupe pre písomné a tiež elektronické podanie. Návrh zákona oprávňuje daňové úrady, aby v prípade neúplnosti alebo nesprávností mohli účtovnú jednotku vyzvať na opravu a súčasne ustanovuje, že ak účtovná jednotka nevyhovela výzve a nedostatky neodstránila podanie sa považuje za nedoručené, tzn. akékoľvek lehoty na spracovanie začínajú plynúť až keď je podanie úplné a správne. Pre Finančné riaditeľstvo Slovenskej republiky sa z dôvodu kumulácie prác súvisiacich s daňovými priznaniami predlžuje lehota na postúpenie dokumentov, ktoré boli doručené v listinnej podobe, prevádzkovateľovi registra.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bodom 23 až 25 - § 23c ods. 3 a 5</w:t>
      </w:r>
    </w:p>
    <w:p w:rsidR="004F4B99" w:rsidRPr="00E37FC6" w:rsidP="004F4B99">
      <w:pPr>
        <w:bidi w:val="0"/>
        <w:jc w:val="both"/>
        <w:rPr>
          <w:rFonts w:ascii="Times New Roman" w:hAnsi="Times New Roman"/>
        </w:rPr>
      </w:pPr>
      <w:r w:rsidRPr="00E37FC6">
        <w:rPr>
          <w:rFonts w:ascii="Times New Roman" w:hAnsi="Times New Roman"/>
        </w:rPr>
        <w:t>Skúsenosti z praxe poukázali na to, že účtovné jednotky žiadajú o kópie uložených dokumentov  na rôzne účely. Často žiadali iba o potvrdenie niektorej časti účtovnej závierky, čo doterajšie znenie zákona neumožňovalo. Súčasne sa kvôli dostupnosti rozširujú miesta, na ktorých sa kópie dokumentov poskytujú. Daňový úrad bude poskytovať kópie dokumentov do času uloženia dokumentov v registri. Jednotné kontaktné miesta budú kópie dokumentov poskytovať po ich uložení do registra, ak sa žiadateľ rozhodne žiadosť o kópiu priniesť osobne.</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26 - § 38 ods. 1 písm. c)</w:t>
      </w:r>
    </w:p>
    <w:p w:rsidR="004F4B99" w:rsidRPr="00E37FC6" w:rsidP="004F4B99">
      <w:pPr>
        <w:bidi w:val="0"/>
        <w:jc w:val="both"/>
        <w:rPr>
          <w:rFonts w:ascii="Times New Roman" w:hAnsi="Times New Roman"/>
        </w:rPr>
      </w:pPr>
      <w:r w:rsidRPr="00E37FC6">
        <w:rPr>
          <w:rFonts w:ascii="Times New Roman" w:hAnsi="Times New Roman"/>
        </w:rPr>
        <w:t xml:space="preserve">Dopĺňa sa pokuta za neuposlúchnutie výzvy, ktorú daňový úrad posiela v súvislosti s novo navrhovaným znením. </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K bodu 27 - § 39k</w:t>
      </w:r>
    </w:p>
    <w:p w:rsidR="004F4B99" w:rsidRPr="00E37FC6" w:rsidP="004F4B99">
      <w:pPr>
        <w:bidi w:val="0"/>
        <w:jc w:val="both"/>
        <w:rPr>
          <w:rFonts w:ascii="Times New Roman" w:hAnsi="Times New Roman"/>
        </w:rPr>
      </w:pPr>
      <w:r w:rsidRPr="00E37FC6">
        <w:rPr>
          <w:rFonts w:ascii="Times New Roman" w:hAnsi="Times New Roman"/>
        </w:rPr>
        <w:t>Predmetné ustanovenie upravuje triedenie účtovných jednotiek do veľkostných skupín k 1. januáru 2015, pričom sa posudzujú veľkostné podmienky k 31. decembru 2014. Účtovná jednotka, ktorej hospodársky rok začína v priebehu roka 2015 posudzuje splnenie veľkostných podmienok ku dňu, ku ktorému sa zostavuje účtovná závierka v priebehu roka 2015. Mikro účtovná jednotka, ktorá bola ustanovená podľa doterajších predpisov sa považuje za mikro účtovnú jednotku podľa tohto zákona. Účtovná jednotka, ktorá sa  rozhodla, že od 1. januára 2014 nebude mikro účtovnou jednotkou, v takomto prípade sa od 1. januára 2015 zatriedi ako malá účtovná jednotka.</w:t>
      </w:r>
    </w:p>
    <w:p w:rsidR="004F4B99" w:rsidRPr="00E37FC6" w:rsidP="004F4B99">
      <w:pPr>
        <w:bidi w:val="0"/>
        <w:jc w:val="both"/>
        <w:rPr>
          <w:rFonts w:ascii="Times New Roman" w:hAnsi="Times New Roman"/>
        </w:rPr>
      </w:pPr>
    </w:p>
    <w:p w:rsidR="004F4B99" w:rsidRPr="00E37FC6" w:rsidP="004F4B99">
      <w:pPr>
        <w:bidi w:val="0"/>
        <w:jc w:val="both"/>
        <w:rPr>
          <w:rFonts w:ascii="Times New Roman" w:hAnsi="Times New Roman"/>
          <w:b/>
        </w:rPr>
      </w:pPr>
      <w:r w:rsidRPr="00E37FC6">
        <w:rPr>
          <w:rFonts w:ascii="Times New Roman" w:hAnsi="Times New Roman"/>
          <w:b/>
        </w:rPr>
        <w:t xml:space="preserve">K bodom 28 a </w:t>
      </w:r>
      <w:r>
        <w:rPr>
          <w:rFonts w:ascii="Times New Roman" w:hAnsi="Times New Roman"/>
          <w:b/>
        </w:rPr>
        <w:t>29</w:t>
      </w:r>
      <w:r w:rsidRPr="00E37FC6">
        <w:rPr>
          <w:rFonts w:ascii="Times New Roman" w:hAnsi="Times New Roman"/>
          <w:b/>
        </w:rPr>
        <w:t xml:space="preserve"> - príloha</w:t>
      </w:r>
    </w:p>
    <w:p w:rsidR="004F4B99" w:rsidRPr="00E37FC6" w:rsidP="004F4B99">
      <w:pPr>
        <w:bidi w:val="0"/>
        <w:jc w:val="both"/>
        <w:rPr>
          <w:rFonts w:ascii="Times New Roman" w:hAnsi="Times New Roman"/>
        </w:rPr>
      </w:pPr>
      <w:r w:rsidRPr="00E37FC6">
        <w:rPr>
          <w:rFonts w:ascii="Times New Roman" w:hAnsi="Times New Roman"/>
        </w:rPr>
        <w:t>Predmetným ustanovením sa mení a dopĺňa transpozičná príloha.</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Čl. IV</w:t>
      </w:r>
    </w:p>
    <w:p w:rsidR="004F4B99" w:rsidRPr="00E37FC6" w:rsidP="004F4B99">
      <w:pPr>
        <w:pStyle w:val="BodyText2"/>
        <w:bidi w:val="0"/>
        <w:spacing w:after="0" w:line="240" w:lineRule="auto"/>
        <w:rPr>
          <w:rFonts w:ascii="Times New Roman" w:hAnsi="Times New Roman"/>
          <w:b/>
          <w:bCs/>
        </w:rPr>
      </w:pPr>
      <w:r w:rsidRPr="00E37FC6">
        <w:rPr>
          <w:rFonts w:ascii="Times New Roman" w:hAnsi="Times New Roman"/>
          <w:b/>
          <w:bCs/>
        </w:rPr>
        <w:t>K bodu 1 - § 2</w:t>
      </w:r>
    </w:p>
    <w:p w:rsidR="004F4B99" w:rsidRPr="00E37FC6" w:rsidP="004F4B99">
      <w:pPr>
        <w:pStyle w:val="ListParagraph"/>
        <w:bidi w:val="0"/>
        <w:spacing w:after="0" w:line="240" w:lineRule="auto"/>
        <w:ind w:left="0"/>
        <w:jc w:val="both"/>
        <w:rPr>
          <w:rFonts w:ascii="Times New Roman" w:hAnsi="Times New Roman"/>
          <w:sz w:val="24"/>
          <w:szCs w:val="24"/>
        </w:rPr>
      </w:pPr>
      <w:r w:rsidRPr="00E37FC6">
        <w:rPr>
          <w:rFonts w:ascii="Times New Roman" w:hAnsi="Times New Roman"/>
          <w:sz w:val="24"/>
          <w:szCs w:val="24"/>
        </w:rPr>
        <w:t>V § 2 sa upravuje podiel obcí na výnose dane z príjmov fyzických osôb podľa vzájomnej dohody zástupcov vlády a ZMOS.</w:t>
      </w:r>
    </w:p>
    <w:p w:rsidR="004F4B99" w:rsidRPr="00E37FC6" w:rsidP="004F4B99">
      <w:pPr>
        <w:pStyle w:val="ListParagraph"/>
        <w:bidi w:val="0"/>
        <w:spacing w:after="0" w:line="240" w:lineRule="auto"/>
        <w:ind w:left="0"/>
        <w:jc w:val="both"/>
        <w:rPr>
          <w:rFonts w:ascii="Times New Roman" w:hAnsi="Times New Roman"/>
          <w:sz w:val="24"/>
          <w:szCs w:val="24"/>
        </w:rPr>
      </w:pPr>
    </w:p>
    <w:p w:rsidR="004F4B99" w:rsidRPr="00E37FC6" w:rsidP="004F4B99">
      <w:pPr>
        <w:pStyle w:val="BodyText2"/>
        <w:bidi w:val="0"/>
        <w:spacing w:after="0" w:line="240" w:lineRule="auto"/>
        <w:rPr>
          <w:rFonts w:ascii="Times New Roman" w:hAnsi="Times New Roman"/>
          <w:b/>
          <w:bCs/>
        </w:rPr>
      </w:pPr>
      <w:r w:rsidRPr="00E37FC6">
        <w:rPr>
          <w:rFonts w:ascii="Times New Roman" w:hAnsi="Times New Roman"/>
          <w:b/>
          <w:bCs/>
        </w:rPr>
        <w:t>K bodu 2 - § 7d</w:t>
      </w:r>
    </w:p>
    <w:p w:rsidR="004F4B99" w:rsidRPr="00E37FC6" w:rsidP="004F4B99">
      <w:pPr>
        <w:pStyle w:val="ListParagraph"/>
        <w:bidi w:val="0"/>
        <w:spacing w:after="240" w:line="240" w:lineRule="auto"/>
        <w:ind w:left="0"/>
        <w:jc w:val="both"/>
        <w:rPr>
          <w:rFonts w:ascii="Times New Roman" w:hAnsi="Times New Roman"/>
          <w:sz w:val="24"/>
          <w:szCs w:val="24"/>
        </w:rPr>
      </w:pPr>
      <w:r w:rsidRPr="00E37FC6">
        <w:rPr>
          <w:rFonts w:ascii="Times New Roman" w:hAnsi="Times New Roman"/>
          <w:sz w:val="24"/>
          <w:szCs w:val="24"/>
        </w:rPr>
        <w:t>Uvedený § predstavuje prechodné ustanovenie pre zabezpečenie plynulého nábehu na novostanovený percentuálny podiel pre obce a stanovuje termín, kedy sa prvýkrát uvedená zmena uplatní pri výpočte prevodu podielu obcí na výnose tejto dane.</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Čl. V</w:t>
      </w:r>
    </w:p>
    <w:p w:rsidR="004F4B99" w:rsidRPr="00E37FC6" w:rsidP="004F4B99">
      <w:pPr>
        <w:bidi w:val="0"/>
        <w:jc w:val="both"/>
        <w:rPr>
          <w:rFonts w:ascii="Times New Roman" w:hAnsi="Times New Roman"/>
          <w:iCs/>
        </w:rPr>
      </w:pPr>
      <w:r w:rsidRPr="00E37FC6">
        <w:rPr>
          <w:rFonts w:ascii="Times New Roman" w:hAnsi="Times New Roman"/>
          <w:iCs/>
        </w:rPr>
        <w:t>V nadväznosti na zavedenie povinnosti používania elektronickej  registračnej pokladnice alebo virtuálnej registračnej pokladnice aj u lekárov sa upravuje povinnosť týchto subjektov vydať rovnopis potvrdenia o rozsahu poskytnutých zdravotných výkonov, ich cene a výške spoluúčasti len v prípade, ak tieto údaje nie sú uvedené na pokladničnom doklade vydanom z elektronickej registračnej pokladnice alebo virtuálnej registračnej pokladnice.</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Čl. VI</w:t>
      </w:r>
    </w:p>
    <w:p w:rsidR="004F4B99" w:rsidRPr="00E37FC6" w:rsidP="004F4B99">
      <w:pPr>
        <w:bidi w:val="0"/>
        <w:adjustRightInd w:val="0"/>
        <w:jc w:val="both"/>
        <w:rPr>
          <w:rFonts w:ascii="Times New Roman" w:hAnsi="Times New Roman"/>
        </w:rPr>
      </w:pPr>
      <w:r w:rsidRPr="00E37FC6">
        <w:rPr>
          <w:rFonts w:ascii="Times New Roman" w:hAnsi="Times New Roman"/>
        </w:rPr>
        <w:t>Zo zákona č. 289/2008 Z. z. vyplynuli pre Colný úrad Bratislava nové úlohy, a to vykonávanie certifikácie elektronických registračných pokladníc a  vykonávanie technickej expertízy za účelom skúmania, či došlo k pozmeneniu údajov v elektronickej registračnej pokladnici alebo v kontrolnom zázname. S prihliadnutím na tieto nové úlohy, je potrebné tieto doplniť do kompetencií pre Colný  úrad Bratislava.</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694932" w:rsidP="004F4B99">
      <w:pPr>
        <w:shd w:val="solid" w:color="FFFFFF" w:fill="auto"/>
        <w:bidi w:val="0"/>
        <w:adjustRightInd w:val="0"/>
        <w:rPr>
          <w:rFonts w:ascii="Times New Roman" w:hAnsi="Times New Roman"/>
          <w:color w:val="000000"/>
        </w:rPr>
      </w:pPr>
      <w:r w:rsidRPr="00694932">
        <w:rPr>
          <w:rFonts w:ascii="Times New Roman" w:hAnsi="Times New Roman"/>
          <w:b/>
          <w:color w:val="000000"/>
        </w:rPr>
        <w:t>K Čl. VII</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1  </w:t>
      </w:r>
      <w:r w:rsidRPr="00694932">
        <w:rPr>
          <w:rFonts w:ascii="Times New Roman" w:hAnsi="Times New Roman"/>
          <w:color w:val="000000"/>
        </w:rPr>
        <w:t>-</w:t>
      </w:r>
      <w:r w:rsidRPr="00694932">
        <w:rPr>
          <w:rFonts w:ascii="Times New Roman" w:hAnsi="Times New Roman"/>
          <w:b/>
          <w:color w:val="000000"/>
        </w:rPr>
        <w:t xml:space="preserve"> § 1 ods. 1 písm. a)</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Do ustanovenia sa navrhuje doplniť používanie virtuálnej registračnej pokladnice. </w:t>
      </w:r>
    </w:p>
    <w:p w:rsidR="004F4B99" w:rsidRPr="00694932" w:rsidP="004F4B99">
      <w:pPr>
        <w:bidi w:val="0"/>
        <w:adjustRightInd w:val="0"/>
        <w:ind w:left="426"/>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2  </w:t>
      </w:r>
      <w:r w:rsidRPr="00694932">
        <w:rPr>
          <w:rFonts w:ascii="Times New Roman" w:hAnsi="Times New Roman"/>
          <w:color w:val="000000"/>
        </w:rPr>
        <w:t>-</w:t>
      </w:r>
      <w:r w:rsidRPr="00694932">
        <w:rPr>
          <w:rFonts w:ascii="Times New Roman" w:hAnsi="Times New Roman"/>
          <w:b/>
          <w:color w:val="000000"/>
        </w:rPr>
        <w:t xml:space="preserve"> § 1 ods. 1 písm. c)</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Vzhľadom na to, že certifikáciu elektronických registračných pokladníc bude vykonávať Colný úrad Bratislava na základe konania upraveného týmto zákonom, navrhuje sa do predmetu zákona ustanoviť konanie o certifikácii.</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3  </w:t>
      </w:r>
      <w:r w:rsidRPr="00694932">
        <w:rPr>
          <w:rFonts w:ascii="Times New Roman" w:hAnsi="Times New Roman"/>
          <w:color w:val="000000"/>
        </w:rPr>
        <w:t>-</w:t>
      </w:r>
      <w:r w:rsidRPr="00694932">
        <w:rPr>
          <w:rFonts w:ascii="Times New Roman" w:hAnsi="Times New Roman"/>
          <w:b/>
          <w:color w:val="000000"/>
        </w:rPr>
        <w:t xml:space="preserve"> § 2 písm. b)</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Virtuálnou registračnou pokladnicou bude prostredie zriadené Finančným riaditeľstvom SR a prístupné bude pre podnikateľov na internetovej stránke finančného riaditeľstva bezodplatne, po registrácii na ktorom koľvek daňovom úrade. Virtuálna registračná pokladnica bude fungovať prostredníctvom elektronických zariadení, ako sú počítač, notebook, tablet alebo mobilný telefón. Rovnako k funkcionalite virtuálnej registračnej pokladnice bude potrebný internet. Údaje o evidencii prijatých tržieb nebudú ukladané v žiadnom fiskálnom zariadení podnikateľa, ale budú po zaevidovaní on-line systémom prenášané do informačného systému finančnej správy, čo bude umožňovať kontrolným orgánom jednoduchý prístup k potrebným údajom. </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Pri používaní virtuálnej registračnej pokladnice sa nebude viesť kniha pokladnice a s prihliadnutím na osobitosť technického riešenia takejto pokladnice, nebude túto uvádzať do prevádzky servisná organizácia.</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Podnikateľ pri používaní virtuálnej registračnej pokladnice bude povinný, napr. vyhotovovať pokladničné doklady, doklady označené slovami „VKLAD“, „NEPLATNÝ DOKLAD“, vyhotovovať intervalovú alebo prehľadovú uzávierku, viesť v prípade poruchy náhradnú evidenciu formou paragónov. S prihliadnutím na tieto skutočnosti sa upravujú aj ďalšie ustanovenia zákona.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b/>
          <w:color w:val="000000"/>
        </w:rPr>
      </w:pPr>
      <w:r w:rsidRPr="00694932">
        <w:rPr>
          <w:rFonts w:ascii="Times New Roman" w:hAnsi="Times New Roman"/>
          <w:b/>
          <w:color w:val="000000"/>
        </w:rPr>
        <w:t>K bodu 4 - § 2 písm. l)</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Druhá </w:t>
      </w:r>
      <w:r>
        <w:rPr>
          <w:rFonts w:ascii="Times New Roman" w:hAnsi="Times New Roman"/>
          <w:color w:val="000000"/>
        </w:rPr>
        <w:t>č</w:t>
      </w:r>
      <w:r w:rsidRPr="00694932">
        <w:rPr>
          <w:rFonts w:ascii="Times New Roman" w:hAnsi="Times New Roman"/>
          <w:color w:val="000000"/>
        </w:rPr>
        <w:t>as</w:t>
      </w:r>
      <w:r>
        <w:rPr>
          <w:rFonts w:ascii="Times New Roman" w:hAnsi="Times New Roman"/>
          <w:color w:val="000000"/>
        </w:rPr>
        <w:t>ť</w:t>
      </w:r>
      <w:r w:rsidRPr="00694932">
        <w:rPr>
          <w:rFonts w:ascii="Times New Roman" w:hAnsi="Times New Roman"/>
          <w:color w:val="000000"/>
        </w:rPr>
        <w:t xml:space="preserve"> definície predajného miesta sa navrhuje vypustiť z dôvodu nadbytočnosti a s prihliadnutím na zavedenie  virtuálnej registračnej pokladnice. </w:t>
      </w:r>
    </w:p>
    <w:p w:rsidR="004F4B99" w:rsidRPr="00694932" w:rsidP="004F4B99">
      <w:pPr>
        <w:bidi w:val="0"/>
        <w:adjustRightInd w:val="0"/>
        <w:rPr>
          <w:rFonts w:ascii="Times New Roman" w:hAnsi="Times New Roman"/>
          <w:b/>
          <w:color w:val="000000"/>
        </w:rPr>
      </w:pP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5 až 7  </w:t>
      </w:r>
      <w:r w:rsidRPr="00694932">
        <w:rPr>
          <w:rFonts w:ascii="Times New Roman" w:hAnsi="Times New Roman"/>
          <w:color w:val="000000"/>
        </w:rPr>
        <w:t>-</w:t>
      </w:r>
      <w:r w:rsidRPr="00694932">
        <w:rPr>
          <w:rFonts w:ascii="Times New Roman" w:hAnsi="Times New Roman"/>
          <w:b/>
          <w:color w:val="000000"/>
        </w:rPr>
        <w:t xml:space="preserve"> § 2 písm. n), p) druhom bode, v), w),  § 3 ods. 1, 3, § 8 ods. 1 prvej vete,   § 16a písm.  h) a r), § 16b ods. 1 písm. b) a ods. 2 písm. b)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S prihliadnutím na body 1 a 3, ktorými sa ustanovuje definícia a používanie virtuálnej registračnej pokladnice, je potrebné túto skutočnosť ustanoviť aj pre navrhnuté základné pojmy.</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K bodu 8 a 31 - § 2 písm. x) a § 8 ods. 4</w:t>
      </w:r>
    </w:p>
    <w:p w:rsidR="004F4B99" w:rsidRPr="00694932" w:rsidP="004F4B99">
      <w:pPr>
        <w:bidi w:val="0"/>
        <w:spacing w:before="120"/>
        <w:jc w:val="both"/>
        <w:rPr>
          <w:rFonts w:ascii="Times New Roman" w:hAnsi="Times New Roman"/>
        </w:rPr>
      </w:pPr>
      <w:r w:rsidRPr="00694932">
        <w:rPr>
          <w:rFonts w:ascii="Times New Roman" w:hAnsi="Times New Roman"/>
          <w:color w:val="000000"/>
        </w:rPr>
        <w:t>Definícia pokladničného dokladu sa navrhuje doplniť</w:t>
      </w:r>
      <w:r w:rsidRPr="00694932">
        <w:rPr>
          <w:rFonts w:ascii="Times New Roman" w:hAnsi="Times New Roman"/>
          <w:b/>
          <w:color w:val="000000"/>
        </w:rPr>
        <w:t xml:space="preserve"> </w:t>
      </w:r>
      <w:r w:rsidRPr="00694932">
        <w:rPr>
          <w:rFonts w:ascii="Times New Roman" w:hAnsi="Times New Roman"/>
          <w:color w:val="000000"/>
        </w:rPr>
        <w:t>o</w:t>
      </w:r>
      <w:r w:rsidRPr="00694932">
        <w:rPr>
          <w:rFonts w:ascii="Times New Roman" w:hAnsi="Times New Roman"/>
          <w:b/>
          <w:color w:val="000000"/>
        </w:rPr>
        <w:t xml:space="preserve"> </w:t>
      </w:r>
      <w:r w:rsidRPr="00694932">
        <w:rPr>
          <w:rFonts w:ascii="Times New Roman" w:hAnsi="Times New Roman"/>
        </w:rPr>
        <w:t>doklad o vrátení platby za neposkytnutú službu alebo doklad za vrátené zálohované obaly. Doplnením ustanovenia sa odstránia problémy s vrátením prijatej tržby za neposkytnutú službu tak kontrolórom (napr. za skipasy, permanentky do fitnescentra), ako aj zákazníkom a jednoznačne sa zavedie povinnosť vydať pokladničný doklad podľa § 8 ods. 4 aj pri vrátení zálohovaných obalov v prípade, ak zákazník iba vracia zálohované obaly a nekupuje tovar.</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9  </w:t>
      </w:r>
      <w:r w:rsidRPr="00694932">
        <w:rPr>
          <w:rFonts w:ascii="Times New Roman" w:hAnsi="Times New Roman"/>
          <w:color w:val="000000"/>
        </w:rPr>
        <w:t>-</w:t>
      </w:r>
      <w:r w:rsidRPr="00694932">
        <w:rPr>
          <w:rFonts w:ascii="Times New Roman" w:hAnsi="Times New Roman"/>
          <w:b/>
          <w:color w:val="000000"/>
        </w:rPr>
        <w:t xml:space="preserve"> § 2 písm. zg)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Na účely virtuálnej registračnej pokladnice sa definuje koncové zariadenie, ktorým môže byť počítač, notebook, tablet, resp. mobilný telefón, ktoré prostredníctvom internetu zabezpečia pripojenie do prostredia virtuálnej registračnej pokladnice a tlačiareň, ktorá bude zabezpečovať tlač pokladničných dokladov a iných tlačových výstupov.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bodom 10, 12 až 15 - § 3, § 3 ods.  3, 4 prvej vete a tretej vete, ods. 6 písm. c), § 16a písm. a), b) a j), § 16b ods. 8 a 10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Ustanovenia sa upravujú s prihliadnutím na používanie virtuálnej registračnej pokladnice. </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rPr>
          <w:rFonts w:ascii="Times New Roman" w:hAnsi="Times New Roman"/>
          <w:b/>
          <w:color w:val="000000"/>
        </w:rPr>
      </w:pPr>
      <w:r w:rsidRPr="00694932">
        <w:rPr>
          <w:rFonts w:ascii="Times New Roman" w:hAnsi="Times New Roman"/>
          <w:b/>
          <w:color w:val="000000"/>
        </w:rPr>
        <w:t>K bodu 11 - § 3 ods. 2 písm. c)</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S prihliadnutím na to, že používanie elektronickej registračnej pokladnice sa nevzťahuje na tržby prijaté bezhotovostne, t. j. platby uskutočnené, napr. platobnými príkazmi v banke, prostredníctvom internetbankingu, sa z dôvodu jednoznačnosti navrhuje túto skutočnosť doplniť do zákona.  </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bodom 16, 18 až 21 - § 4 ods. 1 písm. a), § 4 ods. 2 písm. a) tretí bod, § 4 ods. 2 písm. b) pätnásty bod, § 4 ods. 6, § 4 ods. 10</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Vzhľadom na to, že certifikáciu elektronických registračných pokladníc nebudú vykonávať akreditované osoby, ale Colný úrad Bratislava, je potrebné s prihliadnutím na túto skutočnosť upraviť príslušné ustanovenia. Colný úrad Bratislava bude pre výrobcov, dovozcov a distribútorov certifikáciu vykonávať bezplatne.</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K bodu 17 - § 4 ods. 1 písm. b) bod 3</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Ustanovením sa navrhuje, aby posudzovanie zhody elektronickej registračnej pokladnice aj naďalej vykonávali akreditované osoby a Colný úrad Bratislava bude vykonávať certifikáciu z hľadiska splnenia technických požiadaviek vyplývajúcich zo zákona o používaní elekt</w:t>
      </w:r>
      <w:r>
        <w:rPr>
          <w:rFonts w:ascii="Times New Roman" w:hAnsi="Times New Roman"/>
          <w:color w:val="000000"/>
        </w:rPr>
        <w:t>r</w:t>
      </w:r>
      <w:r w:rsidRPr="00694932">
        <w:rPr>
          <w:rFonts w:ascii="Times New Roman" w:hAnsi="Times New Roman"/>
          <w:color w:val="000000"/>
        </w:rPr>
        <w:t>onickej registračnej pokladnice.</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b/>
          <w:color w:val="000000"/>
        </w:rPr>
      </w:pPr>
    </w:p>
    <w:p w:rsidR="004F4B99" w:rsidRPr="00694932" w:rsidP="004F4B99">
      <w:pPr>
        <w:bidi w:val="0"/>
        <w:adjustRightInd w:val="0"/>
        <w:jc w:val="both"/>
        <w:rPr>
          <w:rFonts w:ascii="Times New Roman" w:hAnsi="Times New Roman"/>
          <w:b/>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22 - § 4a a § 4b</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u w:val="single"/>
        </w:rPr>
        <w:t>k § 4a</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Na používanie virtuálnej registračnej pokladnice sa navrhuje v novom paragrafe osobitne ustanoviť požiadavky na takúto pokladnicu.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Navrhuje sa používanie len takej virtuálnej registračnej pokladnice, ktorá je výlučne zriadená v prostredí finančného riaditeľstva. Podnikateľ môže na jednom predajnom mieste používať len jednu virtuálnu registračnú pokladnicu, t. j. podnikateľovi bude umožnené prostredníctvom prístupových údajov len jedno prihlásenie.</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Navrhuje sa, aby virtuálnu registračnú pokladnicu používali len podnikatelia, ktorí za sledované obdobie – jedného kalendárneho mesiaca nevyhotovili viac ako tristo pokladničných dokladov, a to z dôvodu, aby sa virtuálna registračná pokladnica používala len u podnikateľov, ktorí nemajú v priebehu mesiaca veľké množstvo transakcií.</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Ďalšie požiadavky sa ustanovujú z dôvodov nastavenia virtuálnej registračnej pokladnice.</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Zároveň sa ustanovuje, aby v záujme zachovania údajov na tlačových výstupoch z tlačiarne sa používala len taká tlačiareň, ktorá zabezpečí vytlačenie tlačových  výstupov</w:t>
      </w:r>
      <w:r w:rsidRPr="00694932">
        <w:rPr>
          <w:rFonts w:ascii="Calibri" w:hAnsi="Calibri" w:cs="Calibri"/>
          <w:color w:val="000000"/>
        </w:rPr>
        <w:t xml:space="preserve"> </w:t>
      </w:r>
      <w:r w:rsidRPr="00694932">
        <w:rPr>
          <w:rFonts w:ascii="Times New Roman" w:hAnsi="Times New Roman"/>
          <w:color w:val="000000"/>
        </w:rPr>
        <w:t>čitateľných po dobu piatich rokov od konca kalendárneho roka, v ktorom boli vyhotovené.</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u w:val="single"/>
        </w:rPr>
        <w:t>k § 4b</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S prihliadnutím na vykonávanie certifikácie elektronickej registračnej pokladnice Colným úradom Bratislava, sa navrhuje ustanoviť osobitný postup v konaní o certifikácii elektronickej registračnej pokladnice. V rámci tohto procesu sa navrhuje, aby sa výrobcom, dovozcom alebo distribútorom vydávalo rozhodnutie o certifikácii, pričom sa ustanovujú aj opravné prostriedky. V ďalšom konaní o certifikácii sa bude postupovať podľa všeobecného predpisu o správnom konaní.</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bodom 23, 25 a 26 - § 5 ods. 2 písm. c), § 7 ods. 1 písm. a) tretí bod, § 7 ods. 1 písm. b)</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Vzhľadom na to, že certifikáciu elektronických registračných pokladníc nebudú vykonávať akreditované osoby, ale Colný úrad Bratislava, je potrebné s prihliadnutím na túto skutočnosť upraviť príslušné ustanovenia.</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K bodu 24 - § 6 ods. 8</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Legislatívno-technická úprava textu.</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27 - § 7a</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Navrhuje sa osobitne upraviť registráciu podnikateľa pri používaní virtuálnej registračnej pokladnice. Registrácia sa bude vykonávať na základe písomnej žiadosti podnikateľa. Rovnako, ako aj pri používaní elektronickej registračnej pokladnice bude aj virtuálnej registračnej pokladnici pridelený kód. Zároveň budú podnikateľovi odovzdané prihlasovacie údaje prostredníctvom ktorých sa bude prihlasovať do prostredia virtuálnej registračnej pokladnice.</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V rámci tejto registrácie bude mať podnikateľ povinnosť oznámiť zmenu predajného miesta.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Používanie virtuálnej registračnej pokladnice sa navrhuje len pre  podnikateľov pri taxatívne vymedzených službách, pričom podnikateľ bude mať možnosť od účinnosti zákona používať na evidenciu prijatých tržieb virtuálnu registračnú pokladnicu alebo elektronickú registračnú pokladnicu.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bodom 28 až 30, 32 a 34 - § 8 ods. 1 prvá veta, § 16a písm</w:t>
      </w:r>
      <w:r>
        <w:rPr>
          <w:rFonts w:ascii="Times New Roman" w:hAnsi="Times New Roman"/>
          <w:b/>
          <w:color w:val="000000"/>
        </w:rPr>
        <w:t>.</w:t>
      </w:r>
      <w:r w:rsidRPr="00694932">
        <w:rPr>
          <w:rFonts w:ascii="Times New Roman" w:hAnsi="Times New Roman"/>
          <w:b/>
          <w:color w:val="000000"/>
        </w:rPr>
        <w:t xml:space="preserve"> a), § 8 ods. 1 písm. a), § 8 ods. 2 a 5, § 9 ods. 1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S prihliadnutím na používanie virtuálnej registračnej pokladnice je potrebné upraviť ustanovenia týkajúce sa vyhotovovania pokladničného dokladu, ustanovenia týkajúce sa ochrany prihlasovacích údajov a ustanovenie správneho deliktu pri nepoužívaní virtuálnej registračnej pokladnice.</w:t>
      </w: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33 - § 8 ods. 6 a 7</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S prihliadnutím na osobitosť technického riešenia virtuálnej registračnej pokladnice, je potrebné osobitne ustanoviť zákaz vyhotovenia viac ako jedného pokladničného dokladu a údaje pokladničného dokladu.</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bodom 35 a 36 - § 10, § 10 ods. 6 a 7</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 účely používania virtuálnej registračnej pokladnice sa navrhuje, aby aj pri prerušení používania takejto pokladnice, podnikateľ uplatňoval náhradnú evidenciu formou paragónov. Pri používaní virtuálnej registračnej pokladnice podnikateľ nebude používať žiadnu knihu pokladnice, t. j. nebude ani vykonávať žiadne zápisy.</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 záujme toho, aby podnikateľ v prípade poruchy koncového zariadenia nepoužíval náhradnú evidenciu neobmedzene dlho, navrhuje sa, aby obnovil prevádzku tohto zariadenia do 48 hodín od vzniku poruchy.</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K bodu 37 - § 12 ods. 4</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S prihliadnutím na z</w:t>
      </w:r>
      <w:r>
        <w:rPr>
          <w:rFonts w:ascii="Times New Roman" w:hAnsi="Times New Roman"/>
          <w:color w:val="000000"/>
        </w:rPr>
        <w:t>a</w:t>
      </w:r>
      <w:r w:rsidRPr="00694932">
        <w:rPr>
          <w:rFonts w:ascii="Times New Roman" w:hAnsi="Times New Roman"/>
          <w:color w:val="000000"/>
        </w:rPr>
        <w:t>vedenie virtuálnej registračnej pokladnice sa navrhuje osobitne upraviť údaje intervalovej uzávierky.</w:t>
      </w:r>
    </w:p>
    <w:p w:rsidR="004F4B99" w:rsidRPr="00694932" w:rsidP="004F4B99">
      <w:pPr>
        <w:bidi w:val="0"/>
        <w:adjustRightInd w:val="0"/>
        <w:jc w:val="both"/>
        <w:rPr>
          <w:rFonts w:ascii="Times New Roman" w:hAnsi="Times New Roman"/>
          <w:b/>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38 - § 12 ods. 5</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S prihliadnutím na osobitosť technického riešenia virtuálnej registračnej pokladnice, t. j. ukladanie údajov on-line systémom do informačného systému finančnej správy sa navrhuje, aby podnikateľ nemal povinnosť vyhotovovať dennú uzávierku tak, ako to je ustanovené pri elektronickej registračnej pokladnici. Podnikateľ si bude môcť z virtuálnej registračnej pokladnice vyhotovovať pre svoje účely intervalovú alebo prehľadovú uzávierku a zároveň bude mať povinnosť vyhotoviť tieto uzávierky na požiadanie daňového úradu alebo colného úradu, napr. pri kontrole zaevidovania hotovosti, ktorá nie je tržbou – „VKLAD“.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39 - § 15 ods. 5</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Vzhľadom na to, že pri certifikácii elektronických registračných pokladníc sa nebude vydávať certifikát, ale rozhodnutie o certifikácii je potrebné túto skutočnosť premietnuť do ust. § 15 ods. 5.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 xml:space="preserve">K bodu 40 - § 15a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 účely používania virtuálnej registračnej pokladnice sa navrhuje osobitne upraviť postup na ukončenie používania takejto pokladnice. Používanie virtuálnej registračnej pokladnice sa ukončí na základe oznámenia podnikateľa tým, že daňový úrad zruší prístup. Zároveň sa navrhuje, aby bol prístup do virtuálnej registračnej pokladnice ukončený aj v prípade straty prihlasovacích údajov alebo pri ich zneužití alebo odcudzení.</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Zároveň si podnikatelia s prihliadnutím na § 4a ods. 2, podľa ktorého sa môže používať virtuálna registračná pokladnica, len ak počet vydaných pokladničných dokladov v jednom kalendárnom mesiaci nie je viac ako tristo, budú musieť túto skutočnosť odsledovať. Ak podnikatelia budú v ustanovenom limite, budú môcť používať aj naďalej virtuálnu registračnú pokladnicu.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Ak za sledované obdobie dôjde k prekročeniu ustanoveného limitu, musia podnikatelia do ukončiť používanie virtuálnej registračnej pokladnice a  prejsť na používanie elektronickej registračnej pokladnice. Technicky bude zabezpečené, že používanie virtuálnej registračnej pokladnice v nasledujúcom období bude zo strany finančného riaditeľstva   zablokované. Vrátenie sa k používaniu virtuálnej registračnej pokladnice nie je možné.</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bodom 41 až 47 - § 16a písm. c), e), f), o), p), w) a ae)</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Z dôvodu, že návrhom zákona sa  ustanovujú povinnosti pri používaní virtuálnej registračnej pokladnice, sa navrhuje príslušné ustanovenia o správnych deliktoch, ako aj ustanovenia o ukladaní pokút doplniť, resp. upraviť. Rovnako je potrebné upraviť tieto ustanovenia aj z dôvodu zmeny pri certifikácii elektronických registračných pokladníc.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 xml:space="preserve">K bodu 48 - § 16b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Legislatívno-technická úprava textu.</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b/>
          <w:color w:val="000000"/>
        </w:rPr>
      </w:pPr>
      <w:r w:rsidRPr="00694932">
        <w:rPr>
          <w:rFonts w:ascii="Times New Roman" w:hAnsi="Times New Roman"/>
          <w:b/>
          <w:color w:val="000000"/>
        </w:rPr>
        <w:t>K bodu 49 - § 16b ods. 3</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Navrhuje sa sprecízovať príslušnosť daňových a colných úradov pri ukladaní pokuty na mieste.</w:t>
      </w:r>
    </w:p>
    <w:p w:rsidR="004F4B99" w:rsidRPr="00694932" w:rsidP="004F4B99">
      <w:pPr>
        <w:bidi w:val="0"/>
        <w:adjustRightInd w:val="0"/>
        <w:jc w:val="both"/>
        <w:rPr>
          <w:rFonts w:ascii="Times New Roman" w:hAnsi="Times New Roman"/>
          <w:b/>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50 až 52 - § 16b ods. 7, § 16b ods. 9</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 navrhovanom ustanovení sa sprísňuje postih pre podnikateľa. Podľa tohto ustanovenia sa navrhuje, aby kontrolný orgán okrem uloženia pokuty na mieste zakázal podnikateľovi zároveň aj predávať tovar alebo poskytovať službu, pričom tento zákaz nesmie trvať dlhšie ako 72 hodín. Kontrolný orgán okrem súbehu týchto postihov môže alebo bude povinný podať aj návrh na zrušenie živnostenského oprávnenia. Pri zákaze predávať tovar alebo poskytovať službu bude predajné miesto označené oznámením o tomto zákaze. Ak by podnikateľ porušil zákaz predaja, bude  mu uložená ďalšia pokuta za porušenie tohto zákazu.</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Zákaz predávať tovar alebo poskytovať službu sa neuloží v prípade, ak by tým malo dôjsť k ohrozeniu života alebo zdravia občanov; v takomto prípade bude predajné miesto označené na dobu 72 hodín oznámením, že došlo k porušeniu zákona o používaní elektronickej registračnej pokladnice alebo virtuálnej registračnej pokladnice.</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S prihliadnutím na doplnenie nového odseku 7 do § 16b a bodu 47, je potrebné upraviť aj ust. § 16b ods. 9.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53 - § 17 ods. 4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Navrhuje sa, aby na konanie o certifikácii elektronickej registračnej pokladnice sa okrem osobitného postupu ustanovenom v § 4b vzťahoval všeobecný predpis o správnom konaní.</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54 - § 17a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Navrhuje sa osobitne upraviť postup v prípade, kedy vznikne pri kontrolnej činnosti podozrenie, že podnikateľ používa elektronickú registračnú pokladnicu, ktorá nespĺňa požiadavky zákona a túto skutočnosť nie je možné na mieste preukázať.</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Vo vyššie uvedenom prípade sa navrhuje povinnosť pre kontrolné orgány elektronickú registračnú pokladnicu zabezpečiť.</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Navrhuje sa, aby pri zabezpečení elektronickej registračnej pokladnice sa uplatňoval postup upravený daňovým poriadkom o zabezpečení a prepadnutí veci.  Počas zabezpečenia bude podnikateľ povinný uplatňovať náhradnú evidenciu formou paragónou, resp. bude môcť používať novú elektronickú registračnú pokladnicu uvedenú do prevádzky podľa zákona.  </w:t>
      </w:r>
    </w:p>
    <w:p w:rsidR="004F4B99" w:rsidRPr="00694932" w:rsidP="004F4B99">
      <w:pPr>
        <w:bidi w:val="0"/>
        <w:adjustRightInd w:val="0"/>
        <w:ind w:left="119"/>
        <w:jc w:val="both"/>
        <w:rPr>
          <w:rFonts w:ascii="Times New Roman" w:hAnsi="Times New Roman"/>
          <w:color w:val="000000"/>
        </w:rPr>
      </w:pPr>
      <w:r w:rsidRPr="00694932">
        <w:rPr>
          <w:rFonts w:ascii="Times New Roman" w:hAnsi="Times New Roman"/>
          <w:color w:val="000000"/>
          <w:vertAlign w:val="superscript"/>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 xml:space="preserve">K bodu 55 - § 18cb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S prihliadnutím na novú prílohu č. 1 účinnú od 1. januára 2015 sa v prechodnom ustanovení umožňuje, aby pri taxatívne vymedzených službách podnikateľ bol povinný používať elektronickú registračnú pokladnicu najneskôr od 1. apríla 2015, pričom pri vybraných službách uvedených v § 7a ods. 4 môže podnikateľ začať za ustanovených podmienok od </w:t>
        <w:br/>
        <w:t xml:space="preserve">1. apríla 2015 používať aj virtuálnu registračnú pokladnicu.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Zároveň sa prechodným ustanovením z dôvodu, že certifikáciu bude podľa návrhu zákona vykonávať Colný úrad Bratislava a nie akreditované osoby, navrhuje, aby certifikáty vydané akreditovanými osobami zostali v platnosti.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Ak certifikácia bude začatá do 31. decembra 2014, túto podľa prechodného ustanovenia dokončí príslušná akreditovaná osoba.</w:t>
      </w:r>
    </w:p>
    <w:p w:rsidR="004F4B99" w:rsidRPr="00694932" w:rsidP="004F4B99">
      <w:pPr>
        <w:bidi w:val="0"/>
        <w:adjustRightInd w:val="0"/>
        <w:jc w:val="both"/>
        <w:rPr>
          <w:rFonts w:ascii="Times New Roman" w:hAnsi="Times New Roman"/>
          <w:color w:val="000000"/>
        </w:rPr>
      </w:pP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Zároveň sa prechodným ustanovením navrhuje, aby výrobcovia, dovozcovia alebo distribútori, ktorých elektronické registračné pokladnice spĺňajú technické podmienky podľa zákona účinného od 1. januára 2015, avšak z objektívnych príčin nestihli absolvovať certifikáciu, splnenie podmienky on-line pripojenia elektronickej registračnej pokladnice s informačnými systémami finančnej správy deklarovali vyhlásením.</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K bodu 56 – Príloha č. 1</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Rozšírenie služieb, ktoré podliehajú evidencii prijatých tržieb na elektronickej registračnej pokladnici, resp. virtuálnej registračnej pokladnici sa navrhuje z dôvodu, aby nedochádzalo pri poskytovaní týchto služieb zo strany podnikateľov ku kráteniu prijatých tržieb, ako aj z dôvodu ochrany spotrebiteľa, t. j. aby zákazník dostal pri zaplatení relevantný pokladničný doklad. </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rPr>
          <w:rFonts w:ascii="Times New Roman" w:hAnsi="Times New Roman"/>
          <w:color w:val="000000"/>
        </w:rPr>
      </w:pPr>
      <w:r w:rsidRPr="00694932">
        <w:rPr>
          <w:rFonts w:ascii="Times New Roman" w:hAnsi="Times New Roman"/>
          <w:b/>
          <w:color w:val="000000"/>
        </w:rPr>
        <w:t>K bodu 57 – Príloha č. 3</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Vzhľadom na to, že certifikáciu elektronických registračných pokladníc nebudú vykonávať akreditované osoby, ale Colný úrad Bratislava, je potrebné s prihliadnutím na túto skutočnosť upraviť prílohu č. 3.</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w:t>
      </w:r>
    </w:p>
    <w:p w:rsidR="004F4B99" w:rsidRPr="00694932" w:rsidP="004F4B99">
      <w:pPr>
        <w:bidi w:val="0"/>
        <w:adjustRightInd w:val="0"/>
        <w:jc w:val="both"/>
        <w:rPr>
          <w:rFonts w:ascii="Times New Roman" w:hAnsi="Times New Roman"/>
          <w:color w:val="000000"/>
        </w:rPr>
      </w:pPr>
      <w:r w:rsidRPr="00694932">
        <w:rPr>
          <w:rFonts w:ascii="Times New Roman" w:hAnsi="Times New Roman"/>
          <w:b/>
          <w:color w:val="000000"/>
        </w:rPr>
        <w:t>K bodu 58</w:t>
      </w:r>
    </w:p>
    <w:p w:rsidR="004F4B99" w:rsidRPr="00694932" w:rsidP="004F4B99">
      <w:pPr>
        <w:bidi w:val="0"/>
        <w:adjustRightInd w:val="0"/>
        <w:jc w:val="both"/>
        <w:rPr>
          <w:rFonts w:ascii="Times New Roman" w:hAnsi="Times New Roman"/>
          <w:color w:val="000000"/>
        </w:rPr>
      </w:pPr>
      <w:r w:rsidRPr="00694932">
        <w:rPr>
          <w:rFonts w:ascii="Times New Roman" w:hAnsi="Times New Roman"/>
          <w:color w:val="000000"/>
        </w:rPr>
        <w:t xml:space="preserve">Vzhľadom na to, že v niektorých ďalších zákonoch, ako napr. v zákone č. 222/2004 Z. z. o dani z pridanej hodnoty v znení neskorších predpisov, zákone č. 171/2005 Z. z. o hazardných hrách a o zmene a doplnení niektorých zákonov v znení neskorších predpisov alebo v zákone </w:t>
        <w:br/>
        <w:t xml:space="preserve">č. 563/2009 Z. z. o správe daní (daňový poriadok) a o zmene a doplnení niektorých zákonov v znení neskorších predpisov sa používajú slová elektronická registračná pokladnica, navrhuje sa, aby tento pojem zahŕňal aj virtuálnu registračnú pokladnicu. </w:t>
      </w:r>
    </w:p>
    <w:p w:rsidR="004F4B99" w:rsidP="004F4B99">
      <w:pPr>
        <w:shd w:val="solid" w:color="FFFFFF" w:fill="auto"/>
        <w:bidi w:val="0"/>
        <w:adjustRightInd w:val="0"/>
        <w:rPr>
          <w:rFonts w:ascii="Times New Roman" w:hAnsi="Times New Roman"/>
          <w:b/>
          <w:lang w:val="en-US"/>
        </w:rPr>
      </w:pPr>
      <w:r w:rsidRPr="00E37FC6">
        <w:rPr>
          <w:rFonts w:ascii="Times New Roman" w:hAnsi="Times New Roman"/>
          <w:b/>
          <w:lang w:val="en-US"/>
        </w:rPr>
        <w:t> </w:t>
      </w:r>
    </w:p>
    <w:p w:rsidR="004F4B99" w:rsidP="004F4B99">
      <w:pPr>
        <w:shd w:val="solid" w:color="FFFFFF" w:fill="auto"/>
        <w:bidi w:val="0"/>
        <w:adjustRightInd w:val="0"/>
        <w:rPr>
          <w:rFonts w:ascii="Times New Roman" w:hAnsi="Times New Roman"/>
          <w:b/>
          <w:lang w:val="en-US"/>
        </w:rPr>
      </w:pPr>
    </w:p>
    <w:p w:rsidR="004F4B99" w:rsidRPr="00E37FC6" w:rsidP="004F4B99">
      <w:pPr>
        <w:shd w:val="solid" w:color="FFFFFF" w:fill="auto"/>
        <w:bidi w:val="0"/>
        <w:adjustRightInd w:val="0"/>
        <w:rPr>
          <w:rFonts w:ascii="Times New Roman" w:hAnsi="Times New Roman"/>
          <w:b/>
        </w:rPr>
      </w:pP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r w:rsidRPr="00E37FC6">
        <w:rPr>
          <w:rFonts w:ascii="Times New Roman" w:hAnsi="Times New Roman"/>
          <w:b/>
          <w:sz w:val="24"/>
          <w:szCs w:val="24"/>
        </w:rPr>
        <w:t>K Čl. VIII</w:t>
      </w:r>
    </w:p>
    <w:p w:rsidR="004F4B99" w:rsidRPr="00E37FC6" w:rsidP="004F4B99">
      <w:pPr>
        <w:pStyle w:val="ListParagraph"/>
        <w:shd w:val="clear" w:color="auto" w:fill="FFFFFF"/>
        <w:tabs>
          <w:tab w:val="left" w:pos="142"/>
        </w:tabs>
        <w:bidi w:val="0"/>
        <w:spacing w:after="0" w:line="240" w:lineRule="auto"/>
        <w:ind w:left="0"/>
        <w:contextualSpacing w:val="0"/>
        <w:jc w:val="both"/>
        <w:rPr>
          <w:rFonts w:ascii="Times New Roman" w:hAnsi="Times New Roman"/>
          <w:b/>
          <w:sz w:val="24"/>
          <w:szCs w:val="24"/>
        </w:rPr>
      </w:pPr>
      <w:r w:rsidRPr="00E37FC6">
        <w:rPr>
          <w:rFonts w:ascii="Times New Roman" w:hAnsi="Times New Roman"/>
          <w:sz w:val="24"/>
          <w:szCs w:val="24"/>
        </w:rPr>
        <w:t xml:space="preserve">Predkladaným legislatívnym návrhom sa upravuje postup  orgánu dozoru pri osvedčovaní číselnej lotérie s názvom „Eurojackpot“, čím sa  umožní národnej lotériovej spoločnosti prevádzkovať novú štátnu číselnú lotériu.  </w:t>
      </w:r>
    </w:p>
    <w:p w:rsidR="004F4B99" w:rsidRPr="00E37FC6" w:rsidP="004F4B99">
      <w:pPr>
        <w:pStyle w:val="ListParagraph"/>
        <w:shd w:val="clear" w:color="auto" w:fill="FFFFFF"/>
        <w:tabs>
          <w:tab w:val="left" w:pos="142"/>
        </w:tabs>
        <w:bidi w:val="0"/>
        <w:spacing w:after="0" w:line="240" w:lineRule="auto"/>
        <w:ind w:left="0"/>
        <w:contextualSpacing w:val="0"/>
        <w:rPr>
          <w:rFonts w:ascii="Times New Roman" w:hAnsi="Times New Roman"/>
          <w:b/>
          <w:sz w:val="24"/>
          <w:szCs w:val="24"/>
        </w:rPr>
      </w:pPr>
    </w:p>
    <w:p w:rsidR="004F4B99" w:rsidRPr="00E37FC6" w:rsidP="004F4B99">
      <w:pPr>
        <w:shd w:val="clear" w:color="auto" w:fill="FFFFFF"/>
        <w:bidi w:val="0"/>
        <w:rPr>
          <w:rFonts w:ascii="Times New Roman" w:hAnsi="Times New Roman"/>
          <w:b/>
        </w:rPr>
      </w:pPr>
      <w:r w:rsidRPr="00E37FC6">
        <w:rPr>
          <w:rFonts w:ascii="Times New Roman" w:hAnsi="Times New Roman"/>
          <w:b/>
        </w:rPr>
        <w:t>K Čl. IX</w:t>
      </w:r>
    </w:p>
    <w:p w:rsidR="004F4B99" w:rsidRPr="00405867" w:rsidP="004F4B99">
      <w:pPr>
        <w:bidi w:val="0"/>
        <w:jc w:val="both"/>
        <w:rPr>
          <w:rFonts w:ascii="Times New Roman" w:hAnsi="Times New Roman"/>
        </w:rPr>
      </w:pPr>
      <w:r w:rsidRPr="00405867">
        <w:rPr>
          <w:rFonts w:ascii="Times New Roman" w:hAnsi="Times New Roman"/>
        </w:rPr>
        <w:t xml:space="preserve">Tento zákon nadobúda účinnosť 1. decembra 2014 okrem čl. I až VII,  ktoré nadobúdajú účinnosť 1. januára 2015 a okrem čl. VI § 10 písm. b) a čl. VII </w:t>
      </w:r>
      <w:r w:rsidRPr="00405867">
        <w:rPr>
          <w:rFonts w:ascii="Times New Roman" w:hAnsi="Times New Roman"/>
          <w:bCs/>
        </w:rPr>
        <w:t xml:space="preserve">bodov 1 až 3, 5 až 7, </w:t>
        <w:br/>
      </w:r>
      <w:r w:rsidRPr="00405867">
        <w:rPr>
          <w:rFonts w:ascii="Times New Roman" w:hAnsi="Times New Roman"/>
          <w:lang w:val="en-US"/>
        </w:rPr>
        <w:t xml:space="preserve">§ 2 písm. x) časti vety za bodkočiarkou v bode 8, bodov </w:t>
      </w:r>
      <w:r w:rsidRPr="00405867">
        <w:rPr>
          <w:rFonts w:ascii="Times New Roman" w:hAnsi="Times New Roman"/>
          <w:bCs/>
        </w:rPr>
        <w:t>9, 10, 12 až 23, 25 až 30, § 8 ods. 4 poslednej vety v bode 31, bodov 32 až 47, § 16b ods. 7 poslednej vety v bode 50,  bodov 52, 53, 57 a 58, ktoré nadobúdajú účinnosť 1. apríla 2015</w:t>
      </w:r>
      <w:r w:rsidRPr="00405867">
        <w:rPr>
          <w:rFonts w:ascii="Times New Roman" w:hAnsi="Times New Roman"/>
        </w:rPr>
        <w:t>.</w:t>
      </w:r>
    </w:p>
    <w:p w:rsidR="004F4B99">
      <w:pPr>
        <w:bidi w:val="0"/>
        <w:rPr>
          <w:rFonts w:ascii="Times New Roman" w:hAnsi="Times New Roman"/>
        </w:rPr>
      </w:pPr>
    </w:p>
    <w:p w:rsidR="004F4B99">
      <w:pPr>
        <w:bidi w:val="0"/>
        <w:rPr>
          <w:rFonts w:ascii="Times New Roman" w:hAnsi="Times New Roman"/>
        </w:rPr>
      </w:pPr>
    </w:p>
    <w:p w:rsidR="009107A4">
      <w:pPr>
        <w:bidi w:val="0"/>
        <w:rPr>
          <w:rFonts w:ascii="Times New Roman" w:hAnsi="Times New Roman"/>
        </w:rPr>
      </w:pPr>
    </w:p>
    <w:p w:rsidR="00FB73D8" w:rsidP="00FB73D8">
      <w:pPr>
        <w:bidi w:val="0"/>
        <w:rPr>
          <w:rFonts w:ascii="Times New Roman" w:hAnsi="Times New Roman"/>
        </w:rPr>
      </w:pPr>
      <w:r w:rsidRPr="00C22376">
        <w:rPr>
          <w:rFonts w:ascii="Times New Roman" w:hAnsi="Times New Roman"/>
        </w:rPr>
        <w:t xml:space="preserve">Schválené uznesením vlády Slovenskej republiky dňa </w:t>
      </w:r>
      <w:r w:rsidR="0049748D">
        <w:rPr>
          <w:rFonts w:ascii="Times New Roman" w:hAnsi="Times New Roman"/>
        </w:rPr>
        <w:t>20. augusta 2014.</w:t>
      </w: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4F4B99" w:rsidP="00FB73D8">
      <w:pPr>
        <w:bidi w:val="0"/>
        <w:rPr>
          <w:rFonts w:ascii="Times New Roman" w:hAnsi="Times New Roman"/>
        </w:rPr>
      </w:pPr>
    </w:p>
    <w:p w:rsidR="004F4B99"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pStyle w:val="Heading3"/>
        <w:bidi w:val="0"/>
        <w:spacing w:before="0" w:after="0"/>
        <w:jc w:val="center"/>
        <w:rPr>
          <w:rFonts w:ascii="Times New Roman" w:hAnsi="Times New Roman"/>
          <w:bCs w:val="0"/>
          <w:sz w:val="24"/>
        </w:rPr>
      </w:pPr>
      <w:r>
        <w:rPr>
          <w:rFonts w:ascii="Times New Roman" w:hAnsi="Times New Roman"/>
          <w:bCs w:val="0"/>
          <w:sz w:val="24"/>
        </w:rPr>
        <w:t>Robert Fico</w:t>
      </w:r>
      <w:r w:rsidR="0021164F">
        <w:rPr>
          <w:rFonts w:ascii="Times New Roman" w:hAnsi="Times New Roman"/>
          <w:bCs w:val="0"/>
          <w:sz w:val="24"/>
        </w:rPr>
        <w:t>, v.r.</w:t>
      </w:r>
      <w:r>
        <w:rPr>
          <w:rFonts w:ascii="Times New Roman" w:hAnsi="Times New Roman"/>
          <w:bCs w:val="0"/>
          <w:sz w:val="24"/>
        </w:rPr>
        <w:t xml:space="preserve"> </w:t>
      </w:r>
    </w:p>
    <w:p w:rsidR="00FB73D8" w:rsidRPr="0025414D" w:rsidP="00FB73D8">
      <w:pPr>
        <w:bidi w:val="0"/>
        <w:rPr>
          <w:rFonts w:ascii="Times New Roman" w:hAnsi="Times New Roman"/>
        </w:rPr>
      </w:pPr>
    </w:p>
    <w:p w:rsidR="00FB73D8" w:rsidP="00FB73D8">
      <w:pPr>
        <w:bidi w:val="0"/>
        <w:jc w:val="center"/>
        <w:rPr>
          <w:rFonts w:ascii="Times New Roman" w:hAnsi="Times New Roman"/>
        </w:rPr>
      </w:pPr>
      <w:r>
        <w:rPr>
          <w:rFonts w:ascii="Times New Roman" w:hAnsi="Times New Roman"/>
        </w:rPr>
        <w:t>predseda vlády Slovenskej republiky</w:t>
      </w: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bidi w:val="0"/>
        <w:rPr>
          <w:rFonts w:ascii="Times New Roman" w:hAnsi="Times New Roman"/>
        </w:rPr>
      </w:pPr>
    </w:p>
    <w:p w:rsidR="00FB73D8" w:rsidP="00FB73D8">
      <w:pPr>
        <w:pStyle w:val="Heading1"/>
        <w:bidi w:val="0"/>
        <w:jc w:val="center"/>
        <w:rPr>
          <w:sz w:val="24"/>
        </w:rPr>
      </w:pPr>
      <w:r>
        <w:rPr>
          <w:rFonts w:hint="default"/>
          <w:sz w:val="24"/>
        </w:rPr>
        <w:t>Peter Kaž</w:t>
      </w:r>
      <w:r>
        <w:rPr>
          <w:rFonts w:hint="default"/>
          <w:sz w:val="24"/>
        </w:rPr>
        <w:t>imí</w:t>
      </w:r>
      <w:r>
        <w:rPr>
          <w:rFonts w:hint="default"/>
          <w:sz w:val="24"/>
        </w:rPr>
        <w:t>r</w:t>
      </w:r>
      <w:r w:rsidR="0021164F">
        <w:rPr>
          <w:sz w:val="24"/>
        </w:rPr>
        <w:t>, v.r.</w:t>
      </w:r>
    </w:p>
    <w:p w:rsidR="00FB73D8" w:rsidRPr="0025414D" w:rsidP="00FB73D8">
      <w:pPr>
        <w:bidi w:val="0"/>
        <w:rPr>
          <w:rFonts w:ascii="Times New Roman" w:hAnsi="Times New Roman"/>
        </w:rPr>
      </w:pPr>
    </w:p>
    <w:p w:rsidR="00FB73D8" w:rsidP="00FB73D8">
      <w:pPr>
        <w:bidi w:val="0"/>
        <w:jc w:val="center"/>
        <w:rPr>
          <w:rFonts w:ascii="Times New Roman" w:hAnsi="Times New Roman"/>
        </w:rPr>
      </w:pPr>
      <w:r>
        <w:rPr>
          <w:rFonts w:ascii="Times New Roman" w:hAnsi="Times New Roman"/>
        </w:rPr>
        <w:t xml:space="preserve">podpredseda vlády a minister financií </w:t>
      </w:r>
    </w:p>
    <w:p w:rsidR="00FB73D8" w:rsidP="00FB73D8">
      <w:pPr>
        <w:bidi w:val="0"/>
        <w:jc w:val="center"/>
        <w:rPr>
          <w:rFonts w:ascii="Times New Roman" w:hAnsi="Times New Roman"/>
        </w:rPr>
      </w:pPr>
      <w:r>
        <w:rPr>
          <w:rFonts w:ascii="Times New Roman" w:hAnsi="Times New Roman"/>
        </w:rPr>
        <w:t>Slovenskej republiky</w:t>
      </w:r>
    </w:p>
    <w:p w:rsidR="00FB73D8" w:rsidRPr="0045487E" w:rsidP="00210E92">
      <w:pPr>
        <w:shd w:val="clear" w:color="auto" w:fill="FFFFFF"/>
        <w:bidi w:val="0"/>
        <w:rPr>
          <w:rFonts w:ascii="Arial Narrow" w:hAnsi="Arial Narrow"/>
          <w:b/>
          <w:sz w:val="22"/>
          <w:szCs w:val="22"/>
        </w:rPr>
      </w:pP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9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B5051">
      <w:rPr>
        <w:rFonts w:ascii="Times New Roman" w:hAnsi="Times New Roman"/>
        <w:noProof/>
      </w:rPr>
      <w:t>8</w:t>
    </w:r>
    <w:r>
      <w:rPr>
        <w:rFonts w:ascii="Times New Roman" w:hAnsi="Times New Roman"/>
      </w:rPr>
      <w:fldChar w:fldCharType="end"/>
    </w:r>
  </w:p>
  <w:p w:rsidR="004F4B9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2">
    <w:nsid w:val="04777D3C"/>
    <w:multiLevelType w:val="hybridMultilevel"/>
    <w:tmpl w:val="7ACA33B0"/>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4">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1923137A"/>
    <w:multiLevelType w:val="hybridMultilevel"/>
    <w:tmpl w:val="86644D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388495F"/>
    <w:multiLevelType w:val="hybridMultilevel"/>
    <w:tmpl w:val="E7704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ED37E3A"/>
    <w:multiLevelType w:val="hybridMultilevel"/>
    <w:tmpl w:val="97E6E9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0C41EF0"/>
    <w:multiLevelType w:val="hybridMultilevel"/>
    <w:tmpl w:val="C646ECA6"/>
    <w:lvl w:ilvl="0">
      <w:start w:val="4"/>
      <w:numFmt w:val="bullet"/>
      <w:lvlText w:val="-"/>
      <w:lvlJc w:val="left"/>
      <w:pPr>
        <w:ind w:left="720" w:hanging="360"/>
      </w:pPr>
      <w:rPr>
        <w:rFonts w:ascii="Calibri" w:eastAsia="Times New Roman" w:hAnsi="Calibri"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5430316"/>
    <w:multiLevelType w:val="hybridMultilevel"/>
    <w:tmpl w:val="4D563140"/>
    <w:lvl w:ilvl="0">
      <w:start w:val="2"/>
      <w:numFmt w:val="bullet"/>
      <w:lvlText w:val="-"/>
      <w:lvlJc w:val="left"/>
      <w:pPr>
        <w:ind w:left="786" w:hanging="360"/>
      </w:pPr>
      <w:rPr>
        <w:rFonts w:ascii="Arial Narrow" w:eastAsia="Times New Roman" w:hAnsi="Arial Narrow"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0">
    <w:nsid w:val="3E4D517B"/>
    <w:multiLevelType w:val="hybridMultilevel"/>
    <w:tmpl w:val="49BE7FE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E5B7174"/>
    <w:multiLevelType w:val="hybridMultilevel"/>
    <w:tmpl w:val="F7A8A5E8"/>
    <w:lvl w:ilvl="0">
      <w:start w:val="3"/>
      <w:numFmt w:val="bullet"/>
      <w:lvlText w:val="-"/>
      <w:lvlJc w:val="left"/>
      <w:pPr>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3F57231D"/>
    <w:multiLevelType w:val="hybridMultilevel"/>
    <w:tmpl w:val="65C47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nsid w:val="409B3F2C"/>
    <w:multiLevelType w:val="hybridMultilevel"/>
    <w:tmpl w:val="97FAE3E4"/>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4A0C7ED4"/>
    <w:multiLevelType w:val="hybridMultilevel"/>
    <w:tmpl w:val="7F88049A"/>
    <w:lvl w:ilvl="0">
      <w:start w:val="1"/>
      <w:numFmt w:val="bullet"/>
      <w:pStyle w:val="Action"/>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nsid w:val="4B7D4493"/>
    <w:multiLevelType w:val="hybridMultilevel"/>
    <w:tmpl w:val="FD44BF14"/>
    <w:lvl w:ilvl="0">
      <w:start w:val="0"/>
      <w:numFmt w:val="bullet"/>
      <w:lvlText w:val="-"/>
      <w:lvlJc w:val="left"/>
      <w:pPr>
        <w:ind w:left="1065" w:hanging="360"/>
      </w:pPr>
      <w:rPr>
        <w:rFonts w:ascii="Arial Narrow" w:eastAsia="Times New Roman" w:hAnsi="Arial Narrow"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18">
    <w:nsid w:val="4F4D70F9"/>
    <w:multiLevelType w:val="hybridMultilevel"/>
    <w:tmpl w:val="C2D4D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26A6E49"/>
    <w:multiLevelType w:val="hybridMultilevel"/>
    <w:tmpl w:val="1D4EA6C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3E658A9"/>
    <w:multiLevelType w:val="hybridMultilevel"/>
    <w:tmpl w:val="621C45B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5ADC75C1"/>
    <w:multiLevelType w:val="hybridMultilevel"/>
    <w:tmpl w:val="47DE87C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3">
    <w:nsid w:val="5B935997"/>
    <w:multiLevelType w:val="hybridMultilevel"/>
    <w:tmpl w:val="A10CD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C661156"/>
    <w:multiLevelType w:val="hybridMultilevel"/>
    <w:tmpl w:val="7442683C"/>
    <w:lvl w:ilvl="0">
      <w:start w:val="0"/>
      <w:numFmt w:val="bullet"/>
      <w:lvlText w:val="-"/>
      <w:lvlJc w:val="left"/>
      <w:pPr>
        <w:ind w:left="1065" w:hanging="360"/>
      </w:pPr>
      <w:rPr>
        <w:rFonts w:ascii="Arial Narrow" w:eastAsia="Times New Roman" w:hAnsi="Arial Narrow"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25">
    <w:nsid w:val="5C9B77D4"/>
    <w:multiLevelType w:val="multilevel"/>
    <w:tmpl w:val="C262C0B0"/>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ascii="Times New Roman" w:eastAsia="Times New Roman" w:hAnsi="Times New Roman" w:cs="Times New Roman"/>
        <w:b w:val="0"/>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6">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8">
    <w:nsid w:val="5F0F17A7"/>
    <w:multiLevelType w:val="hybridMultilevel"/>
    <w:tmpl w:val="0BCA9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2C858A2"/>
    <w:multiLevelType w:val="hybridMultilevel"/>
    <w:tmpl w:val="351E254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1">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8595FFE"/>
    <w:multiLevelType w:val="hybridMultilevel"/>
    <w:tmpl w:val="BC9C32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nsid w:val="778D40EF"/>
    <w:multiLevelType w:val="hybridMultilevel"/>
    <w:tmpl w:val="49BE7FEE"/>
    <w:lvl w:ilvl="0">
      <w:start w:val="1"/>
      <w:numFmt w:val="upperLetter"/>
      <w:lvlText w:val="%1."/>
      <w:lvlJc w:val="left"/>
      <w:pPr>
        <w:ind w:left="1920" w:hanging="360"/>
      </w:pPr>
      <w:rPr>
        <w:rFonts w:cs="Times New Roman"/>
        <w:rtl w:val="0"/>
        <w:cs w:val="0"/>
      </w:rPr>
    </w:lvl>
    <w:lvl w:ilvl="1">
      <w:start w:val="1"/>
      <w:numFmt w:val="lowerLetter"/>
      <w:lvlText w:val="%2."/>
      <w:lvlJc w:val="left"/>
      <w:pPr>
        <w:ind w:left="2640" w:hanging="360"/>
      </w:pPr>
      <w:rPr>
        <w:rFonts w:cs="Times New Roman"/>
        <w:rtl w:val="0"/>
        <w:cs w:val="0"/>
      </w:rPr>
    </w:lvl>
    <w:lvl w:ilvl="2">
      <w:start w:val="1"/>
      <w:numFmt w:val="lowerRoman"/>
      <w:lvlText w:val="%3."/>
      <w:lvlJc w:val="right"/>
      <w:pPr>
        <w:ind w:left="3360" w:hanging="180"/>
      </w:pPr>
      <w:rPr>
        <w:rFonts w:cs="Times New Roman"/>
        <w:rtl w:val="0"/>
        <w:cs w:val="0"/>
      </w:rPr>
    </w:lvl>
    <w:lvl w:ilvl="3">
      <w:start w:val="1"/>
      <w:numFmt w:val="decimal"/>
      <w:lvlText w:val="%4."/>
      <w:lvlJc w:val="left"/>
      <w:pPr>
        <w:ind w:left="4080" w:hanging="360"/>
      </w:pPr>
      <w:rPr>
        <w:rFonts w:cs="Times New Roman"/>
        <w:rtl w:val="0"/>
        <w:cs w:val="0"/>
      </w:rPr>
    </w:lvl>
    <w:lvl w:ilvl="4">
      <w:start w:val="1"/>
      <w:numFmt w:val="lowerLetter"/>
      <w:lvlText w:val="%5."/>
      <w:lvlJc w:val="left"/>
      <w:pPr>
        <w:ind w:left="4800" w:hanging="360"/>
      </w:pPr>
      <w:rPr>
        <w:rFonts w:cs="Times New Roman"/>
        <w:rtl w:val="0"/>
        <w:cs w:val="0"/>
      </w:rPr>
    </w:lvl>
    <w:lvl w:ilvl="5">
      <w:start w:val="1"/>
      <w:numFmt w:val="lowerRoman"/>
      <w:lvlText w:val="%6."/>
      <w:lvlJc w:val="right"/>
      <w:pPr>
        <w:ind w:left="5520" w:hanging="180"/>
      </w:pPr>
      <w:rPr>
        <w:rFonts w:cs="Times New Roman"/>
        <w:rtl w:val="0"/>
        <w:cs w:val="0"/>
      </w:rPr>
    </w:lvl>
    <w:lvl w:ilvl="6">
      <w:start w:val="1"/>
      <w:numFmt w:val="decimal"/>
      <w:lvlText w:val="%7."/>
      <w:lvlJc w:val="left"/>
      <w:pPr>
        <w:ind w:left="6240" w:hanging="360"/>
      </w:pPr>
      <w:rPr>
        <w:rFonts w:cs="Times New Roman"/>
        <w:rtl w:val="0"/>
        <w:cs w:val="0"/>
      </w:rPr>
    </w:lvl>
    <w:lvl w:ilvl="7">
      <w:start w:val="1"/>
      <w:numFmt w:val="lowerLetter"/>
      <w:lvlText w:val="%8."/>
      <w:lvlJc w:val="left"/>
      <w:pPr>
        <w:ind w:left="6960" w:hanging="360"/>
      </w:pPr>
      <w:rPr>
        <w:rFonts w:cs="Times New Roman"/>
        <w:rtl w:val="0"/>
        <w:cs w:val="0"/>
      </w:rPr>
    </w:lvl>
    <w:lvl w:ilvl="8">
      <w:start w:val="1"/>
      <w:numFmt w:val="lowerRoman"/>
      <w:lvlText w:val="%9."/>
      <w:lvlJc w:val="right"/>
      <w:pPr>
        <w:ind w:left="7680" w:hanging="180"/>
      </w:pPr>
      <w:rPr>
        <w:rFonts w:cs="Times New Roman"/>
        <w:rtl w:val="0"/>
        <w:cs w:val="0"/>
      </w:rPr>
    </w:lvl>
  </w:abstractNum>
  <w:abstractNum w:abstractNumId="35">
    <w:nsid w:val="77D3256A"/>
    <w:multiLevelType w:val="hybridMultilevel"/>
    <w:tmpl w:val="23F8628E"/>
    <w:lvl w:ilvl="0">
      <w:start w:val="1"/>
      <w:numFmt w:val="low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A4B6A39"/>
    <w:multiLevelType w:val="hybridMultilevel"/>
    <w:tmpl w:val="A7DAE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E6C4485"/>
    <w:multiLevelType w:val="hybridMultilevel"/>
    <w:tmpl w:val="45ECE314"/>
    <w:lvl w:ilvl="0">
      <w:start w:val="6"/>
      <w:numFmt w:val="bullet"/>
      <w:lvlText w:val="-"/>
      <w:lvlJc w:val="left"/>
      <w:pPr>
        <w:ind w:left="1292" w:hanging="360"/>
      </w:pPr>
      <w:rPr>
        <w:rFonts w:ascii="Times New Roman" w:eastAsia="Times New Roman" w:hAnsi="Times New Roman" w:hint="default"/>
      </w:rPr>
    </w:lvl>
    <w:lvl w:ilvl="1">
      <w:start w:val="1"/>
      <w:numFmt w:val="bullet"/>
      <w:lvlText w:val="o"/>
      <w:lvlJc w:val="left"/>
      <w:pPr>
        <w:ind w:left="2012" w:hanging="360"/>
      </w:pPr>
      <w:rPr>
        <w:rFonts w:ascii="Courier New" w:hAnsi="Courier New" w:hint="default"/>
      </w:rPr>
    </w:lvl>
    <w:lvl w:ilvl="2">
      <w:start w:val="1"/>
      <w:numFmt w:val="bullet"/>
      <w:lvlText w:val=""/>
      <w:lvlJc w:val="left"/>
      <w:pPr>
        <w:ind w:left="2732" w:hanging="360"/>
      </w:pPr>
      <w:rPr>
        <w:rFonts w:ascii="Wingdings" w:hAnsi="Wingdings" w:hint="default"/>
      </w:rPr>
    </w:lvl>
    <w:lvl w:ilvl="3">
      <w:start w:val="1"/>
      <w:numFmt w:val="bullet"/>
      <w:lvlText w:val=""/>
      <w:lvlJc w:val="left"/>
      <w:pPr>
        <w:ind w:left="3452" w:hanging="360"/>
      </w:pPr>
      <w:rPr>
        <w:rFonts w:ascii="Symbol" w:hAnsi="Symbol" w:hint="default"/>
      </w:rPr>
    </w:lvl>
    <w:lvl w:ilvl="4">
      <w:start w:val="1"/>
      <w:numFmt w:val="bullet"/>
      <w:lvlText w:val="o"/>
      <w:lvlJc w:val="left"/>
      <w:pPr>
        <w:ind w:left="4172" w:hanging="360"/>
      </w:pPr>
      <w:rPr>
        <w:rFonts w:ascii="Courier New" w:hAnsi="Courier New" w:hint="default"/>
      </w:rPr>
    </w:lvl>
    <w:lvl w:ilvl="5">
      <w:start w:val="1"/>
      <w:numFmt w:val="bullet"/>
      <w:lvlText w:val=""/>
      <w:lvlJc w:val="left"/>
      <w:pPr>
        <w:ind w:left="4892" w:hanging="360"/>
      </w:pPr>
      <w:rPr>
        <w:rFonts w:ascii="Wingdings" w:hAnsi="Wingdings" w:hint="default"/>
      </w:rPr>
    </w:lvl>
    <w:lvl w:ilvl="6">
      <w:start w:val="1"/>
      <w:numFmt w:val="bullet"/>
      <w:lvlText w:val=""/>
      <w:lvlJc w:val="left"/>
      <w:pPr>
        <w:ind w:left="5612" w:hanging="360"/>
      </w:pPr>
      <w:rPr>
        <w:rFonts w:ascii="Symbol" w:hAnsi="Symbol" w:hint="default"/>
      </w:rPr>
    </w:lvl>
    <w:lvl w:ilvl="7">
      <w:start w:val="1"/>
      <w:numFmt w:val="bullet"/>
      <w:lvlText w:val="o"/>
      <w:lvlJc w:val="left"/>
      <w:pPr>
        <w:ind w:left="6332" w:hanging="360"/>
      </w:pPr>
      <w:rPr>
        <w:rFonts w:ascii="Courier New" w:hAnsi="Courier New" w:hint="default"/>
      </w:rPr>
    </w:lvl>
    <w:lvl w:ilvl="8">
      <w:start w:val="1"/>
      <w:numFmt w:val="bullet"/>
      <w:lvlText w:val=""/>
      <w:lvlJc w:val="left"/>
      <w:pPr>
        <w:ind w:left="7052" w:hanging="360"/>
      </w:pPr>
      <w:rPr>
        <w:rFonts w:ascii="Wingdings" w:hAnsi="Wingdings" w:hint="default"/>
      </w:rPr>
    </w:lvl>
  </w:abstractNum>
  <w:num w:numId="1">
    <w:abstractNumId w:val="5"/>
  </w:num>
  <w:num w:numId="2">
    <w:abstractNumId w:val="14"/>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1"/>
  </w:num>
  <w:num w:numId="8">
    <w:abstractNumId w:val="16"/>
  </w:num>
  <w:num w:numId="9">
    <w:abstractNumId w:val="10"/>
  </w:num>
  <w:num w:numId="10">
    <w:abstractNumId w:val="25"/>
  </w:num>
  <w:num w:numId="11">
    <w:abstractNumId w:val="31"/>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30"/>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26"/>
  </w:num>
  <w:num w:numId="19">
    <w:abstractNumId w:val="33"/>
  </w:num>
  <w:num w:numId="20">
    <w:abstractNumId w:val="27"/>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12"/>
  </w:num>
  <w:num w:numId="26">
    <w:abstractNumId w:val="6"/>
  </w:num>
  <w:num w:numId="27">
    <w:abstractNumId w:val="17"/>
  </w:num>
  <w:num w:numId="28">
    <w:abstractNumId w:val="23"/>
  </w:num>
  <w:num w:numId="29">
    <w:abstractNumId w:val="24"/>
  </w:num>
  <w:num w:numId="30">
    <w:abstractNumId w:val="34"/>
  </w:num>
  <w:num w:numId="31">
    <w:abstractNumId w:val="21"/>
  </w:num>
  <w:num w:numId="32">
    <w:abstractNumId w:val="29"/>
  </w:num>
  <w:num w:numId="33">
    <w:abstractNumId w:val="36"/>
  </w:num>
  <w:num w:numId="34">
    <w:abstractNumId w:val="19"/>
  </w:num>
  <w:num w:numId="35">
    <w:abstractNumId w:val="37"/>
  </w:num>
  <w:num w:numId="36">
    <w:abstractNumId w:val="2"/>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6E0690"/>
    <w:rsid w:val="000010ED"/>
    <w:rsid w:val="00002BE3"/>
    <w:rsid w:val="000042AB"/>
    <w:rsid w:val="00005508"/>
    <w:rsid w:val="00014224"/>
    <w:rsid w:val="000147D6"/>
    <w:rsid w:val="00030E29"/>
    <w:rsid w:val="000356A4"/>
    <w:rsid w:val="00040607"/>
    <w:rsid w:val="000452BE"/>
    <w:rsid w:val="00051E4E"/>
    <w:rsid w:val="0005566C"/>
    <w:rsid w:val="0005720E"/>
    <w:rsid w:val="000615D6"/>
    <w:rsid w:val="000627E0"/>
    <w:rsid w:val="00064552"/>
    <w:rsid w:val="000725F5"/>
    <w:rsid w:val="00097D68"/>
    <w:rsid w:val="000A21CE"/>
    <w:rsid w:val="000B2423"/>
    <w:rsid w:val="000B4854"/>
    <w:rsid w:val="000B6BD2"/>
    <w:rsid w:val="000C39FB"/>
    <w:rsid w:val="000D0B69"/>
    <w:rsid w:val="000D5CB2"/>
    <w:rsid w:val="000E1B71"/>
    <w:rsid w:val="000E479A"/>
    <w:rsid w:val="000E47F3"/>
    <w:rsid w:val="000E550D"/>
    <w:rsid w:val="000F3983"/>
    <w:rsid w:val="000F615A"/>
    <w:rsid w:val="000F698D"/>
    <w:rsid w:val="00102694"/>
    <w:rsid w:val="001034D2"/>
    <w:rsid w:val="00106287"/>
    <w:rsid w:val="0011564A"/>
    <w:rsid w:val="00116DD5"/>
    <w:rsid w:val="0012135C"/>
    <w:rsid w:val="0012245E"/>
    <w:rsid w:val="00127475"/>
    <w:rsid w:val="00127A36"/>
    <w:rsid w:val="001301F3"/>
    <w:rsid w:val="00146613"/>
    <w:rsid w:val="00154A9B"/>
    <w:rsid w:val="00154C23"/>
    <w:rsid w:val="001567E0"/>
    <w:rsid w:val="00165B39"/>
    <w:rsid w:val="00167EAA"/>
    <w:rsid w:val="00175349"/>
    <w:rsid w:val="00180E66"/>
    <w:rsid w:val="001819D4"/>
    <w:rsid w:val="00187697"/>
    <w:rsid w:val="001A50BF"/>
    <w:rsid w:val="001B6560"/>
    <w:rsid w:val="001C4D51"/>
    <w:rsid w:val="001D06E7"/>
    <w:rsid w:val="001D127A"/>
    <w:rsid w:val="001D21C8"/>
    <w:rsid w:val="001D2C76"/>
    <w:rsid w:val="001D3FED"/>
    <w:rsid w:val="001E4364"/>
    <w:rsid w:val="001F09BE"/>
    <w:rsid w:val="001F1378"/>
    <w:rsid w:val="002027A5"/>
    <w:rsid w:val="00205B08"/>
    <w:rsid w:val="00207C1A"/>
    <w:rsid w:val="00210E92"/>
    <w:rsid w:val="0021164F"/>
    <w:rsid w:val="00223730"/>
    <w:rsid w:val="002425CD"/>
    <w:rsid w:val="00246D0F"/>
    <w:rsid w:val="00253B48"/>
    <w:rsid w:val="0025414D"/>
    <w:rsid w:val="00264EAC"/>
    <w:rsid w:val="002710E2"/>
    <w:rsid w:val="00272C40"/>
    <w:rsid w:val="00275B7C"/>
    <w:rsid w:val="00284C11"/>
    <w:rsid w:val="00285631"/>
    <w:rsid w:val="002857DB"/>
    <w:rsid w:val="00286A81"/>
    <w:rsid w:val="0029203B"/>
    <w:rsid w:val="0029455C"/>
    <w:rsid w:val="002A0DDB"/>
    <w:rsid w:val="002B3869"/>
    <w:rsid w:val="002C21A0"/>
    <w:rsid w:val="002E0F87"/>
    <w:rsid w:val="002E650F"/>
    <w:rsid w:val="002E6EDE"/>
    <w:rsid w:val="00301E98"/>
    <w:rsid w:val="003109A0"/>
    <w:rsid w:val="00311A88"/>
    <w:rsid w:val="00312984"/>
    <w:rsid w:val="0031439D"/>
    <w:rsid w:val="00317121"/>
    <w:rsid w:val="00321E48"/>
    <w:rsid w:val="00322D1B"/>
    <w:rsid w:val="00323053"/>
    <w:rsid w:val="00325560"/>
    <w:rsid w:val="003276BC"/>
    <w:rsid w:val="00330621"/>
    <w:rsid w:val="003528A1"/>
    <w:rsid w:val="0036581A"/>
    <w:rsid w:val="00390983"/>
    <w:rsid w:val="00392DDF"/>
    <w:rsid w:val="003B38DC"/>
    <w:rsid w:val="003B7B98"/>
    <w:rsid w:val="003C0779"/>
    <w:rsid w:val="003C1066"/>
    <w:rsid w:val="003C2FB8"/>
    <w:rsid w:val="003C76F2"/>
    <w:rsid w:val="003E7770"/>
    <w:rsid w:val="003F1E17"/>
    <w:rsid w:val="003F3B01"/>
    <w:rsid w:val="004017A6"/>
    <w:rsid w:val="0040303F"/>
    <w:rsid w:val="00405867"/>
    <w:rsid w:val="00430DF6"/>
    <w:rsid w:val="0043120B"/>
    <w:rsid w:val="00431315"/>
    <w:rsid w:val="004321B9"/>
    <w:rsid w:val="00435173"/>
    <w:rsid w:val="0043579A"/>
    <w:rsid w:val="00437ED1"/>
    <w:rsid w:val="004402D4"/>
    <w:rsid w:val="00444065"/>
    <w:rsid w:val="0045487E"/>
    <w:rsid w:val="004606FC"/>
    <w:rsid w:val="00463D31"/>
    <w:rsid w:val="00465AE1"/>
    <w:rsid w:val="0047032D"/>
    <w:rsid w:val="00474FD9"/>
    <w:rsid w:val="004753DC"/>
    <w:rsid w:val="00493504"/>
    <w:rsid w:val="00495317"/>
    <w:rsid w:val="00496DB9"/>
    <w:rsid w:val="00496E2E"/>
    <w:rsid w:val="0049748D"/>
    <w:rsid w:val="0049774D"/>
    <w:rsid w:val="004A39FC"/>
    <w:rsid w:val="004A4E0D"/>
    <w:rsid w:val="004B1A49"/>
    <w:rsid w:val="004C6FC7"/>
    <w:rsid w:val="004D3C22"/>
    <w:rsid w:val="004E335D"/>
    <w:rsid w:val="004E3FE9"/>
    <w:rsid w:val="004F4B99"/>
    <w:rsid w:val="004F5C63"/>
    <w:rsid w:val="004F6503"/>
    <w:rsid w:val="004F6BD6"/>
    <w:rsid w:val="004F774A"/>
    <w:rsid w:val="004F7CDA"/>
    <w:rsid w:val="00502CD0"/>
    <w:rsid w:val="00515F3B"/>
    <w:rsid w:val="00525984"/>
    <w:rsid w:val="00531156"/>
    <w:rsid w:val="005311FC"/>
    <w:rsid w:val="00534A92"/>
    <w:rsid w:val="0054013B"/>
    <w:rsid w:val="00541858"/>
    <w:rsid w:val="00542DBA"/>
    <w:rsid w:val="0054483F"/>
    <w:rsid w:val="005451BE"/>
    <w:rsid w:val="005529FE"/>
    <w:rsid w:val="0056176D"/>
    <w:rsid w:val="0056281B"/>
    <w:rsid w:val="00567693"/>
    <w:rsid w:val="00573705"/>
    <w:rsid w:val="0057390F"/>
    <w:rsid w:val="00574811"/>
    <w:rsid w:val="005819D1"/>
    <w:rsid w:val="00586376"/>
    <w:rsid w:val="00586F9E"/>
    <w:rsid w:val="005957D4"/>
    <w:rsid w:val="005A0241"/>
    <w:rsid w:val="005A0519"/>
    <w:rsid w:val="005A14AC"/>
    <w:rsid w:val="005A4C35"/>
    <w:rsid w:val="005B3417"/>
    <w:rsid w:val="005B416D"/>
    <w:rsid w:val="005D3BE6"/>
    <w:rsid w:val="005D453E"/>
    <w:rsid w:val="005D5DEA"/>
    <w:rsid w:val="005F4C10"/>
    <w:rsid w:val="005F586B"/>
    <w:rsid w:val="00601DAA"/>
    <w:rsid w:val="006058D3"/>
    <w:rsid w:val="00620E17"/>
    <w:rsid w:val="00625479"/>
    <w:rsid w:val="00626680"/>
    <w:rsid w:val="00627A0C"/>
    <w:rsid w:val="00634470"/>
    <w:rsid w:val="00634F4E"/>
    <w:rsid w:val="00642C83"/>
    <w:rsid w:val="00646F72"/>
    <w:rsid w:val="00654F52"/>
    <w:rsid w:val="00660100"/>
    <w:rsid w:val="00666382"/>
    <w:rsid w:val="00672B46"/>
    <w:rsid w:val="00672E4C"/>
    <w:rsid w:val="00675E05"/>
    <w:rsid w:val="00683B29"/>
    <w:rsid w:val="00692D56"/>
    <w:rsid w:val="00693521"/>
    <w:rsid w:val="00694932"/>
    <w:rsid w:val="00697CB2"/>
    <w:rsid w:val="006A3015"/>
    <w:rsid w:val="006A5B43"/>
    <w:rsid w:val="006A6E33"/>
    <w:rsid w:val="006A7BE2"/>
    <w:rsid w:val="006B1F81"/>
    <w:rsid w:val="006C0675"/>
    <w:rsid w:val="006C0EEB"/>
    <w:rsid w:val="006C3A8C"/>
    <w:rsid w:val="006D1951"/>
    <w:rsid w:val="006E0690"/>
    <w:rsid w:val="006E1FAD"/>
    <w:rsid w:val="006E22A4"/>
    <w:rsid w:val="006E49C9"/>
    <w:rsid w:val="006F115D"/>
    <w:rsid w:val="006F1CB2"/>
    <w:rsid w:val="006F2E2F"/>
    <w:rsid w:val="006F796D"/>
    <w:rsid w:val="00700856"/>
    <w:rsid w:val="00707E33"/>
    <w:rsid w:val="0071127A"/>
    <w:rsid w:val="00712B70"/>
    <w:rsid w:val="007202CF"/>
    <w:rsid w:val="007321AF"/>
    <w:rsid w:val="007353C5"/>
    <w:rsid w:val="00735B83"/>
    <w:rsid w:val="007369B0"/>
    <w:rsid w:val="00736EB2"/>
    <w:rsid w:val="00743DE6"/>
    <w:rsid w:val="00746D2A"/>
    <w:rsid w:val="00751EF5"/>
    <w:rsid w:val="00762A31"/>
    <w:rsid w:val="00775010"/>
    <w:rsid w:val="007767CE"/>
    <w:rsid w:val="00776D17"/>
    <w:rsid w:val="007905FD"/>
    <w:rsid w:val="00791FF6"/>
    <w:rsid w:val="00796350"/>
    <w:rsid w:val="00796DFC"/>
    <w:rsid w:val="00797D66"/>
    <w:rsid w:val="007B0C4C"/>
    <w:rsid w:val="007B300C"/>
    <w:rsid w:val="007B5051"/>
    <w:rsid w:val="007C4E00"/>
    <w:rsid w:val="007D1877"/>
    <w:rsid w:val="007D7D2A"/>
    <w:rsid w:val="007E05AD"/>
    <w:rsid w:val="007E5AD2"/>
    <w:rsid w:val="007F01CF"/>
    <w:rsid w:val="007F192A"/>
    <w:rsid w:val="008067A8"/>
    <w:rsid w:val="00806B71"/>
    <w:rsid w:val="00807300"/>
    <w:rsid w:val="00807931"/>
    <w:rsid w:val="00815F88"/>
    <w:rsid w:val="00821432"/>
    <w:rsid w:val="00825A32"/>
    <w:rsid w:val="008278B7"/>
    <w:rsid w:val="0084524A"/>
    <w:rsid w:val="008461B4"/>
    <w:rsid w:val="008474C5"/>
    <w:rsid w:val="0085091E"/>
    <w:rsid w:val="00853065"/>
    <w:rsid w:val="008572D1"/>
    <w:rsid w:val="00860707"/>
    <w:rsid w:val="0086154F"/>
    <w:rsid w:val="00865041"/>
    <w:rsid w:val="00865AB4"/>
    <w:rsid w:val="008670C1"/>
    <w:rsid w:val="00873912"/>
    <w:rsid w:val="00881011"/>
    <w:rsid w:val="0088150B"/>
    <w:rsid w:val="00884C06"/>
    <w:rsid w:val="008902C3"/>
    <w:rsid w:val="00892C2E"/>
    <w:rsid w:val="00894931"/>
    <w:rsid w:val="008A0B0B"/>
    <w:rsid w:val="008B17B1"/>
    <w:rsid w:val="008D2DFD"/>
    <w:rsid w:val="008D3FAF"/>
    <w:rsid w:val="008E0AB9"/>
    <w:rsid w:val="008E5B01"/>
    <w:rsid w:val="008F31E2"/>
    <w:rsid w:val="00904CFF"/>
    <w:rsid w:val="00904DCA"/>
    <w:rsid w:val="00905AD1"/>
    <w:rsid w:val="009107A4"/>
    <w:rsid w:val="009217A0"/>
    <w:rsid w:val="0092753C"/>
    <w:rsid w:val="009431D5"/>
    <w:rsid w:val="009521EF"/>
    <w:rsid w:val="00964266"/>
    <w:rsid w:val="00966AD9"/>
    <w:rsid w:val="009714CA"/>
    <w:rsid w:val="00971B98"/>
    <w:rsid w:val="009878B0"/>
    <w:rsid w:val="00990293"/>
    <w:rsid w:val="00991D40"/>
    <w:rsid w:val="00991EA8"/>
    <w:rsid w:val="00993B39"/>
    <w:rsid w:val="009941F2"/>
    <w:rsid w:val="0099742D"/>
    <w:rsid w:val="009A23BC"/>
    <w:rsid w:val="009A6655"/>
    <w:rsid w:val="009A74A7"/>
    <w:rsid w:val="009C7A8B"/>
    <w:rsid w:val="009D622E"/>
    <w:rsid w:val="009E6010"/>
    <w:rsid w:val="009F1266"/>
    <w:rsid w:val="009F79B7"/>
    <w:rsid w:val="00A04E03"/>
    <w:rsid w:val="00A1322E"/>
    <w:rsid w:val="00A406D8"/>
    <w:rsid w:val="00A40779"/>
    <w:rsid w:val="00A419EB"/>
    <w:rsid w:val="00A4226B"/>
    <w:rsid w:val="00A44EC0"/>
    <w:rsid w:val="00A541D1"/>
    <w:rsid w:val="00A577B3"/>
    <w:rsid w:val="00A61A9A"/>
    <w:rsid w:val="00A66C11"/>
    <w:rsid w:val="00A76A1F"/>
    <w:rsid w:val="00A8025E"/>
    <w:rsid w:val="00A854B8"/>
    <w:rsid w:val="00A907F6"/>
    <w:rsid w:val="00A92E2C"/>
    <w:rsid w:val="00A94157"/>
    <w:rsid w:val="00A953BF"/>
    <w:rsid w:val="00A970FF"/>
    <w:rsid w:val="00AA496B"/>
    <w:rsid w:val="00AA6D10"/>
    <w:rsid w:val="00AC7399"/>
    <w:rsid w:val="00AC758B"/>
    <w:rsid w:val="00AD32A0"/>
    <w:rsid w:val="00AD41B0"/>
    <w:rsid w:val="00AD6F6F"/>
    <w:rsid w:val="00AE0CC3"/>
    <w:rsid w:val="00AE5A38"/>
    <w:rsid w:val="00AE652F"/>
    <w:rsid w:val="00AE677D"/>
    <w:rsid w:val="00B050CB"/>
    <w:rsid w:val="00B20476"/>
    <w:rsid w:val="00B26991"/>
    <w:rsid w:val="00B31994"/>
    <w:rsid w:val="00B31E4B"/>
    <w:rsid w:val="00B32FBF"/>
    <w:rsid w:val="00B44BD0"/>
    <w:rsid w:val="00B53EA1"/>
    <w:rsid w:val="00B621A0"/>
    <w:rsid w:val="00B81C04"/>
    <w:rsid w:val="00B84765"/>
    <w:rsid w:val="00B90EEB"/>
    <w:rsid w:val="00B925F7"/>
    <w:rsid w:val="00B95515"/>
    <w:rsid w:val="00B97EA8"/>
    <w:rsid w:val="00BA117D"/>
    <w:rsid w:val="00BA13EB"/>
    <w:rsid w:val="00BA17AD"/>
    <w:rsid w:val="00BA2607"/>
    <w:rsid w:val="00BB65EA"/>
    <w:rsid w:val="00BB7EF4"/>
    <w:rsid w:val="00BC0B57"/>
    <w:rsid w:val="00BC62BF"/>
    <w:rsid w:val="00BD063F"/>
    <w:rsid w:val="00BD0F40"/>
    <w:rsid w:val="00BE03FB"/>
    <w:rsid w:val="00BE5143"/>
    <w:rsid w:val="00BF31E1"/>
    <w:rsid w:val="00BF59E8"/>
    <w:rsid w:val="00C003B1"/>
    <w:rsid w:val="00C036C2"/>
    <w:rsid w:val="00C0389A"/>
    <w:rsid w:val="00C04FA3"/>
    <w:rsid w:val="00C0561E"/>
    <w:rsid w:val="00C140C8"/>
    <w:rsid w:val="00C17117"/>
    <w:rsid w:val="00C22376"/>
    <w:rsid w:val="00C25B4C"/>
    <w:rsid w:val="00C360D6"/>
    <w:rsid w:val="00C53D95"/>
    <w:rsid w:val="00C60F99"/>
    <w:rsid w:val="00C721C7"/>
    <w:rsid w:val="00C74C86"/>
    <w:rsid w:val="00C81A4B"/>
    <w:rsid w:val="00C8385C"/>
    <w:rsid w:val="00C87351"/>
    <w:rsid w:val="00C876F0"/>
    <w:rsid w:val="00C9387A"/>
    <w:rsid w:val="00C9540E"/>
    <w:rsid w:val="00C97AEF"/>
    <w:rsid w:val="00CA0F26"/>
    <w:rsid w:val="00CA4A29"/>
    <w:rsid w:val="00CA6473"/>
    <w:rsid w:val="00CC09EB"/>
    <w:rsid w:val="00CC3308"/>
    <w:rsid w:val="00CC3312"/>
    <w:rsid w:val="00CD1623"/>
    <w:rsid w:val="00CE1929"/>
    <w:rsid w:val="00D14DFF"/>
    <w:rsid w:val="00D232EB"/>
    <w:rsid w:val="00D256A9"/>
    <w:rsid w:val="00D27BBC"/>
    <w:rsid w:val="00D317F3"/>
    <w:rsid w:val="00D3362A"/>
    <w:rsid w:val="00D3433A"/>
    <w:rsid w:val="00D42ED3"/>
    <w:rsid w:val="00D71865"/>
    <w:rsid w:val="00D734A4"/>
    <w:rsid w:val="00D73987"/>
    <w:rsid w:val="00D73B46"/>
    <w:rsid w:val="00D74165"/>
    <w:rsid w:val="00D764F8"/>
    <w:rsid w:val="00D77F4D"/>
    <w:rsid w:val="00D80451"/>
    <w:rsid w:val="00D9536A"/>
    <w:rsid w:val="00D9652D"/>
    <w:rsid w:val="00DA3FDF"/>
    <w:rsid w:val="00DA60C8"/>
    <w:rsid w:val="00DA748B"/>
    <w:rsid w:val="00DC50BB"/>
    <w:rsid w:val="00DC6F34"/>
    <w:rsid w:val="00DE0EE8"/>
    <w:rsid w:val="00DE244B"/>
    <w:rsid w:val="00DF2B61"/>
    <w:rsid w:val="00E110B8"/>
    <w:rsid w:val="00E17B6D"/>
    <w:rsid w:val="00E20D29"/>
    <w:rsid w:val="00E21B5B"/>
    <w:rsid w:val="00E27753"/>
    <w:rsid w:val="00E31BC8"/>
    <w:rsid w:val="00E321EF"/>
    <w:rsid w:val="00E37FC6"/>
    <w:rsid w:val="00E4173C"/>
    <w:rsid w:val="00E430AE"/>
    <w:rsid w:val="00E4494A"/>
    <w:rsid w:val="00E44DE8"/>
    <w:rsid w:val="00E52E68"/>
    <w:rsid w:val="00E6246F"/>
    <w:rsid w:val="00E6356F"/>
    <w:rsid w:val="00E65036"/>
    <w:rsid w:val="00E711C7"/>
    <w:rsid w:val="00E74081"/>
    <w:rsid w:val="00E817F9"/>
    <w:rsid w:val="00E852F1"/>
    <w:rsid w:val="00E875F8"/>
    <w:rsid w:val="00E90D1C"/>
    <w:rsid w:val="00E918F7"/>
    <w:rsid w:val="00E924C7"/>
    <w:rsid w:val="00E94458"/>
    <w:rsid w:val="00E95FCF"/>
    <w:rsid w:val="00EA0893"/>
    <w:rsid w:val="00EB471A"/>
    <w:rsid w:val="00EB4961"/>
    <w:rsid w:val="00EC1DC5"/>
    <w:rsid w:val="00EC5DE4"/>
    <w:rsid w:val="00ED324C"/>
    <w:rsid w:val="00EE0CFF"/>
    <w:rsid w:val="00EE0D02"/>
    <w:rsid w:val="00EE12C5"/>
    <w:rsid w:val="00EE1993"/>
    <w:rsid w:val="00EE4CFB"/>
    <w:rsid w:val="00EE68D8"/>
    <w:rsid w:val="00EF34C5"/>
    <w:rsid w:val="00EF79CA"/>
    <w:rsid w:val="00F057B9"/>
    <w:rsid w:val="00F10150"/>
    <w:rsid w:val="00F10436"/>
    <w:rsid w:val="00F105F7"/>
    <w:rsid w:val="00F126E3"/>
    <w:rsid w:val="00F12F3D"/>
    <w:rsid w:val="00F21446"/>
    <w:rsid w:val="00F26834"/>
    <w:rsid w:val="00F27549"/>
    <w:rsid w:val="00F32430"/>
    <w:rsid w:val="00F41208"/>
    <w:rsid w:val="00F427B9"/>
    <w:rsid w:val="00F471C3"/>
    <w:rsid w:val="00F50A8C"/>
    <w:rsid w:val="00F5256F"/>
    <w:rsid w:val="00F539C0"/>
    <w:rsid w:val="00F61A3E"/>
    <w:rsid w:val="00F6568C"/>
    <w:rsid w:val="00F65F2C"/>
    <w:rsid w:val="00F6701D"/>
    <w:rsid w:val="00F7297B"/>
    <w:rsid w:val="00F7433E"/>
    <w:rsid w:val="00F756C0"/>
    <w:rsid w:val="00F85EBF"/>
    <w:rsid w:val="00F941CE"/>
    <w:rsid w:val="00F96EC2"/>
    <w:rsid w:val="00FA18CE"/>
    <w:rsid w:val="00FB0A8C"/>
    <w:rsid w:val="00FB640A"/>
    <w:rsid w:val="00FB73D8"/>
    <w:rsid w:val="00FC4AF5"/>
    <w:rsid w:val="00FC59A8"/>
    <w:rsid w:val="00FD0A34"/>
    <w:rsid w:val="00FD4534"/>
    <w:rsid w:val="00FD5885"/>
    <w:rsid w:val="00FE38BA"/>
    <w:rsid w:val="00FE4042"/>
    <w:rsid w:val="00FE48BB"/>
    <w:rsid w:val="00FF625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B73D8"/>
    <w:pPr>
      <w:keepNext/>
      <w:spacing w:before="240" w:after="60"/>
      <w:jc w:val="left"/>
      <w:outlineLvl w:val="0"/>
    </w:pPr>
    <w:rPr>
      <w:rFonts w:asciiTheme="majorHAnsi" w:eastAsiaTheme="majorEastAsia" w:hAnsiTheme="majorHAnsi"/>
      <w:b/>
      <w:bCs/>
      <w:kern w:val="32"/>
      <w:sz w:val="32"/>
      <w:szCs w:val="32"/>
    </w:rPr>
  </w:style>
  <w:style w:type="paragraph" w:styleId="Heading2">
    <w:name w:val="heading 2"/>
    <w:basedOn w:val="Normal"/>
    <w:next w:val="Normal"/>
    <w:link w:val="Nadpis2Char"/>
    <w:uiPriority w:val="99"/>
    <w:qFormat/>
    <w:rsid w:val="00444065"/>
    <w:pPr>
      <w:keepNext/>
      <w:keepLines/>
      <w:widowControl w:val="0"/>
      <w:adjustRightInd w:val="0"/>
      <w:spacing w:before="200"/>
      <w:jc w:val="left"/>
      <w:outlineLvl w:val="1"/>
    </w:pPr>
    <w:rPr>
      <w:rFonts w:ascii="Cambria" w:hAnsi="Cambria"/>
      <w:b/>
      <w:bCs/>
      <w:color w:val="4F81BD"/>
      <w:sz w:val="26"/>
      <w:szCs w:val="26"/>
    </w:rPr>
  </w:style>
  <w:style w:type="paragraph" w:styleId="Heading3">
    <w:name w:val="heading 3"/>
    <w:basedOn w:val="Normal"/>
    <w:next w:val="Normal"/>
    <w:link w:val="Nadpis3Char"/>
    <w:uiPriority w:val="9"/>
    <w:semiHidden/>
    <w:unhideWhenUsed/>
    <w:qFormat/>
    <w:rsid w:val="00FB73D8"/>
    <w:pPr>
      <w:keepNext/>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rsid w:val="00444065"/>
    <w:pPr>
      <w:keepNext/>
      <w:spacing w:before="240" w:after="60"/>
      <w:jc w:val="left"/>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B73D8"/>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9"/>
    <w:locked/>
    <w:rsid w:val="00444065"/>
    <w:rPr>
      <w:rFonts w:ascii="Cambria" w:hAnsi="Cambria" w:cs="Times New Roman"/>
      <w:b/>
      <w:bCs/>
      <w:color w:val="4F81BD"/>
      <w:sz w:val="26"/>
      <w:szCs w:val="26"/>
      <w:rtl w:val="0"/>
      <w:cs w:val="0"/>
    </w:rPr>
  </w:style>
  <w:style w:type="character" w:customStyle="1" w:styleId="Nadpis3Char">
    <w:name w:val="Nadpis 3 Char"/>
    <w:basedOn w:val="DefaultParagraphFont"/>
    <w:link w:val="Heading3"/>
    <w:uiPriority w:val="9"/>
    <w:semiHidden/>
    <w:locked/>
    <w:rsid w:val="00FB73D8"/>
    <w:rPr>
      <w:rFonts w:ascii="Cambria" w:hAnsi="Cambria" w:cs="Times New Roman"/>
      <w:b/>
      <w:bCs/>
      <w:sz w:val="26"/>
      <w:szCs w:val="26"/>
      <w:rtl w:val="0"/>
      <w:cs w:val="0"/>
    </w:rPr>
  </w:style>
  <w:style w:type="character" w:customStyle="1" w:styleId="Nadpis4Char">
    <w:name w:val="Nadpis 4 Char"/>
    <w:basedOn w:val="DefaultParagraphFont"/>
    <w:link w:val="Heading4"/>
    <w:uiPriority w:val="99"/>
    <w:locked/>
    <w:rsid w:val="00444065"/>
    <w:rPr>
      <w:rFonts w:ascii="Times New Roman" w:hAnsi="Times New Roman" w:cs="Times New Roman"/>
      <w:b/>
      <w:bCs/>
      <w:sz w:val="28"/>
      <w:szCs w:val="28"/>
      <w:rtl w:val="0"/>
      <w:cs w:val="0"/>
      <w:lang w:val="en-US" w:eastAsia="x-none"/>
    </w:rPr>
  </w:style>
  <w:style w:type="character" w:styleId="PlaceholderText">
    <w:name w:val="Placeholder Text"/>
    <w:basedOn w:val="DefaultParagraphFont"/>
    <w:uiPriority w:val="99"/>
    <w:semiHidden/>
    <w:rsid w:val="00CC09EB"/>
    <w:rPr>
      <w:rFonts w:ascii="Times New Roman" w:hAnsi="Times New Roman" w:cs="Times New Roman"/>
      <w:color w:val="808080"/>
      <w:rtl w:val="0"/>
      <w:cs w:val="0"/>
    </w:rPr>
  </w:style>
  <w:style w:type="paragraph" w:styleId="ListParagraph">
    <w:name w:val="List Paragraph"/>
    <w:basedOn w:val="Normal"/>
    <w:link w:val="OdsekzoznamuChar"/>
    <w:uiPriority w:val="34"/>
    <w:qFormat/>
    <w:rsid w:val="00CC09EB"/>
    <w:pPr>
      <w:spacing w:after="200" w:line="276" w:lineRule="auto"/>
      <w:ind w:left="720"/>
      <w:contextualSpacing/>
      <w:jc w:val="left"/>
    </w:pPr>
    <w:rPr>
      <w:rFonts w:ascii="Calibri" w:hAnsi="Calibri"/>
      <w:sz w:val="22"/>
      <w:szCs w:val="22"/>
      <w:lang w:eastAsia="en-US"/>
    </w:rPr>
  </w:style>
  <w:style w:type="paragraph" w:styleId="BodyText2">
    <w:name w:val="Body Text 2"/>
    <w:basedOn w:val="Normal"/>
    <w:link w:val="Zkladntext2Char"/>
    <w:uiPriority w:val="99"/>
    <w:rsid w:val="00EB4961"/>
    <w:pPr>
      <w:spacing w:after="120" w:line="480" w:lineRule="auto"/>
      <w:jc w:val="left"/>
    </w:pPr>
  </w:style>
  <w:style w:type="character" w:customStyle="1" w:styleId="Zkladntext2Char">
    <w:name w:val="Základný text 2 Char"/>
    <w:basedOn w:val="DefaultParagraphFont"/>
    <w:link w:val="BodyText2"/>
    <w:uiPriority w:val="99"/>
    <w:locked/>
    <w:rsid w:val="00EB4961"/>
    <w:rPr>
      <w:rFonts w:ascii="Times New Roman" w:hAnsi="Times New Roman" w:cs="Times New Roman"/>
      <w:sz w:val="24"/>
      <w:rtl w:val="0"/>
      <w:cs w:val="0"/>
    </w:rPr>
  </w:style>
  <w:style w:type="paragraph" w:styleId="BalloonText">
    <w:name w:val="Balloon Text"/>
    <w:basedOn w:val="Normal"/>
    <w:link w:val="TextbublinyChar"/>
    <w:uiPriority w:val="99"/>
    <w:semiHidden/>
    <w:unhideWhenUsed/>
    <w:rsid w:val="00BA117D"/>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BA117D"/>
    <w:rPr>
      <w:rFonts w:ascii="Tahoma" w:hAnsi="Tahoma" w:cs="Times New Roman"/>
      <w:sz w:val="16"/>
      <w:rtl w:val="0"/>
      <w:cs w:val="0"/>
    </w:rPr>
  </w:style>
  <w:style w:type="paragraph" w:styleId="BodyText">
    <w:name w:val="Body Text"/>
    <w:basedOn w:val="Normal"/>
    <w:link w:val="ZkladntextChar"/>
    <w:uiPriority w:val="99"/>
    <w:unhideWhenUsed/>
    <w:rsid w:val="0043579A"/>
    <w:pPr>
      <w:spacing w:after="120"/>
      <w:jc w:val="left"/>
    </w:pPr>
  </w:style>
  <w:style w:type="character" w:customStyle="1" w:styleId="ZkladntextChar">
    <w:name w:val="Základný text Char"/>
    <w:basedOn w:val="DefaultParagraphFont"/>
    <w:link w:val="BodyText"/>
    <w:uiPriority w:val="99"/>
    <w:semiHidden/>
    <w:locked/>
    <w:rsid w:val="0043579A"/>
    <w:rPr>
      <w:rFonts w:ascii="Times New Roman" w:hAnsi="Times New Roman" w:cs="Times New Roman"/>
      <w:sz w:val="24"/>
      <w:rtl w:val="0"/>
      <w:cs w:val="0"/>
    </w:rPr>
  </w:style>
  <w:style w:type="paragraph" w:styleId="Header">
    <w:name w:val="header"/>
    <w:basedOn w:val="Normal"/>
    <w:link w:val="HlavikaChar"/>
    <w:uiPriority w:val="99"/>
    <w:unhideWhenUsed/>
    <w:rsid w:val="00884C06"/>
    <w:pPr>
      <w:tabs>
        <w:tab w:val="center" w:pos="4536"/>
        <w:tab w:val="right" w:pos="9072"/>
      </w:tabs>
      <w:jc w:val="left"/>
    </w:pPr>
  </w:style>
  <w:style w:type="character" w:customStyle="1" w:styleId="HlavikaChar">
    <w:name w:val="Hlavička Char"/>
    <w:basedOn w:val="DefaultParagraphFont"/>
    <w:link w:val="Header"/>
    <w:uiPriority w:val="99"/>
    <w:semiHidden/>
    <w:locked/>
    <w:rsid w:val="00884C06"/>
    <w:rPr>
      <w:rFonts w:ascii="Times New Roman" w:hAnsi="Times New Roman" w:cs="Times New Roman"/>
      <w:sz w:val="24"/>
      <w:rtl w:val="0"/>
      <w:cs w:val="0"/>
    </w:rPr>
  </w:style>
  <w:style w:type="paragraph" w:styleId="Footer">
    <w:name w:val="footer"/>
    <w:basedOn w:val="Normal"/>
    <w:link w:val="PtaChar"/>
    <w:uiPriority w:val="99"/>
    <w:unhideWhenUsed/>
    <w:rsid w:val="00884C06"/>
    <w:pPr>
      <w:tabs>
        <w:tab w:val="center" w:pos="4536"/>
        <w:tab w:val="right" w:pos="9072"/>
      </w:tabs>
      <w:jc w:val="left"/>
    </w:pPr>
  </w:style>
  <w:style w:type="character" w:customStyle="1" w:styleId="PtaChar">
    <w:name w:val="Päta Char"/>
    <w:basedOn w:val="DefaultParagraphFont"/>
    <w:link w:val="Footer"/>
    <w:uiPriority w:val="99"/>
    <w:locked/>
    <w:rsid w:val="00884C06"/>
    <w:rPr>
      <w:rFonts w:ascii="Times New Roman" w:hAnsi="Times New Roman" w:cs="Times New Roman"/>
      <w:sz w:val="24"/>
      <w:rtl w:val="0"/>
      <w:cs w:val="0"/>
    </w:rPr>
  </w:style>
  <w:style w:type="character" w:styleId="CommentReference">
    <w:name w:val="annotation reference"/>
    <w:basedOn w:val="DefaultParagraphFont"/>
    <w:uiPriority w:val="99"/>
    <w:semiHidden/>
    <w:unhideWhenUsed/>
    <w:rsid w:val="00E31BC8"/>
    <w:rPr>
      <w:rFonts w:cs="Times New Roman"/>
      <w:sz w:val="16"/>
      <w:rtl w:val="0"/>
      <w:cs w:val="0"/>
    </w:rPr>
  </w:style>
  <w:style w:type="paragraph" w:styleId="CommentText">
    <w:name w:val="annotation text"/>
    <w:basedOn w:val="Normal"/>
    <w:link w:val="TextkomentraChar"/>
    <w:uiPriority w:val="99"/>
    <w:semiHidden/>
    <w:unhideWhenUsed/>
    <w:rsid w:val="00E31BC8"/>
    <w:pPr>
      <w:jc w:val="left"/>
    </w:pPr>
    <w:rPr>
      <w:sz w:val="20"/>
      <w:szCs w:val="20"/>
    </w:rPr>
  </w:style>
  <w:style w:type="character" w:customStyle="1" w:styleId="TextkomentraChar">
    <w:name w:val="Text komentára Char"/>
    <w:basedOn w:val="DefaultParagraphFont"/>
    <w:link w:val="CommentText"/>
    <w:uiPriority w:val="99"/>
    <w:semiHidden/>
    <w:locked/>
    <w:rsid w:val="00E31BC8"/>
    <w:rPr>
      <w:rFonts w:ascii="Times New Roman" w:hAnsi="Times New Roman" w:cs="Times New Roman"/>
      <w:rtl w:val="0"/>
      <w:cs w:val="0"/>
    </w:rPr>
  </w:style>
  <w:style w:type="paragraph" w:styleId="CommentSubject">
    <w:name w:val="annotation subject"/>
    <w:basedOn w:val="CommentText"/>
    <w:next w:val="CommentText"/>
    <w:link w:val="PredmetkomentraChar"/>
    <w:uiPriority w:val="99"/>
    <w:semiHidden/>
    <w:unhideWhenUsed/>
    <w:rsid w:val="00E31BC8"/>
    <w:pPr>
      <w:jc w:val="left"/>
    </w:pPr>
    <w:rPr>
      <w:b/>
      <w:bCs/>
    </w:rPr>
  </w:style>
  <w:style w:type="character" w:customStyle="1" w:styleId="PredmetkomentraChar">
    <w:name w:val="Predmet komentára Char"/>
    <w:basedOn w:val="TextkomentraChar"/>
    <w:link w:val="CommentSubject"/>
    <w:uiPriority w:val="99"/>
    <w:semiHidden/>
    <w:locked/>
    <w:rsid w:val="00E31BC8"/>
    <w:rPr>
      <w:b/>
    </w:rPr>
  </w:style>
  <w:style w:type="character" w:styleId="Hyperlink">
    <w:name w:val="Hyperlink"/>
    <w:basedOn w:val="DefaultParagraphFont"/>
    <w:uiPriority w:val="99"/>
    <w:unhideWhenUsed/>
    <w:rsid w:val="009878B0"/>
    <w:rPr>
      <w:rFonts w:cs="Times New Roman"/>
      <w:color w:val="0000FF"/>
      <w:u w:val="single"/>
      <w:rtl w:val="0"/>
      <w:cs w:val="0"/>
    </w:rPr>
  </w:style>
  <w:style w:type="paragraph" w:styleId="FootnoteText">
    <w:name w:val="footnote text"/>
    <w:basedOn w:val="Normal"/>
    <w:link w:val="TextpoznmkypodiarouChar"/>
    <w:uiPriority w:val="99"/>
    <w:semiHidden/>
    <w:unhideWhenUsed/>
    <w:rsid w:val="00223730"/>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223730"/>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223730"/>
    <w:rPr>
      <w:rFonts w:cs="Times New Roman"/>
      <w:vertAlign w:val="superscript"/>
      <w:rtl w:val="0"/>
      <w:cs w:val="0"/>
    </w:rPr>
  </w:style>
  <w:style w:type="paragraph" w:styleId="NormalWeb">
    <w:name w:val="Normal (Web)"/>
    <w:aliases w:val="webb"/>
    <w:basedOn w:val="Normal"/>
    <w:uiPriority w:val="99"/>
    <w:rsid w:val="001D127A"/>
    <w:pPr>
      <w:spacing w:before="100" w:beforeAutospacing="1" w:after="100" w:afterAutospacing="1"/>
      <w:jc w:val="left"/>
    </w:pPr>
  </w:style>
  <w:style w:type="character" w:styleId="PageNumber">
    <w:name w:val="page number"/>
    <w:basedOn w:val="DefaultParagraphFont"/>
    <w:uiPriority w:val="99"/>
    <w:rsid w:val="00444065"/>
    <w:rPr>
      <w:rFonts w:cs="Times New Roman"/>
      <w:rtl w:val="0"/>
      <w:cs w:val="0"/>
    </w:rPr>
  </w:style>
  <w:style w:type="paragraph" w:styleId="BodyTextIndent">
    <w:name w:val="Body Text Indent"/>
    <w:basedOn w:val="Normal"/>
    <w:link w:val="ZarkazkladnhotextuChar"/>
    <w:uiPriority w:val="99"/>
    <w:rsid w:val="00444065"/>
    <w:pPr>
      <w:spacing w:after="120"/>
      <w:ind w:left="283"/>
      <w:jc w:val="left"/>
    </w:pPr>
  </w:style>
  <w:style w:type="character" w:customStyle="1" w:styleId="ZarkazkladnhotextuChar">
    <w:name w:val="Zarážka základného textu Char"/>
    <w:basedOn w:val="DefaultParagraphFont"/>
    <w:link w:val="BodyTextIndent"/>
    <w:uiPriority w:val="99"/>
    <w:locked/>
    <w:rsid w:val="00444065"/>
    <w:rPr>
      <w:rFonts w:ascii="Times New Roman" w:hAnsi="Times New Roman" w:cs="Times New Roman"/>
      <w:sz w:val="24"/>
      <w:szCs w:val="24"/>
      <w:rtl w:val="0"/>
      <w:cs w:val="0"/>
    </w:rPr>
  </w:style>
  <w:style w:type="paragraph" w:styleId="Title">
    <w:name w:val="Title"/>
    <w:basedOn w:val="Normal"/>
    <w:link w:val="NzovChar"/>
    <w:uiPriority w:val="99"/>
    <w:qFormat/>
    <w:rsid w:val="00444065"/>
    <w:pPr>
      <w:jc w:val="center"/>
    </w:pPr>
    <w:rPr>
      <w:sz w:val="28"/>
      <w:szCs w:val="20"/>
    </w:rPr>
  </w:style>
  <w:style w:type="character" w:customStyle="1" w:styleId="NzovChar">
    <w:name w:val="Názov Char"/>
    <w:basedOn w:val="DefaultParagraphFont"/>
    <w:link w:val="Title"/>
    <w:uiPriority w:val="99"/>
    <w:locked/>
    <w:rsid w:val="00444065"/>
    <w:rPr>
      <w:rFonts w:ascii="Times New Roman" w:hAnsi="Times New Roman" w:cs="Times New Roman"/>
      <w:sz w:val="28"/>
      <w:rtl w:val="0"/>
      <w:cs w:val="0"/>
    </w:rPr>
  </w:style>
  <w:style w:type="paragraph" w:styleId="BodyTextIndent3">
    <w:name w:val="Body Text Indent 3"/>
    <w:basedOn w:val="Normal"/>
    <w:link w:val="Zarkazkladnhotextu3Char"/>
    <w:uiPriority w:val="99"/>
    <w:rsid w:val="00444065"/>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444065"/>
    <w:rPr>
      <w:rFonts w:ascii="Times New Roman" w:hAnsi="Times New Roman" w:cs="Times New Roman"/>
      <w:sz w:val="16"/>
      <w:szCs w:val="16"/>
      <w:rtl w:val="0"/>
      <w:cs w:val="0"/>
    </w:rPr>
  </w:style>
  <w:style w:type="paragraph" w:customStyle="1" w:styleId="Action">
    <w:name w:val="Action"/>
    <w:basedOn w:val="BodyText"/>
    <w:uiPriority w:val="99"/>
    <w:rsid w:val="00444065"/>
    <w:pPr>
      <w:numPr>
        <w:numId w:val="8"/>
      </w:numPr>
      <w:tabs>
        <w:tab w:val="num" w:pos="1211"/>
      </w:tabs>
      <w:spacing w:line="240" w:lineRule="atLeast"/>
      <w:ind w:left="1208" w:hanging="357"/>
      <w:jc w:val="both"/>
    </w:pPr>
    <w:rPr>
      <w:rFonts w:ascii="Verdana" w:hAnsi="Verdana" w:cs="Verdana"/>
      <w:i/>
      <w:iCs/>
      <w:sz w:val="22"/>
      <w:szCs w:val="22"/>
      <w:lang w:eastAsia="en-US"/>
    </w:rPr>
  </w:style>
  <w:style w:type="character" w:customStyle="1" w:styleId="StyleHeading4UnderlineChar">
    <w:name w:val="Style Heading 4 + Underline Char"/>
    <w:basedOn w:val="DefaultParagraphFont"/>
    <w:uiPriority w:val="99"/>
    <w:rsid w:val="00444065"/>
    <w:rPr>
      <w:rFonts w:ascii="Verdana" w:hAnsi="Verdana" w:cs="Verdana"/>
      <w:kern w:val="20"/>
      <w:sz w:val="22"/>
      <w:szCs w:val="22"/>
      <w:u w:val="single"/>
      <w:rtl w:val="0"/>
      <w:cs w:val="0"/>
      <w:lang w:val="en-US" w:eastAsia="en-US"/>
    </w:rPr>
  </w:style>
  <w:style w:type="character" w:styleId="Emphasis">
    <w:name w:val="Emphasis"/>
    <w:basedOn w:val="DefaultParagraphFont"/>
    <w:uiPriority w:val="20"/>
    <w:qFormat/>
    <w:rsid w:val="00525984"/>
    <w:rPr>
      <w:rFonts w:cs="Times New Roman"/>
      <w:i/>
      <w:rtl w:val="0"/>
      <w:cs w:val="0"/>
    </w:rPr>
  </w:style>
  <w:style w:type="character" w:customStyle="1" w:styleId="OdsekzoznamuChar">
    <w:name w:val="Odsek zoznamu Char"/>
    <w:link w:val="ListParagraph"/>
    <w:uiPriority w:val="34"/>
    <w:locked/>
    <w:rsid w:val="009714CA"/>
    <w:rPr>
      <w:rFonts w:ascii="Calibri" w:hAnsi="Calibri" w:cs="Calibri"/>
      <w:sz w:val="22"/>
      <w:lang w:val="x-none" w:eastAsia="en-US"/>
    </w:rPr>
  </w:style>
  <w:style w:type="paragraph" w:customStyle="1" w:styleId="Default">
    <w:name w:val="Default"/>
    <w:basedOn w:val="Normal"/>
    <w:rsid w:val="004F4B99"/>
    <w:pPr>
      <w:autoSpaceDE w:val="0"/>
      <w:autoSpaceDN w:val="0"/>
      <w:jc w:val="left"/>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06AB-CD4F-4E32-B1A5-4EAB5561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55</Pages>
  <Words>21007</Words>
  <Characters>119740</Characters>
  <Application>Microsoft Office Word</Application>
  <DocSecurity>0</DocSecurity>
  <Lines>0</Lines>
  <Paragraphs>0</Paragraphs>
  <ScaleCrop>false</ScaleCrop>
  <Company>MF SR</Company>
  <LinksUpToDate>false</LinksUpToDate>
  <CharactersWithSpaces>140467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mvidova</dc:creator>
  <cp:lastModifiedBy>Vidova Michaela</cp:lastModifiedBy>
  <cp:revision>2</cp:revision>
  <cp:lastPrinted>2014-08-21T10:36:00Z</cp:lastPrinted>
  <dcterms:created xsi:type="dcterms:W3CDTF">2014-08-21T10:56:00Z</dcterms:created>
  <dcterms:modified xsi:type="dcterms:W3CDTF">2014-08-21T10:56:00Z</dcterms:modified>
</cp:coreProperties>
</file>