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025E" w:rsidP="00010C9D">
      <w:pPr>
        <w:bidi w:val="0"/>
        <w:spacing w:after="0" w:line="240" w:lineRule="auto"/>
        <w:rPr>
          <w:rFonts w:ascii="Times New Roman" w:hAnsi="Times New Roman"/>
          <w:sz w:val="24"/>
          <w:szCs w:val="24"/>
          <w:lang w:val="sk-SK"/>
        </w:rPr>
      </w:pPr>
      <w:r w:rsidR="00010C9D">
        <w:rPr>
          <w:rFonts w:ascii="Times New Roman" w:hAnsi="Times New Roman"/>
          <w:sz w:val="24"/>
          <w:szCs w:val="24"/>
          <w:lang w:val="sk-SK"/>
        </w:rPr>
        <w:t xml:space="preserve">Dôvodová správa </w:t>
      </w:r>
    </w:p>
    <w:p w:rsidR="00010C9D" w:rsidP="00010C9D">
      <w:pPr>
        <w:bidi w:val="0"/>
        <w:spacing w:after="0" w:line="240" w:lineRule="auto"/>
        <w:rPr>
          <w:rFonts w:ascii="Times New Roman" w:hAnsi="Times New Roman"/>
          <w:sz w:val="24"/>
          <w:szCs w:val="24"/>
          <w:lang w:val="sk-SK"/>
        </w:rPr>
      </w:pPr>
    </w:p>
    <w:p w:rsidR="00E65DF5" w:rsidRPr="00010C9D" w:rsidP="00010C9D">
      <w:pPr>
        <w:bidi w:val="0"/>
        <w:spacing w:after="0" w:line="240" w:lineRule="auto"/>
        <w:rPr>
          <w:rFonts w:ascii="Times New Roman" w:hAnsi="Times New Roman"/>
          <w:sz w:val="24"/>
          <w:szCs w:val="24"/>
          <w:lang w:val="sk-SK"/>
        </w:rPr>
      </w:pPr>
    </w:p>
    <w:p w:rsidR="00CF0A3A" w:rsidP="009C2F33">
      <w:pPr>
        <w:pStyle w:val="ListParagraph"/>
        <w:numPr>
          <w:numId w:val="4"/>
        </w:numPr>
        <w:bidi w:val="0"/>
        <w:spacing w:after="0" w:line="240" w:lineRule="auto"/>
        <w:jc w:val="both"/>
        <w:rPr>
          <w:rFonts w:ascii="Times New Roman" w:hAnsi="Times New Roman"/>
          <w:sz w:val="24"/>
          <w:szCs w:val="24"/>
        </w:rPr>
      </w:pPr>
      <w:r w:rsidRPr="009C2F33">
        <w:rPr>
          <w:rFonts w:ascii="Times New Roman" w:hAnsi="Times New Roman"/>
          <w:sz w:val="24"/>
          <w:szCs w:val="24"/>
        </w:rPr>
        <w:t>Všeobecná časť</w:t>
      </w:r>
    </w:p>
    <w:p w:rsidR="00010C9D" w:rsidP="00010C9D">
      <w:pPr>
        <w:bidi w:val="0"/>
        <w:spacing w:after="0" w:line="240" w:lineRule="auto"/>
        <w:ind w:left="284"/>
        <w:jc w:val="both"/>
        <w:rPr>
          <w:rFonts w:ascii="Times New Roman" w:hAnsi="Times New Roman"/>
          <w:sz w:val="24"/>
          <w:szCs w:val="24"/>
        </w:rPr>
      </w:pPr>
    </w:p>
    <w:p w:rsidR="00E65DF5" w:rsidRPr="00010C9D" w:rsidP="00010C9D">
      <w:pPr>
        <w:bidi w:val="0"/>
        <w:spacing w:after="0" w:line="240" w:lineRule="auto"/>
        <w:ind w:left="284"/>
        <w:jc w:val="both"/>
        <w:rPr>
          <w:rFonts w:ascii="Times New Roman" w:hAnsi="Times New Roman"/>
          <w:sz w:val="24"/>
          <w:szCs w:val="24"/>
        </w:rPr>
      </w:pPr>
    </w:p>
    <w:p w:rsidR="00094059" w:rsidRPr="004676F7" w:rsidP="00094059">
      <w:pPr>
        <w:pStyle w:val="BodyText"/>
        <w:bidi w:val="0"/>
        <w:spacing w:after="0"/>
        <w:ind w:firstLine="708"/>
        <w:jc w:val="both"/>
        <w:rPr>
          <w:rFonts w:ascii="Times New Roman" w:hAnsi="Times New Roman"/>
        </w:rPr>
      </w:pPr>
      <w:r w:rsidRPr="004676F7">
        <w:rPr>
          <w:rFonts w:ascii="Times New Roman" w:hAnsi="Times New Roman"/>
        </w:rPr>
        <w:t xml:space="preserve">Daň z motorových vozidiel je v súčasnosti upravená v jedenástej časti zákona </w:t>
      </w:r>
      <w:r>
        <w:rPr>
          <w:rFonts w:ascii="Times New Roman" w:hAnsi="Times New Roman"/>
        </w:rPr>
        <w:br/>
      </w:r>
      <w:r w:rsidRPr="004676F7">
        <w:rPr>
          <w:rFonts w:ascii="Times New Roman" w:hAnsi="Times New Roman"/>
        </w:rPr>
        <w:t xml:space="preserve">č. 582/2004 Z. z. o miestnych daniach a miestnom poplatku za komunálne odpady a drobné stavebné odpady v znení neskorších predpisov (ďalej len „zákon“) ako fakultatívna miestna daň, ktorú môžu na svojom území zaviesť vyššie územné celky všeobecne záväzným nariadením, v ktorom určia pre svoje územie aj sadzby dane, úľavy a oslobodenia od dane. </w:t>
      </w:r>
    </w:p>
    <w:p w:rsidR="00094059" w:rsidRPr="004676F7" w:rsidP="00094059">
      <w:pPr>
        <w:pStyle w:val="BodyText"/>
        <w:bidi w:val="0"/>
        <w:spacing w:after="0"/>
        <w:ind w:firstLine="708"/>
        <w:jc w:val="both"/>
        <w:rPr>
          <w:rFonts w:ascii="Times New Roman" w:hAnsi="Times New Roman"/>
        </w:rPr>
      </w:pPr>
      <w:r w:rsidRPr="004676F7">
        <w:rPr>
          <w:rFonts w:ascii="Times New Roman" w:hAnsi="Times New Roman"/>
        </w:rPr>
        <w:t>Predmetom dane je motorové a prípojné vozidlo, ktoré je evidované v Slovenskej republike a používa sa na podnikanie. Základ dane sa odvíja od zdvihového objemu motora v cm</w:t>
      </w:r>
      <w:r w:rsidRPr="004676F7">
        <w:rPr>
          <w:rFonts w:ascii="Times New Roman" w:hAnsi="Times New Roman"/>
          <w:vertAlign w:val="superscript"/>
        </w:rPr>
        <w:t xml:space="preserve">3 </w:t>
      </w:r>
      <w:r w:rsidRPr="004676F7">
        <w:rPr>
          <w:rFonts w:ascii="Times New Roman" w:hAnsi="Times New Roman"/>
        </w:rPr>
        <w:t xml:space="preserve">pre osobné motorové vozidlo a počtu náprav a hmotnosti pre autobusy a úžitkové vozidlá. Zdaňovacím obdobím je kalendárny rok s výnimkami uplatnenými pre tých daňovníkov, ktorí sa v priebehu zdaňovacieho obdobia zrušujú s likvidáciou, bez likvidácie, na základe vyhláseného konkurzu, na základe ukončenia podnikania alebo zomrú. Správu dane z motorových vozidiel vykonáva daňový úrad, ktorý je miestne príslušný podľa miesta evidencie vozidla. Daňový úrad v sídle kraja (vyššieho územného celku) výnos dane z motorových vozidiel poukazuje príslušnému vyššiemu územnému celku. </w:t>
      </w:r>
    </w:p>
    <w:p w:rsidR="00094059" w:rsidRPr="004676F7" w:rsidP="00094059">
      <w:pPr>
        <w:pStyle w:val="BodyText"/>
        <w:bidi w:val="0"/>
        <w:spacing w:after="0"/>
        <w:ind w:firstLine="708"/>
        <w:jc w:val="both"/>
        <w:rPr>
          <w:rFonts w:ascii="Times New Roman" w:hAnsi="Times New Roman"/>
        </w:rPr>
      </w:pPr>
      <w:r w:rsidRPr="004676F7">
        <w:rPr>
          <w:rFonts w:ascii="Times New Roman" w:hAnsi="Times New Roman"/>
        </w:rPr>
        <w:t xml:space="preserve">Poznatky z doterajšej aplikácie ustanovení zákona v praxi poukazujú na nejednotný prístup vyšších územných celkov najmä pri určovaní sadzieb dane a oslobodení, čo má vytvárať v rámci Slovenskej republiky rozdielne podmienky pre rozvoj podnikateľského prostredia a nerovnaké zaťaženie podnikateľov touto daňou. Tým, že vyššie územné celky zákonnú možnosť na zníženie dane pre ekologické vozidlá využívajú v nepatrnej miere alebo nevyužívajú vôbec, zaniká zo strany podnikateľov záujem o zvyšovanie investícií do modernejších a ekologickejších vozidiel. </w:t>
      </w:r>
    </w:p>
    <w:p w:rsidR="00094059" w:rsidRPr="004676F7" w:rsidP="00094059">
      <w:pPr>
        <w:pStyle w:val="BodyText"/>
        <w:bidi w:val="0"/>
        <w:spacing w:after="0"/>
        <w:ind w:firstLine="709"/>
        <w:jc w:val="both"/>
        <w:rPr>
          <w:rFonts w:ascii="Times New Roman" w:hAnsi="Times New Roman"/>
        </w:rPr>
      </w:pPr>
      <w:r w:rsidRPr="004676F7">
        <w:rPr>
          <w:rFonts w:ascii="Times New Roman" w:hAnsi="Times New Roman"/>
        </w:rPr>
        <w:t xml:space="preserve">Predložený návrh zákona reaguje na uvedené poznatky a v záujme odstránenia existujúcich disproporcií vyníma zdaňovanie motorových vozidiel z fakultatívnych miestnych daní a zavádza túto daň ako štátnu, upravenú novým samostatným zákonom. Základné atribúty zdaňovania motorových vozidiel, ako je predmet dane, daňovník, zdaňovacie obdobie, základ dane, platenie preddavkov a správa dane, sa podľa predmetného návrhu zachovávajú. Jednotne sa upravujú sadzby dane, oslobodenia, zvýšenia a zníženia sadzieb daní, ktoré budú platné v rámci celej Slovenskej republiky. </w:t>
      </w:r>
    </w:p>
    <w:p w:rsidR="00094059" w:rsidRPr="004676F7" w:rsidP="00094059">
      <w:pPr>
        <w:pStyle w:val="BodyText"/>
        <w:bidi w:val="0"/>
        <w:spacing w:after="0"/>
        <w:ind w:firstLine="708"/>
        <w:jc w:val="both"/>
        <w:rPr>
          <w:rFonts w:ascii="Times New Roman" w:hAnsi="Times New Roman"/>
        </w:rPr>
      </w:pPr>
      <w:r w:rsidRPr="004676F7">
        <w:rPr>
          <w:rFonts w:ascii="Times New Roman" w:hAnsi="Times New Roman"/>
        </w:rPr>
        <w:t>Návrh zákona je v súlade s Ústavou SR, ústavnými zákonmi a medzinárodnými zmluvami, ktorými je Slovenská republika viazaná. Predložený návrh zákona je</w:t>
      </w:r>
      <w:bookmarkStart w:id="0" w:name="_GoBack"/>
      <w:bookmarkEnd w:id="0"/>
      <w:r w:rsidRPr="004676F7">
        <w:rPr>
          <w:rFonts w:ascii="Times New Roman" w:hAnsi="Times New Roman"/>
        </w:rPr>
        <w:t xml:space="preserve"> v súlade s úpravou v práve Európskej únie.</w:t>
      </w: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E13160" w:rsidP="00CF0A3A">
      <w:pPr>
        <w:bidi w:val="0"/>
        <w:spacing w:after="0" w:line="240" w:lineRule="auto"/>
        <w:ind w:firstLine="360"/>
        <w:jc w:val="both"/>
        <w:rPr>
          <w:rFonts w:ascii="Times New Roman" w:hAnsi="Times New Roman"/>
          <w:sz w:val="24"/>
          <w:szCs w:val="24"/>
          <w:lang w:val="sk-SK"/>
        </w:rPr>
      </w:pPr>
    </w:p>
    <w:p w:rsidR="00C96668" w:rsidP="00C96668">
      <w:pPr>
        <w:pStyle w:val="Title"/>
        <w:pBdr>
          <w:bottom w:val="none" w:sz="0" w:space="0" w:color="auto"/>
        </w:pBdr>
        <w:bidi w:val="0"/>
        <w:rPr>
          <w:rFonts w:ascii="Times New Roman" w:hAnsi="Times New Roman"/>
        </w:rPr>
      </w:pPr>
    </w:p>
    <w:p w:rsidR="00C96668" w:rsidP="00C96668">
      <w:pPr>
        <w:pStyle w:val="Title"/>
        <w:pBdr>
          <w:bottom w:val="none" w:sz="0" w:space="0" w:color="auto"/>
        </w:pBdr>
        <w:bidi w:val="0"/>
        <w:rPr>
          <w:rFonts w:ascii="Times New Roman" w:hAnsi="Times New Roman"/>
        </w:rPr>
      </w:pPr>
    </w:p>
    <w:p w:rsidR="00C96668" w:rsidP="00C96668">
      <w:pPr>
        <w:pStyle w:val="Title"/>
        <w:pBdr>
          <w:bottom w:val="none" w:sz="0" w:space="0" w:color="auto"/>
        </w:pBdr>
        <w:bidi w:val="0"/>
        <w:rPr>
          <w:rFonts w:ascii="Times New Roman" w:hAnsi="Times New Roman"/>
        </w:rPr>
      </w:pPr>
    </w:p>
    <w:p w:rsidR="00C96668" w:rsidP="00C96668">
      <w:pPr>
        <w:pStyle w:val="Title"/>
        <w:pBdr>
          <w:bottom w:val="none" w:sz="0" w:space="0" w:color="auto"/>
        </w:pBdr>
        <w:bidi w:val="0"/>
        <w:rPr>
          <w:rFonts w:ascii="Times New Roman" w:hAnsi="Times New Roman"/>
        </w:rPr>
      </w:pPr>
    </w:p>
    <w:p w:rsidR="00C96668" w:rsidP="00C96668">
      <w:pPr>
        <w:pStyle w:val="Title"/>
        <w:pBdr>
          <w:bottom w:val="none" w:sz="0" w:space="0" w:color="auto"/>
        </w:pBdr>
        <w:bidi w:val="0"/>
        <w:rPr>
          <w:rFonts w:ascii="Times New Roman" w:hAnsi="Times New Roman"/>
        </w:rPr>
      </w:pPr>
    </w:p>
    <w:p w:rsidR="00C96668" w:rsidP="00C96668">
      <w:pPr>
        <w:pStyle w:val="Title"/>
        <w:pBdr>
          <w:bottom w:val="none" w:sz="0" w:space="0" w:color="auto"/>
        </w:pBdr>
        <w:bidi w:val="0"/>
        <w:rPr>
          <w:rFonts w:ascii="Times New Roman" w:hAnsi="Times New Roman"/>
        </w:rPr>
      </w:pPr>
    </w:p>
    <w:p w:rsidR="00094059" w:rsidRPr="00C96668" w:rsidP="00C96668">
      <w:pPr>
        <w:pStyle w:val="Title"/>
        <w:pBdr>
          <w:bottom w:val="none" w:sz="0" w:space="0" w:color="auto"/>
        </w:pBdr>
        <w:bidi w:val="0"/>
        <w:rPr>
          <w:rFonts w:ascii="Times New Roman" w:hAnsi="Times New Roman"/>
        </w:rPr>
      </w:pPr>
      <w:r w:rsidRPr="00C96668" w:rsidR="00E13160">
        <w:rPr>
          <w:rFonts w:ascii="Times New Roman" w:hAnsi="Times New Roman"/>
        </w:rPr>
        <w:t>D</w:t>
      </w:r>
      <w:r w:rsidRPr="00C96668">
        <w:rPr>
          <w:rFonts w:ascii="Times New Roman" w:hAnsi="Times New Roman"/>
        </w:rPr>
        <w:t>OLOŽKA ZLUČITEĽNOSTI</w:t>
      </w:r>
    </w:p>
    <w:p w:rsidR="00E13160" w:rsidRPr="00C96668" w:rsidP="00C96668">
      <w:pPr>
        <w:bidi w:val="0"/>
        <w:spacing w:after="0" w:line="240" w:lineRule="auto"/>
        <w:jc w:val="center"/>
        <w:rPr>
          <w:rFonts w:ascii="Times New Roman" w:hAnsi="Times New Roman"/>
          <w:b/>
          <w:bCs/>
        </w:rPr>
      </w:pPr>
      <w:r w:rsidRPr="00C96668" w:rsidR="00094059">
        <w:rPr>
          <w:rFonts w:ascii="Times New Roman" w:hAnsi="Times New Roman"/>
          <w:b/>
          <w:bCs/>
        </w:rPr>
        <w:t>návrhu zákona o dani z motorových vozidiel a o zmene a doplnení niektorých zákonov</w:t>
      </w:r>
    </w:p>
    <w:p w:rsidR="00094059" w:rsidRPr="00C96668" w:rsidP="00C96668">
      <w:pPr>
        <w:bidi w:val="0"/>
        <w:spacing w:after="0" w:line="240" w:lineRule="auto"/>
        <w:jc w:val="center"/>
        <w:rPr>
          <w:rFonts w:ascii="Times New Roman" w:hAnsi="Times New Roman"/>
          <w:b/>
          <w:bCs/>
        </w:rPr>
      </w:pPr>
      <w:r w:rsidRPr="00C96668">
        <w:rPr>
          <w:rFonts w:ascii="Times New Roman" w:hAnsi="Times New Roman"/>
          <w:b/>
          <w:bCs/>
        </w:rPr>
        <w:t>s právom Európskej únie</w:t>
      </w:r>
    </w:p>
    <w:p w:rsidR="00094059" w:rsidRPr="00C96668" w:rsidP="00C96668">
      <w:pPr>
        <w:pBdr>
          <w:bottom w:val="single" w:sz="4" w:space="1" w:color="auto"/>
        </w:pBdr>
        <w:bidi w:val="0"/>
        <w:spacing w:after="0" w:line="240" w:lineRule="auto"/>
        <w:jc w:val="center"/>
        <w:rPr>
          <w:rFonts w:ascii="Times New Roman" w:hAnsi="Times New Roman"/>
          <w:b/>
          <w:bCs/>
        </w:rPr>
      </w:pPr>
    </w:p>
    <w:p w:rsidR="00C96668" w:rsidRPr="00C96668" w:rsidP="00C96668">
      <w:pPr>
        <w:widowControl/>
        <w:bidi w:val="0"/>
        <w:adjustRightInd/>
        <w:spacing w:after="0" w:line="240" w:lineRule="auto"/>
        <w:jc w:val="both"/>
        <w:rPr>
          <w:rFonts w:ascii="Times New Roman" w:hAnsi="Times New Roman"/>
          <w:sz w:val="24"/>
          <w:szCs w:val="24"/>
        </w:rPr>
      </w:pPr>
    </w:p>
    <w:p w:rsidR="00094059" w:rsidRPr="00E65DF5" w:rsidP="00E13160">
      <w:pPr>
        <w:widowControl/>
        <w:numPr>
          <w:numId w:val="5"/>
        </w:numPr>
        <w:bidi w:val="0"/>
        <w:adjustRightInd/>
        <w:spacing w:after="0" w:line="240" w:lineRule="auto"/>
        <w:jc w:val="both"/>
        <w:rPr>
          <w:rFonts w:ascii="Times New Roman" w:hAnsi="Times New Roman"/>
          <w:sz w:val="24"/>
          <w:szCs w:val="24"/>
        </w:rPr>
      </w:pPr>
      <w:r w:rsidRPr="00E65DF5">
        <w:rPr>
          <w:rFonts w:ascii="Times New Roman" w:hAnsi="Times New Roman"/>
          <w:b/>
          <w:bCs/>
          <w:sz w:val="24"/>
          <w:szCs w:val="24"/>
        </w:rPr>
        <w:t>Predkladateľ zákona:</w:t>
      </w:r>
    </w:p>
    <w:p w:rsidR="00E65DF5" w:rsidRPr="00E65DF5" w:rsidP="00E65DF5">
      <w:pPr>
        <w:widowControl/>
        <w:bidi w:val="0"/>
        <w:adjustRightInd/>
        <w:spacing w:after="0" w:line="240" w:lineRule="auto"/>
        <w:jc w:val="both"/>
        <w:rPr>
          <w:rFonts w:ascii="Times New Roman" w:hAnsi="Times New Roman"/>
          <w:sz w:val="24"/>
          <w:szCs w:val="24"/>
        </w:rPr>
      </w:pPr>
    </w:p>
    <w:p w:rsidR="00094059" w:rsidRPr="00E65DF5" w:rsidP="00E13160">
      <w:pPr>
        <w:bidi w:val="0"/>
        <w:spacing w:after="0" w:line="240" w:lineRule="auto"/>
        <w:ind w:firstLine="425"/>
        <w:jc w:val="both"/>
        <w:rPr>
          <w:rFonts w:ascii="Times New Roman" w:hAnsi="Times New Roman"/>
          <w:sz w:val="24"/>
          <w:szCs w:val="24"/>
        </w:rPr>
      </w:pPr>
      <w:r w:rsidRPr="00E65DF5">
        <w:rPr>
          <w:rFonts w:ascii="Times New Roman" w:hAnsi="Times New Roman"/>
          <w:sz w:val="24"/>
          <w:szCs w:val="24"/>
        </w:rPr>
        <w:t xml:space="preserve">Vláda Slovenskej republiky. </w:t>
      </w:r>
    </w:p>
    <w:p w:rsidR="00E13160" w:rsidRPr="00E65DF5" w:rsidP="00E13160">
      <w:pPr>
        <w:widowControl/>
        <w:bidi w:val="0"/>
        <w:adjustRightInd/>
        <w:spacing w:after="120" w:line="240" w:lineRule="auto"/>
        <w:jc w:val="both"/>
        <w:rPr>
          <w:rFonts w:ascii="Times New Roman" w:hAnsi="Times New Roman"/>
          <w:b/>
          <w:bCs/>
          <w:sz w:val="24"/>
          <w:szCs w:val="24"/>
        </w:rPr>
      </w:pPr>
    </w:p>
    <w:p w:rsidR="00094059" w:rsidRPr="00E65DF5" w:rsidP="00E13160">
      <w:pPr>
        <w:widowControl/>
        <w:numPr>
          <w:numId w:val="5"/>
        </w:numPr>
        <w:bidi w:val="0"/>
        <w:adjustRightInd/>
        <w:spacing w:after="0" w:line="240" w:lineRule="auto"/>
        <w:jc w:val="both"/>
        <w:rPr>
          <w:rFonts w:ascii="Times New Roman" w:hAnsi="Times New Roman"/>
          <w:b/>
          <w:bCs/>
          <w:sz w:val="24"/>
          <w:szCs w:val="24"/>
        </w:rPr>
      </w:pPr>
      <w:r w:rsidRPr="00E65DF5">
        <w:rPr>
          <w:rFonts w:ascii="Times New Roman" w:hAnsi="Times New Roman"/>
          <w:b/>
          <w:bCs/>
          <w:sz w:val="24"/>
          <w:szCs w:val="24"/>
        </w:rPr>
        <w:t>Názov návrhu zákona:</w:t>
      </w:r>
    </w:p>
    <w:p w:rsidR="00E65DF5" w:rsidRPr="00E65DF5" w:rsidP="00E65DF5">
      <w:pPr>
        <w:widowControl/>
        <w:bidi w:val="0"/>
        <w:adjustRightInd/>
        <w:spacing w:after="0" w:line="240" w:lineRule="auto"/>
        <w:jc w:val="both"/>
        <w:rPr>
          <w:rFonts w:ascii="Times New Roman" w:hAnsi="Times New Roman"/>
          <w:b/>
          <w:bCs/>
          <w:sz w:val="24"/>
          <w:szCs w:val="24"/>
        </w:rPr>
      </w:pPr>
    </w:p>
    <w:p w:rsidR="00094059" w:rsidRPr="00E65DF5" w:rsidP="00E13160">
      <w:pPr>
        <w:bidi w:val="0"/>
        <w:spacing w:after="0" w:line="240" w:lineRule="auto"/>
        <w:ind w:left="426"/>
        <w:jc w:val="both"/>
        <w:rPr>
          <w:rFonts w:ascii="Times New Roman" w:hAnsi="Times New Roman"/>
          <w:sz w:val="24"/>
          <w:szCs w:val="24"/>
          <w:lang w:val="cs-CZ"/>
        </w:rPr>
      </w:pPr>
      <w:r w:rsidRPr="00E65DF5">
        <w:rPr>
          <w:rFonts w:ascii="Times New Roman" w:hAnsi="Times New Roman"/>
          <w:sz w:val="24"/>
          <w:szCs w:val="24"/>
        </w:rPr>
        <w:t>N</w:t>
      </w:r>
      <w:r w:rsidRPr="00E65DF5">
        <w:rPr>
          <w:rFonts w:ascii="Times New Roman" w:hAnsi="Times New Roman"/>
          <w:bCs/>
          <w:sz w:val="24"/>
          <w:szCs w:val="24"/>
        </w:rPr>
        <w:t>ávrh zákona o dani z motorových vozidiel a o zmene a doplnení niektorých zákonov.</w:t>
      </w:r>
    </w:p>
    <w:p w:rsidR="00094059" w:rsidRPr="00E65DF5" w:rsidP="00094059">
      <w:pPr>
        <w:bidi w:val="0"/>
        <w:jc w:val="both"/>
        <w:rPr>
          <w:rFonts w:ascii="Times New Roman" w:hAnsi="Times New Roman"/>
          <w:bCs/>
          <w:sz w:val="24"/>
          <w:szCs w:val="24"/>
        </w:rPr>
      </w:pPr>
    </w:p>
    <w:p w:rsidR="00094059" w:rsidRPr="00E65DF5" w:rsidP="00094059">
      <w:pPr>
        <w:widowControl/>
        <w:numPr>
          <w:numId w:val="5"/>
        </w:numPr>
        <w:bidi w:val="0"/>
        <w:adjustRightInd/>
        <w:spacing w:after="120" w:line="240" w:lineRule="auto"/>
        <w:jc w:val="both"/>
        <w:rPr>
          <w:rFonts w:ascii="Times New Roman" w:hAnsi="Times New Roman"/>
          <w:b/>
          <w:bCs/>
          <w:sz w:val="24"/>
          <w:szCs w:val="24"/>
        </w:rPr>
      </w:pPr>
      <w:r w:rsidRPr="00E65DF5">
        <w:rPr>
          <w:rFonts w:ascii="Times New Roman" w:hAnsi="Times New Roman"/>
          <w:b/>
          <w:bCs/>
          <w:sz w:val="24"/>
          <w:szCs w:val="24"/>
        </w:rPr>
        <w:t xml:space="preserve">Problematika návrhu zákona: </w:t>
      </w:r>
    </w:p>
    <w:p w:rsidR="00094059" w:rsidRPr="00E65DF5" w:rsidP="00094059">
      <w:pPr>
        <w:pStyle w:val="BodyText"/>
        <w:numPr>
          <w:ilvl w:val="1"/>
          <w:numId w:val="5"/>
        </w:numPr>
        <w:bidi w:val="0"/>
        <w:rPr>
          <w:rFonts w:ascii="Times New Roman" w:hAnsi="Times New Roman"/>
        </w:rPr>
      </w:pPr>
      <w:r w:rsidRPr="00E65DF5">
        <w:rPr>
          <w:rFonts w:ascii="Times New Roman" w:hAnsi="Times New Roman"/>
        </w:rPr>
        <w:t>je upravená v práve Európskej únie:</w:t>
      </w:r>
    </w:p>
    <w:p w:rsidR="00094059" w:rsidRPr="00E65DF5" w:rsidP="00094059">
      <w:pPr>
        <w:pStyle w:val="Zkladntext0"/>
        <w:bidi w:val="0"/>
        <w:spacing w:after="120"/>
        <w:ind w:left="425"/>
        <w:rPr>
          <w:rFonts w:ascii="Times New Roman" w:hAnsi="Times New Roman"/>
          <w:b/>
          <w:sz w:val="24"/>
          <w:szCs w:val="24"/>
        </w:rPr>
      </w:pPr>
      <w:r w:rsidRPr="00E65DF5">
        <w:rPr>
          <w:rFonts w:ascii="Times New Roman" w:hAnsi="Times New Roman"/>
          <w:b/>
          <w:sz w:val="24"/>
          <w:szCs w:val="24"/>
        </w:rPr>
        <w:t>Primárne právo:</w:t>
      </w:r>
    </w:p>
    <w:p w:rsidR="00094059" w:rsidRPr="00E65DF5" w:rsidP="00094059">
      <w:pPr>
        <w:pStyle w:val="BodyText"/>
        <w:numPr>
          <w:numId w:val="7"/>
        </w:numPr>
        <w:bidi w:val="0"/>
        <w:ind w:left="896" w:hanging="357"/>
        <w:rPr>
          <w:rFonts w:ascii="Times New Roman" w:hAnsi="Times New Roman"/>
        </w:rPr>
      </w:pPr>
      <w:r w:rsidRPr="00E65DF5">
        <w:rPr>
          <w:rFonts w:ascii="Times New Roman" w:hAnsi="Times New Roman"/>
        </w:rPr>
        <w:t xml:space="preserve">čl. 91 až 97 Zmluvy o fungovaní Európskej únie,  </w:t>
      </w:r>
    </w:p>
    <w:p w:rsidR="00094059" w:rsidRPr="00E65DF5" w:rsidP="00094059">
      <w:pPr>
        <w:pStyle w:val="BodyTextIndent"/>
        <w:tabs>
          <w:tab w:val="left" w:pos="426"/>
        </w:tabs>
        <w:bidi w:val="0"/>
        <w:ind w:left="425"/>
        <w:rPr>
          <w:rFonts w:ascii="Times New Roman" w:hAnsi="Times New Roman"/>
          <w:sz w:val="24"/>
          <w:szCs w:val="24"/>
        </w:rPr>
      </w:pPr>
      <w:r w:rsidRPr="00E65DF5">
        <w:rPr>
          <w:rFonts w:ascii="Times New Roman" w:hAnsi="Times New Roman"/>
          <w:b/>
          <w:bCs/>
          <w:iCs/>
          <w:sz w:val="24"/>
          <w:szCs w:val="24"/>
        </w:rPr>
        <w:t>Sekundárne právo</w:t>
      </w:r>
      <w:r w:rsidRPr="00E65DF5">
        <w:rPr>
          <w:rFonts w:ascii="Times New Roman" w:hAnsi="Times New Roman"/>
          <w:b/>
          <w:bCs/>
          <w:i/>
          <w:iCs/>
          <w:sz w:val="24"/>
          <w:szCs w:val="24"/>
        </w:rPr>
        <w:t xml:space="preserve"> </w:t>
      </w:r>
      <w:r w:rsidRPr="00E65DF5">
        <w:rPr>
          <w:rFonts w:ascii="Times New Roman" w:hAnsi="Times New Roman"/>
          <w:sz w:val="24"/>
          <w:szCs w:val="24"/>
        </w:rPr>
        <w:t>(prijaté po nadobudnutí platnosti Lisabonskej zmluvy, ktorou sa mení a dopĺňa Zmluva o Európskej únii a Zmluva o založení Európskeho spoločenstva - po 30. novembri 2009):</w:t>
      </w:r>
    </w:p>
    <w:p w:rsidR="00094059" w:rsidRPr="00E65DF5" w:rsidP="00094059">
      <w:pPr>
        <w:widowControl/>
        <w:numPr>
          <w:numId w:val="9"/>
        </w:numPr>
        <w:tabs>
          <w:tab w:val="left" w:pos="851"/>
        </w:tabs>
        <w:autoSpaceDE w:val="0"/>
        <w:autoSpaceDN w:val="0"/>
        <w:bidi w:val="0"/>
        <w:spacing w:before="120" w:after="0" w:line="240" w:lineRule="auto"/>
        <w:ind w:left="567" w:hanging="153"/>
        <w:jc w:val="both"/>
        <w:rPr>
          <w:rFonts w:ascii="Times New Roman" w:hAnsi="Times New Roman"/>
          <w:bCs/>
          <w:iCs/>
          <w:sz w:val="24"/>
          <w:szCs w:val="24"/>
          <w:u w:val="single"/>
        </w:rPr>
      </w:pPr>
      <w:r w:rsidRPr="00E65DF5">
        <w:rPr>
          <w:rFonts w:ascii="Times New Roman" w:hAnsi="Times New Roman"/>
          <w:bCs/>
          <w:iCs/>
          <w:sz w:val="24"/>
          <w:szCs w:val="24"/>
          <w:u w:val="single"/>
        </w:rPr>
        <w:t>legislatívne akty:</w:t>
      </w:r>
    </w:p>
    <w:p w:rsidR="00094059" w:rsidRPr="00E65DF5" w:rsidP="00094059">
      <w:pPr>
        <w:pStyle w:val="BodyTextIndent"/>
        <w:tabs>
          <w:tab w:val="left" w:pos="426"/>
        </w:tabs>
        <w:bidi w:val="0"/>
        <w:ind w:left="425"/>
        <w:rPr>
          <w:rFonts w:ascii="Times New Roman" w:hAnsi="Times New Roman"/>
          <w:sz w:val="24"/>
          <w:szCs w:val="24"/>
        </w:rPr>
      </w:pPr>
    </w:p>
    <w:p w:rsidR="00094059" w:rsidRPr="00E65DF5" w:rsidP="00094059">
      <w:pPr>
        <w:pStyle w:val="BodyTextIndent"/>
        <w:numPr>
          <w:numId w:val="7"/>
        </w:numPr>
        <w:tabs>
          <w:tab w:val="clear" w:pos="900"/>
        </w:tabs>
        <w:bidi w:val="0"/>
        <w:spacing w:line="276" w:lineRule="auto"/>
        <w:ind w:left="896" w:hanging="329"/>
        <w:jc w:val="both"/>
        <w:rPr>
          <w:rFonts w:ascii="Times New Roman" w:hAnsi="Times New Roman"/>
          <w:sz w:val="24"/>
          <w:szCs w:val="24"/>
        </w:rPr>
      </w:pPr>
      <w:r w:rsidRPr="00E65DF5">
        <w:rPr>
          <w:rFonts w:ascii="Times New Roman" w:hAnsi="Times New Roman"/>
          <w:bCs/>
          <w:sz w:val="24"/>
          <w:szCs w:val="24"/>
        </w:rPr>
        <w:t>nariadenie Európskeho parlamentu a Rady (EÚ) č. </w:t>
      </w:r>
      <w:r w:rsidRPr="00E65DF5">
        <w:rPr>
          <w:rFonts w:ascii="Times New Roman" w:hAnsi="Times New Roman"/>
          <w:bCs/>
          <w:sz w:val="24"/>
          <w:szCs w:val="24"/>
          <w:u w:val="single"/>
        </w:rPr>
        <w:t>168/2013</w:t>
      </w:r>
      <w:r w:rsidRPr="00E65DF5">
        <w:rPr>
          <w:rFonts w:ascii="Times New Roman" w:hAnsi="Times New Roman"/>
          <w:bCs/>
          <w:sz w:val="24"/>
          <w:szCs w:val="24"/>
        </w:rPr>
        <w:t xml:space="preserve"> z  15. januára 2013 o schvaľovaní a dohľade nad trhom dvoj- alebo trojkolesových vozidiel a štvorkoliek (</w:t>
      </w:r>
      <w:r w:rsidRPr="00E65DF5">
        <w:rPr>
          <w:rFonts w:ascii="Times New Roman" w:hAnsi="Times New Roman"/>
          <w:bCs/>
          <w:iCs/>
          <w:sz w:val="24"/>
          <w:szCs w:val="24"/>
        </w:rPr>
        <w:t>Ú. v. EÚ L 60, 2.3.2013),</w:t>
      </w:r>
    </w:p>
    <w:p w:rsidR="00094059" w:rsidRPr="00E65DF5" w:rsidP="00094059">
      <w:pPr>
        <w:autoSpaceDE w:val="0"/>
        <w:autoSpaceDN w:val="0"/>
        <w:bidi w:val="0"/>
        <w:spacing w:after="240"/>
        <w:ind w:left="425"/>
        <w:jc w:val="both"/>
        <w:rPr>
          <w:rFonts w:ascii="Times New Roman" w:hAnsi="Times New Roman"/>
          <w:sz w:val="24"/>
          <w:szCs w:val="24"/>
        </w:rPr>
      </w:pPr>
      <w:r w:rsidRPr="00E65DF5">
        <w:rPr>
          <w:rFonts w:ascii="Times New Roman" w:hAnsi="Times New Roman"/>
          <w:b/>
          <w:bCs/>
          <w:iCs/>
          <w:sz w:val="24"/>
          <w:szCs w:val="24"/>
        </w:rPr>
        <w:t xml:space="preserve">Sekundárne právo </w:t>
      </w:r>
      <w:r w:rsidRPr="00E65DF5">
        <w:rPr>
          <w:rFonts w:ascii="Times New Roman" w:hAnsi="Times New Roman"/>
          <w:sz w:val="24"/>
          <w:szCs w:val="24"/>
        </w:rPr>
        <w:t>(prijaté pred nadobudnutím platnosti Lisabonskej zmluvy, ktorou sa mení a dopĺňa Zmluva o Európskej únii a Zmluva o založení Európskeho spoločenstva - do 30. novembra 2009):</w:t>
      </w:r>
    </w:p>
    <w:p w:rsidR="00094059" w:rsidRPr="00E65DF5" w:rsidP="00094059">
      <w:pPr>
        <w:pStyle w:val="BodyTextIndent"/>
        <w:numPr>
          <w:numId w:val="6"/>
        </w:numPr>
        <w:autoSpaceDE w:val="0"/>
        <w:autoSpaceDN w:val="0"/>
        <w:bidi w:val="0"/>
        <w:adjustRightInd w:val="0"/>
        <w:spacing w:line="276" w:lineRule="auto"/>
        <w:ind w:left="896" w:hanging="357"/>
        <w:jc w:val="both"/>
        <w:rPr>
          <w:rFonts w:ascii="Times New Roman" w:hAnsi="Times New Roman"/>
          <w:sz w:val="24"/>
          <w:szCs w:val="24"/>
        </w:rPr>
      </w:pPr>
      <w:r w:rsidRPr="00E65DF5">
        <w:rPr>
          <w:rFonts w:ascii="Times New Roman" w:hAnsi="Times New Roman"/>
          <w:sz w:val="24"/>
          <w:szCs w:val="24"/>
        </w:rPr>
        <w:t xml:space="preserve">smernica Európskeho parlamentu a Rady </w:t>
      </w:r>
      <w:r w:rsidRPr="00E65DF5">
        <w:rPr>
          <w:rFonts w:ascii="Times New Roman" w:hAnsi="Times New Roman"/>
          <w:sz w:val="24"/>
          <w:szCs w:val="24"/>
          <w:u w:val="single"/>
        </w:rPr>
        <w:t>1999/62/ES</w:t>
      </w:r>
      <w:r w:rsidRPr="00E65DF5">
        <w:rPr>
          <w:rFonts w:ascii="Times New Roman" w:hAnsi="Times New Roman"/>
          <w:sz w:val="24"/>
          <w:szCs w:val="24"/>
        </w:rPr>
        <w:t xml:space="preserve"> zo 17.júna 1999 o poplatkoch za používanie určitej dopravnej infraštruktúry ťažkými nákladnými vozidlami (Mimoriadne vydanie Ú.v. EÚ kap. 7/zv.4) v platnom znení,</w:t>
      </w:r>
    </w:p>
    <w:p w:rsidR="00094059" w:rsidRPr="00E65DF5" w:rsidP="00094059">
      <w:pPr>
        <w:pStyle w:val="BodyTextIndent"/>
        <w:numPr>
          <w:numId w:val="6"/>
        </w:numPr>
        <w:autoSpaceDE w:val="0"/>
        <w:autoSpaceDN w:val="0"/>
        <w:bidi w:val="0"/>
        <w:adjustRightInd w:val="0"/>
        <w:spacing w:line="276" w:lineRule="auto"/>
        <w:ind w:left="896" w:hanging="357"/>
        <w:jc w:val="both"/>
        <w:rPr>
          <w:rStyle w:val="Emphasis"/>
          <w:rFonts w:ascii="Times New Roman" w:hAnsi="Times New Roman"/>
          <w:sz w:val="24"/>
          <w:szCs w:val="24"/>
        </w:rPr>
      </w:pPr>
      <w:r w:rsidRPr="00E65DF5">
        <w:rPr>
          <w:rFonts w:ascii="Times New Roman" w:hAnsi="Times New Roman"/>
          <w:sz w:val="24"/>
          <w:szCs w:val="24"/>
        </w:rPr>
        <w:t xml:space="preserve">smernica Rady </w:t>
      </w:r>
      <w:r w:rsidRPr="00E65DF5">
        <w:rPr>
          <w:rFonts w:ascii="Times New Roman" w:hAnsi="Times New Roman"/>
          <w:sz w:val="24"/>
          <w:szCs w:val="24"/>
          <w:u w:val="single"/>
        </w:rPr>
        <w:t>1992/106/EHS</w:t>
      </w:r>
      <w:r w:rsidRPr="00E65DF5">
        <w:rPr>
          <w:rFonts w:ascii="Times New Roman" w:hAnsi="Times New Roman"/>
          <w:sz w:val="24"/>
          <w:szCs w:val="24"/>
        </w:rPr>
        <w:t xml:space="preserve"> zo 7. decembra 1992 o stanovení spoločných pravidiel pre určité typy kombinovanej dopravy tovaru medzi členskými štátmi (</w:t>
      </w:r>
      <w:r w:rsidRPr="00E65DF5">
        <w:rPr>
          <w:rStyle w:val="Emphasis"/>
          <w:rFonts w:ascii="Times New Roman" w:hAnsi="Times New Roman"/>
          <w:i w:val="0"/>
          <w:iCs/>
          <w:sz w:val="24"/>
          <w:szCs w:val="24"/>
        </w:rPr>
        <w:t>Ú. v. ES L 368, 17.12.1992) v platnom znení,</w:t>
      </w:r>
    </w:p>
    <w:p w:rsidR="00094059" w:rsidRPr="00E65DF5" w:rsidP="00094059">
      <w:pPr>
        <w:pStyle w:val="BodyTextIndent"/>
        <w:numPr>
          <w:numId w:val="6"/>
        </w:numPr>
        <w:autoSpaceDE w:val="0"/>
        <w:autoSpaceDN w:val="0"/>
        <w:bidi w:val="0"/>
        <w:adjustRightInd w:val="0"/>
        <w:spacing w:line="276" w:lineRule="auto"/>
        <w:ind w:left="896" w:hanging="357"/>
        <w:jc w:val="both"/>
        <w:rPr>
          <w:rFonts w:ascii="Times New Roman" w:hAnsi="Times New Roman"/>
          <w:sz w:val="24"/>
          <w:szCs w:val="24"/>
        </w:rPr>
      </w:pPr>
      <w:r w:rsidRPr="00E65DF5">
        <w:rPr>
          <w:rFonts w:ascii="Times New Roman" w:hAnsi="Times New Roman"/>
          <w:bCs/>
          <w:sz w:val="24"/>
          <w:szCs w:val="24"/>
        </w:rPr>
        <w:t xml:space="preserve">nariadenie Európskeho parlamentu a Rady (ES) č. </w:t>
      </w:r>
      <w:r w:rsidRPr="00E65DF5">
        <w:rPr>
          <w:rFonts w:ascii="Times New Roman" w:hAnsi="Times New Roman"/>
          <w:bCs/>
          <w:sz w:val="24"/>
          <w:szCs w:val="24"/>
          <w:u w:val="single"/>
        </w:rPr>
        <w:t>79/2009</w:t>
      </w:r>
      <w:r w:rsidRPr="00E65DF5">
        <w:rPr>
          <w:rFonts w:ascii="Times New Roman" w:hAnsi="Times New Roman"/>
          <w:bCs/>
          <w:sz w:val="24"/>
          <w:szCs w:val="24"/>
        </w:rPr>
        <w:t xml:space="preserve"> zo 14. januára 2009 o typovom schvaľovaní motorových vozidiel na vodíkový pohon, ktorým sa mení a dopĺňa smernica 2007/46/ES (</w:t>
      </w:r>
      <w:r w:rsidRPr="00E65DF5">
        <w:rPr>
          <w:rFonts w:ascii="Times New Roman" w:hAnsi="Times New Roman"/>
          <w:bCs/>
          <w:iCs/>
          <w:sz w:val="24"/>
          <w:szCs w:val="24"/>
        </w:rPr>
        <w:t>Ú. v. EÚ L 35, 4.2.2009).</w:t>
      </w:r>
    </w:p>
    <w:p w:rsidR="00094059" w:rsidRPr="00E65DF5" w:rsidP="00094059">
      <w:pPr>
        <w:pStyle w:val="BodyText"/>
        <w:numPr>
          <w:ilvl w:val="1"/>
          <w:numId w:val="5"/>
        </w:numPr>
        <w:bidi w:val="0"/>
        <w:jc w:val="both"/>
        <w:rPr>
          <w:rFonts w:ascii="Times New Roman" w:hAnsi="Times New Roman"/>
        </w:rPr>
      </w:pPr>
      <w:r w:rsidRPr="00E65DF5">
        <w:rPr>
          <w:rFonts w:ascii="Times New Roman" w:hAnsi="Times New Roman"/>
        </w:rPr>
        <w:t>je obsiahnutá v judikatúre Súdneho dvora Európskej únie:</w:t>
      </w:r>
    </w:p>
    <w:p w:rsidR="00094059" w:rsidRPr="00E65DF5" w:rsidP="00094059">
      <w:pPr>
        <w:pStyle w:val="c02alineaalta"/>
        <w:numPr>
          <w:numId w:val="6"/>
        </w:numPr>
        <w:bidi w:val="0"/>
        <w:spacing w:line="276" w:lineRule="auto"/>
        <w:ind w:left="896" w:hanging="357"/>
        <w:rPr>
          <w:rFonts w:ascii="Times New Roman" w:hAnsi="Times New Roman" w:cs="Times New Roman"/>
          <w:sz w:val="24"/>
          <w:szCs w:val="24"/>
        </w:rPr>
      </w:pPr>
      <w:r w:rsidRPr="00E65DF5">
        <w:rPr>
          <w:rFonts w:ascii="Times New Roman" w:hAnsi="Times New Roman" w:cs="Times New Roman"/>
          <w:sz w:val="24"/>
          <w:szCs w:val="24"/>
        </w:rPr>
        <w:t xml:space="preserve">rozhodnutie Súdneho dvora vo veci C -18/08, </w:t>
      </w:r>
      <w:r w:rsidRPr="00E65DF5">
        <w:rPr>
          <w:rFonts w:ascii="Times New Roman" w:hAnsi="Times New Roman" w:cs="Times New Roman"/>
          <w:bCs/>
          <w:sz w:val="24"/>
          <w:szCs w:val="24"/>
        </w:rPr>
        <w:t>Foselev Sud</w:t>
      </w:r>
      <w:r w:rsidRPr="00E65DF5">
        <w:rPr>
          <w:rFonts w:ascii="Times New Roman" w:hAnsi="Times New Roman" w:cs="Times New Roman"/>
          <w:bCs/>
          <w:sz w:val="24"/>
          <w:szCs w:val="24"/>
        </w:rPr>
        <w:noBreakHyphen/>
        <w:t>Ouest SARL v. Administration des douanes et droits indirects, [2008].</w:t>
      </w:r>
    </w:p>
    <w:p w:rsidR="00094059" w:rsidRPr="00E65DF5" w:rsidP="00094059">
      <w:pPr>
        <w:widowControl/>
        <w:numPr>
          <w:numId w:val="5"/>
        </w:numPr>
        <w:tabs>
          <w:tab w:val="left" w:pos="340"/>
        </w:tabs>
        <w:bidi w:val="0"/>
        <w:adjustRightInd/>
        <w:spacing w:after="120" w:line="240" w:lineRule="auto"/>
        <w:jc w:val="both"/>
        <w:rPr>
          <w:rFonts w:ascii="Times New Roman" w:hAnsi="Times New Roman"/>
          <w:b/>
          <w:bCs/>
          <w:sz w:val="24"/>
          <w:szCs w:val="24"/>
        </w:rPr>
      </w:pPr>
      <w:r w:rsidRPr="00E65DF5">
        <w:rPr>
          <w:rFonts w:ascii="Times New Roman" w:hAnsi="Times New Roman"/>
          <w:b/>
          <w:bCs/>
          <w:sz w:val="24"/>
          <w:szCs w:val="24"/>
        </w:rPr>
        <w:t>Záväzky Slovenskej republiky vo vzťahu k Európskej únii:</w:t>
      </w:r>
    </w:p>
    <w:p w:rsidR="00094059" w:rsidRPr="00E65DF5" w:rsidP="00094059">
      <w:pPr>
        <w:pStyle w:val="BodyText"/>
        <w:bidi w:val="0"/>
        <w:ind w:left="360"/>
        <w:jc w:val="both"/>
        <w:rPr>
          <w:rFonts w:ascii="Times New Roman" w:hAnsi="Times New Roman"/>
          <w:bCs/>
        </w:rPr>
      </w:pPr>
      <w:r w:rsidRPr="00E65DF5">
        <w:rPr>
          <w:rFonts w:ascii="Times New Roman" w:hAnsi="Times New Roman"/>
        </w:rPr>
        <w:t>a)</w:t>
        <w:tab/>
      </w:r>
      <w:r w:rsidRPr="00E65DF5">
        <w:rPr>
          <w:rFonts w:ascii="Times New Roman" w:hAnsi="Times New Roman"/>
          <w:bCs/>
        </w:rPr>
        <w:t>Lehota na prebratie smernice</w:t>
      </w:r>
      <w:r w:rsidRPr="00E65DF5">
        <w:rPr>
          <w:rFonts w:ascii="Times New Roman" w:hAnsi="Times New Roman"/>
        </w:rPr>
        <w:t xml:space="preserve"> alebo lehota na implementáciu nariadenia alebo rozhodnutia</w:t>
      </w:r>
      <w:r w:rsidRPr="00E65DF5">
        <w:rPr>
          <w:rFonts w:ascii="Times New Roman" w:hAnsi="Times New Roman"/>
          <w:bCs/>
        </w:rPr>
        <w:t>: bezpredmetné.</w:t>
      </w:r>
    </w:p>
    <w:p w:rsidR="00094059" w:rsidRPr="00E65DF5" w:rsidP="00094059">
      <w:pPr>
        <w:pStyle w:val="BodyText"/>
        <w:numPr>
          <w:numId w:val="8"/>
        </w:numPr>
        <w:bidi w:val="0"/>
        <w:ind w:left="697" w:hanging="340"/>
        <w:jc w:val="both"/>
        <w:rPr>
          <w:rFonts w:ascii="Times New Roman" w:hAnsi="Times New Roman"/>
          <w:bCs/>
        </w:rPr>
      </w:pPr>
      <w:r w:rsidRPr="00E65DF5">
        <w:rPr>
          <w:rFonts w:ascii="Times New Roman" w:hAnsi="Times New Roman"/>
          <w:bCs/>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094059" w:rsidRPr="00E65DF5" w:rsidP="00094059">
      <w:pPr>
        <w:pStyle w:val="Zkladntext"/>
        <w:bidi w:val="0"/>
        <w:spacing w:after="120"/>
        <w:ind w:left="720" w:hanging="357"/>
        <w:jc w:val="both"/>
        <w:rPr>
          <w:rFonts w:ascii="Times New Roman" w:hAnsi="Times New Roman"/>
          <w:szCs w:val="24"/>
        </w:rPr>
      </w:pPr>
      <w:r w:rsidRPr="00E65DF5">
        <w:rPr>
          <w:rFonts w:ascii="Times New Roman" w:hAnsi="Times New Roman"/>
          <w:szCs w:val="24"/>
        </w:rPr>
        <w:t>c)</w:t>
        <w:tab/>
        <w:t>Proti SR nebolo začaté konanie o porušení Zmluvy o fungovaní Európskej únie podľa čl. 258 až 260 Zmluvy o fungovaní Európskej únie.</w:t>
      </w:r>
    </w:p>
    <w:p w:rsidR="00094059" w:rsidRPr="00E65DF5" w:rsidP="00094059">
      <w:pPr>
        <w:pStyle w:val="Zkladntext"/>
        <w:bidi w:val="0"/>
        <w:spacing w:after="120"/>
        <w:ind w:left="720" w:hanging="363"/>
        <w:jc w:val="both"/>
        <w:rPr>
          <w:rFonts w:ascii="Times New Roman" w:hAnsi="Times New Roman"/>
          <w:szCs w:val="24"/>
        </w:rPr>
      </w:pPr>
      <w:r w:rsidRPr="00E65DF5">
        <w:rPr>
          <w:rFonts w:ascii="Times New Roman" w:hAnsi="Times New Roman"/>
          <w:szCs w:val="24"/>
        </w:rPr>
        <w:t>d)</w:t>
        <w:tab/>
        <w:t>Bezpredmetné.</w:t>
      </w:r>
    </w:p>
    <w:p w:rsidR="00094059" w:rsidRPr="00E65DF5" w:rsidP="00094059">
      <w:pPr>
        <w:pStyle w:val="BodyText"/>
        <w:tabs>
          <w:tab w:val="left" w:pos="360"/>
        </w:tabs>
        <w:bidi w:val="0"/>
        <w:ind w:left="357" w:hanging="357"/>
        <w:jc w:val="both"/>
        <w:rPr>
          <w:rFonts w:ascii="Times New Roman" w:hAnsi="Times New Roman"/>
        </w:rPr>
      </w:pPr>
      <w:r w:rsidRPr="00E65DF5">
        <w:rPr>
          <w:rFonts w:ascii="Times New Roman" w:hAnsi="Times New Roman"/>
          <w:bCs/>
        </w:rPr>
        <w:t xml:space="preserve"> </w:t>
      </w:r>
    </w:p>
    <w:p w:rsidR="00094059" w:rsidRPr="00E65DF5" w:rsidP="00094059">
      <w:pPr>
        <w:widowControl/>
        <w:numPr>
          <w:numId w:val="5"/>
        </w:numPr>
        <w:bidi w:val="0"/>
        <w:adjustRightInd/>
        <w:spacing w:after="120" w:line="240" w:lineRule="auto"/>
        <w:jc w:val="both"/>
        <w:rPr>
          <w:rFonts w:ascii="Times New Roman" w:hAnsi="Times New Roman"/>
          <w:b/>
          <w:bCs/>
          <w:sz w:val="24"/>
          <w:szCs w:val="24"/>
        </w:rPr>
      </w:pPr>
      <w:r w:rsidRPr="00E65DF5">
        <w:rPr>
          <w:rFonts w:ascii="Times New Roman" w:hAnsi="Times New Roman"/>
          <w:b/>
          <w:bCs/>
          <w:sz w:val="24"/>
          <w:szCs w:val="24"/>
        </w:rPr>
        <w:t>Stupeň zlučiteľnosti návrhu zákona s právom Európskej únie:</w:t>
      </w:r>
    </w:p>
    <w:p w:rsidR="00094059" w:rsidRPr="00E65DF5" w:rsidP="00094059">
      <w:pPr>
        <w:tabs>
          <w:tab w:val="left" w:pos="851"/>
        </w:tabs>
        <w:bidi w:val="0"/>
        <w:spacing w:after="120"/>
        <w:ind w:left="360"/>
        <w:jc w:val="both"/>
        <w:rPr>
          <w:rFonts w:ascii="Times New Roman" w:hAnsi="Times New Roman"/>
          <w:sz w:val="24"/>
          <w:szCs w:val="24"/>
        </w:rPr>
      </w:pPr>
      <w:r w:rsidRPr="00E65DF5">
        <w:rPr>
          <w:rFonts w:ascii="Times New Roman" w:hAnsi="Times New Roman"/>
          <w:sz w:val="24"/>
          <w:szCs w:val="24"/>
        </w:rPr>
        <w:t xml:space="preserve"> Úplný.</w:t>
      </w:r>
    </w:p>
    <w:p w:rsidR="00094059" w:rsidRPr="00E65DF5" w:rsidP="00094059">
      <w:pPr>
        <w:widowControl/>
        <w:numPr>
          <w:numId w:val="5"/>
        </w:numPr>
        <w:bidi w:val="0"/>
        <w:adjustRightInd/>
        <w:spacing w:after="120" w:line="240" w:lineRule="auto"/>
        <w:jc w:val="both"/>
        <w:rPr>
          <w:rFonts w:ascii="Times New Roman" w:hAnsi="Times New Roman"/>
          <w:b/>
          <w:bCs/>
          <w:sz w:val="24"/>
          <w:szCs w:val="24"/>
        </w:rPr>
      </w:pPr>
      <w:r w:rsidRPr="00E65DF5">
        <w:rPr>
          <w:rFonts w:ascii="Times New Roman" w:hAnsi="Times New Roman"/>
          <w:b/>
          <w:bCs/>
          <w:sz w:val="24"/>
          <w:szCs w:val="24"/>
        </w:rPr>
        <w:t xml:space="preserve">Gestor a spolupracujúce rezorty: </w:t>
      </w:r>
    </w:p>
    <w:p w:rsidR="00094059" w:rsidRPr="00E65DF5" w:rsidP="00094059">
      <w:pPr>
        <w:bidi w:val="0"/>
        <w:spacing w:after="120"/>
        <w:ind w:left="360"/>
        <w:jc w:val="both"/>
        <w:rPr>
          <w:rFonts w:ascii="Times New Roman" w:hAnsi="Times New Roman"/>
          <w:b/>
          <w:bCs/>
          <w:sz w:val="24"/>
          <w:szCs w:val="24"/>
        </w:rPr>
      </w:pPr>
      <w:r w:rsidRPr="00E65DF5">
        <w:rPr>
          <w:rFonts w:ascii="Times New Roman" w:hAnsi="Times New Roman"/>
          <w:sz w:val="24"/>
          <w:szCs w:val="24"/>
        </w:rPr>
        <w:t xml:space="preserve"> Ministerstvo dopravy, pôšt a telekomunikácií Slovenskej republiky a Ministerstvo financií Slovenskej republiky.</w:t>
      </w:r>
    </w:p>
    <w:p w:rsidR="00CF0A3A" w:rsidRPr="00E65DF5" w:rsidP="00CF0A3A">
      <w:pPr>
        <w:bidi w:val="0"/>
        <w:spacing w:after="0" w:line="240" w:lineRule="auto"/>
        <w:ind w:firstLine="360"/>
        <w:jc w:val="both"/>
        <w:rPr>
          <w:rFonts w:ascii="Times New Roman" w:hAnsi="Times New Roman"/>
          <w:sz w:val="24"/>
          <w:szCs w:val="24"/>
          <w:lang w:val="sk-SK"/>
        </w:rPr>
      </w:pPr>
    </w:p>
    <w:p w:rsidR="00CF0A3A" w:rsidRPr="00E65DF5" w:rsidP="00CF0A3A">
      <w:pPr>
        <w:bidi w:val="0"/>
        <w:spacing w:after="0" w:line="240" w:lineRule="auto"/>
        <w:ind w:firstLine="360"/>
        <w:jc w:val="both"/>
        <w:rPr>
          <w:rFonts w:ascii="Times New Roman" w:hAnsi="Times New Roman"/>
          <w:sz w:val="24"/>
          <w:szCs w:val="24"/>
          <w:lang w:val="sk-SK"/>
        </w:rPr>
      </w:pPr>
    </w:p>
    <w:p w:rsidR="00CF0A3A" w:rsidRPr="00E65DF5"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9C2F33" w:rsidP="00CF0A3A">
      <w:pPr>
        <w:bidi w:val="0"/>
        <w:spacing w:after="0" w:line="240" w:lineRule="auto"/>
        <w:ind w:firstLine="360"/>
        <w:jc w:val="both"/>
        <w:rPr>
          <w:rFonts w:ascii="Times New Roman" w:hAnsi="Times New Roman"/>
          <w:sz w:val="24"/>
          <w:szCs w:val="24"/>
          <w:lang w:val="sk-SK"/>
        </w:rPr>
      </w:pPr>
    </w:p>
    <w:p w:rsidR="00094059" w:rsidP="00CF0A3A">
      <w:pPr>
        <w:bidi w:val="0"/>
        <w:spacing w:after="0" w:line="240" w:lineRule="auto"/>
        <w:ind w:firstLine="360"/>
        <w:jc w:val="both"/>
        <w:rPr>
          <w:rFonts w:ascii="Times New Roman" w:hAnsi="Times New Roman"/>
          <w:sz w:val="24"/>
          <w:szCs w:val="24"/>
          <w:lang w:val="sk-SK"/>
        </w:rPr>
      </w:pPr>
    </w:p>
    <w:p w:rsidR="00094059" w:rsidP="00CF0A3A">
      <w:pPr>
        <w:bidi w:val="0"/>
        <w:spacing w:after="0" w:line="240" w:lineRule="auto"/>
        <w:ind w:firstLine="360"/>
        <w:jc w:val="both"/>
        <w:rPr>
          <w:rFonts w:ascii="Times New Roman" w:hAnsi="Times New Roman"/>
          <w:sz w:val="24"/>
          <w:szCs w:val="24"/>
          <w:lang w:val="sk-SK"/>
        </w:rPr>
      </w:pPr>
    </w:p>
    <w:p w:rsidR="00094059" w:rsidP="00CF0A3A">
      <w:pPr>
        <w:bidi w:val="0"/>
        <w:spacing w:after="0" w:line="240" w:lineRule="auto"/>
        <w:ind w:firstLine="360"/>
        <w:jc w:val="both"/>
        <w:rPr>
          <w:rFonts w:ascii="Times New Roman" w:hAnsi="Times New Roman"/>
          <w:sz w:val="24"/>
          <w:szCs w:val="24"/>
          <w:lang w:val="sk-SK"/>
        </w:rPr>
      </w:pPr>
    </w:p>
    <w:p w:rsidR="00094059" w:rsidP="00CF0A3A">
      <w:pPr>
        <w:bidi w:val="0"/>
        <w:spacing w:after="0" w:line="240" w:lineRule="auto"/>
        <w:ind w:firstLine="360"/>
        <w:jc w:val="both"/>
        <w:rPr>
          <w:rFonts w:ascii="Times New Roman" w:hAnsi="Times New Roman"/>
          <w:sz w:val="24"/>
          <w:szCs w:val="24"/>
          <w:lang w:val="sk-SK"/>
        </w:rPr>
      </w:pPr>
    </w:p>
    <w:p w:rsidR="00094059"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E65DF5" w:rsidP="00CF0A3A">
      <w:pPr>
        <w:bidi w:val="0"/>
        <w:spacing w:after="0" w:line="240" w:lineRule="auto"/>
        <w:ind w:firstLine="360"/>
        <w:jc w:val="both"/>
        <w:rPr>
          <w:rFonts w:ascii="Times New Roman" w:hAnsi="Times New Roman"/>
          <w:sz w:val="24"/>
          <w:szCs w:val="24"/>
          <w:lang w:val="sk-SK"/>
        </w:rPr>
      </w:pPr>
    </w:p>
    <w:p w:rsidR="00010C9D" w:rsidP="00010C9D">
      <w:pPr>
        <w:pStyle w:val="NormalWeb"/>
        <w:bidi w:val="0"/>
        <w:spacing w:before="0" w:beforeAutospacing="0" w:after="0" w:afterAutospacing="0"/>
        <w:ind w:right="-108"/>
        <w:rPr>
          <w:rFonts w:ascii="Times New Roman" w:hAnsi="Times New Roman"/>
          <w:b/>
          <w:bCs/>
        </w:rPr>
      </w:pPr>
    </w:p>
    <w:p w:rsidR="00CF0A3A" w:rsidRPr="00094059" w:rsidP="00010C9D">
      <w:pPr>
        <w:pStyle w:val="NormalWeb"/>
        <w:bidi w:val="0"/>
        <w:spacing w:before="0" w:beforeAutospacing="0" w:after="0" w:afterAutospacing="0"/>
        <w:ind w:right="-108"/>
        <w:jc w:val="center"/>
        <w:rPr>
          <w:rFonts w:ascii="Times New Roman" w:hAnsi="Times New Roman"/>
        </w:rPr>
      </w:pPr>
      <w:r w:rsidRPr="00094059">
        <w:rPr>
          <w:rFonts w:ascii="Times New Roman" w:hAnsi="Times New Roman"/>
          <w:b/>
          <w:bCs/>
        </w:rPr>
        <w:t>Doložka vybraných vplyvov</w:t>
      </w:r>
    </w:p>
    <w:p w:rsidR="00CF0A3A" w:rsidRPr="00094059" w:rsidP="00CF0A3A">
      <w:pPr>
        <w:pStyle w:val="NormalWeb"/>
        <w:bidi w:val="0"/>
        <w:spacing w:before="0" w:beforeAutospacing="0" w:after="0" w:afterAutospacing="0"/>
        <w:ind w:right="-108"/>
        <w:jc w:val="center"/>
        <w:rPr>
          <w:rFonts w:ascii="Times New Roman" w:hAnsi="Times New Roman"/>
        </w:rPr>
      </w:pPr>
      <w:r w:rsidRPr="00094059">
        <w:rPr>
          <w:rFonts w:ascii="Times New Roman" w:hAnsi="Times New Roman"/>
          <w:b/>
          <w:bCs/>
        </w:rPr>
        <w:t> </w:t>
      </w:r>
    </w:p>
    <w:p w:rsidR="00094059" w:rsidRPr="00094059" w:rsidP="00094059">
      <w:pPr>
        <w:bidi w:val="0"/>
        <w:spacing w:after="0" w:line="240" w:lineRule="auto"/>
        <w:rPr>
          <w:rFonts w:ascii="Times New Roman" w:hAnsi="Times New Roman"/>
          <w:color w:val="000000"/>
          <w:sz w:val="24"/>
          <w:szCs w:val="24"/>
          <w:lang w:val="sk-SK"/>
        </w:rPr>
      </w:pPr>
    </w:p>
    <w:p w:rsidR="00094059" w:rsidRPr="00094059" w:rsidP="00094059">
      <w:pPr>
        <w:bidi w:val="0"/>
        <w:spacing w:after="0" w:line="240" w:lineRule="auto"/>
        <w:jc w:val="both"/>
        <w:rPr>
          <w:rFonts w:ascii="Times New Roman" w:hAnsi="Times New Roman"/>
          <w:color w:val="000000"/>
          <w:sz w:val="24"/>
          <w:szCs w:val="24"/>
          <w:lang w:val="sk-SK"/>
        </w:rPr>
      </w:pPr>
      <w:r w:rsidRPr="00094059">
        <w:rPr>
          <w:rFonts w:ascii="Times New Roman" w:hAnsi="Times New Roman"/>
          <w:b/>
          <w:bCs/>
          <w:color w:val="000000"/>
          <w:sz w:val="24"/>
          <w:szCs w:val="24"/>
          <w:lang w:val="sk-SK"/>
        </w:rPr>
        <w:t xml:space="preserve">A.1. Názov materiálu: </w:t>
      </w:r>
      <w:r w:rsidRPr="00094059">
        <w:rPr>
          <w:rFonts w:ascii="Times New Roman" w:hAnsi="Times New Roman"/>
          <w:color w:val="000000"/>
          <w:sz w:val="24"/>
          <w:szCs w:val="24"/>
          <w:lang w:val="sk-SK"/>
        </w:rPr>
        <w:t>Návrh zákona o dani z motorových vozidiel a o zmene a doplnení niektorých zákonov</w:t>
      </w:r>
    </w:p>
    <w:p w:rsidR="00094059" w:rsidRPr="00094059" w:rsidP="00094059">
      <w:pPr>
        <w:bidi w:val="0"/>
        <w:spacing w:after="0" w:line="240" w:lineRule="auto"/>
        <w:jc w:val="both"/>
        <w:rPr>
          <w:rFonts w:ascii="Times New Roman" w:hAnsi="Times New Roman"/>
          <w:color w:val="000000"/>
          <w:sz w:val="24"/>
          <w:szCs w:val="24"/>
          <w:lang w:val="sk-SK"/>
        </w:rPr>
      </w:pPr>
    </w:p>
    <w:p w:rsidR="00094059" w:rsidRPr="00094059" w:rsidP="00094059">
      <w:pPr>
        <w:bidi w:val="0"/>
        <w:spacing w:after="0" w:line="240" w:lineRule="auto"/>
        <w:jc w:val="both"/>
        <w:rPr>
          <w:rFonts w:ascii="Times New Roman" w:hAnsi="Times New Roman"/>
          <w:b/>
          <w:bCs/>
          <w:color w:val="000000"/>
          <w:sz w:val="24"/>
          <w:szCs w:val="24"/>
          <w:lang w:val="sk-SK"/>
        </w:rPr>
      </w:pPr>
      <w:r w:rsidRPr="00094059">
        <w:rPr>
          <w:rFonts w:ascii="Times New Roman" w:hAnsi="Times New Roman"/>
          <w:b/>
          <w:bCs/>
          <w:color w:val="000000"/>
          <w:sz w:val="24"/>
          <w:szCs w:val="24"/>
          <w:lang w:val="sk-SK"/>
        </w:rPr>
        <w:t>Termín začatia a ukončenia PPK:</w:t>
      </w:r>
      <w:r w:rsidRPr="00094059">
        <w:rPr>
          <w:rFonts w:ascii="Times New Roman" w:hAnsi="Times New Roman"/>
          <w:color w:val="000000"/>
          <w:sz w:val="24"/>
          <w:szCs w:val="24"/>
          <w:lang w:val="sk-SK"/>
        </w:rPr>
        <w:t xml:space="preserve">  </w:t>
      </w:r>
    </w:p>
    <w:p w:rsidR="00094059" w:rsidRPr="00094059" w:rsidP="00094059">
      <w:pPr>
        <w:bidi w:val="0"/>
        <w:spacing w:after="0" w:line="240" w:lineRule="auto"/>
        <w:jc w:val="both"/>
        <w:rPr>
          <w:rFonts w:ascii="Times New Roman" w:hAnsi="Times New Roman"/>
          <w:b/>
          <w:bCs/>
          <w:color w:val="000000"/>
          <w:sz w:val="24"/>
          <w:szCs w:val="24"/>
          <w:lang w:val="sk-SK"/>
        </w:rPr>
      </w:pPr>
    </w:p>
    <w:p w:rsidR="00094059" w:rsidRPr="00094059" w:rsidP="00094059">
      <w:pPr>
        <w:bidi w:val="0"/>
        <w:spacing w:after="0" w:line="240" w:lineRule="auto"/>
        <w:jc w:val="both"/>
        <w:rPr>
          <w:rFonts w:ascii="Times New Roman" w:hAnsi="Times New Roman"/>
          <w:b/>
          <w:bCs/>
          <w:color w:val="000000"/>
          <w:sz w:val="24"/>
          <w:szCs w:val="24"/>
          <w:lang w:val="sk-SK"/>
        </w:rPr>
      </w:pPr>
      <w:r w:rsidRPr="00094059">
        <w:rPr>
          <w:rFonts w:ascii="Times New Roman" w:hAnsi="Times New Roman"/>
          <w:b/>
          <w:bCs/>
          <w:color w:val="000000"/>
          <w:sz w:val="24"/>
          <w:szCs w:val="24"/>
          <w:lang w:val="sk-SK"/>
        </w:rPr>
        <w:t>A.2. Vplyvy:</w:t>
      </w:r>
    </w:p>
    <w:p w:rsidR="00094059" w:rsidRPr="00094059" w:rsidP="00094059">
      <w:pPr>
        <w:bidi w:val="0"/>
        <w:spacing w:after="0" w:line="240" w:lineRule="auto"/>
        <w:jc w:val="both"/>
        <w:rPr>
          <w:rFonts w:ascii="Times New Roman" w:hAnsi="Times New Roman"/>
          <w:b/>
          <w:bCs/>
          <w:color w:val="000000"/>
          <w:sz w:val="24"/>
          <w:szCs w:val="24"/>
          <w:lang w:val="sk-SK"/>
        </w:rPr>
      </w:pPr>
    </w:p>
    <w:p w:rsidR="00094059" w:rsidRPr="00094059" w:rsidP="00094059">
      <w:pPr>
        <w:bidi w:val="0"/>
        <w:spacing w:after="0" w:line="240" w:lineRule="auto"/>
        <w:jc w:val="both"/>
        <w:rPr>
          <w:rFonts w:ascii="Times New Roman" w:hAnsi="Times New Roman"/>
          <w:b/>
          <w:bCs/>
          <w:color w:val="000000"/>
          <w:sz w:val="24"/>
          <w:szCs w:val="24"/>
          <w:lang w:val="sk-SK"/>
        </w:rPr>
      </w:pP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6438"/>
        <w:gridCol w:w="1348"/>
        <w:gridCol w:w="1348"/>
        <w:gridCol w:w="1348"/>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r w:rsidRPr="00094059">
              <w:rPr>
                <w:rFonts w:ascii="Times New Roman" w:hAnsi="Times New Roman"/>
                <w:color w:val="000000"/>
                <w:sz w:val="24"/>
                <w:szCs w:val="24"/>
                <w:lang w:val="sk-SK"/>
              </w:rPr>
              <w:t xml:space="preserve">1. Vplyvy na rozpočet verejnej správy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r w:rsidRPr="00094059">
              <w:rPr>
                <w:rFonts w:ascii="Times New Roman" w:hAnsi="Times New Roman"/>
                <w:color w:val="000000"/>
                <w:sz w:val="24"/>
                <w:szCs w:val="24"/>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r w:rsidRPr="00094059">
              <w:rPr>
                <w:rFonts w:ascii="Times New Roman" w:hAnsi="Times New Roman"/>
                <w:color w:val="000000"/>
                <w:sz w:val="24"/>
                <w:szCs w:val="24"/>
                <w:lang w:val="sk-SK"/>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r w:rsidRPr="00094059">
              <w:rPr>
                <w:rFonts w:ascii="Times New Roman" w:hAnsi="Times New Roman"/>
                <w:color w:val="000000"/>
                <w:sz w:val="24"/>
                <w:szCs w:val="24"/>
                <w:lang w:val="sk-SK"/>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r w:rsidRPr="00094059">
              <w:rPr>
                <w:rFonts w:ascii="Times New Roman" w:hAnsi="Times New Roman"/>
                <w:color w:val="000000"/>
                <w:sz w:val="24"/>
                <w:szCs w:val="24"/>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r w:rsidRPr="00094059">
              <w:rPr>
                <w:rFonts w:ascii="Times New Roman" w:hAnsi="Times New Roman"/>
                <w:color w:val="000000"/>
                <w:sz w:val="24"/>
                <w:szCs w:val="24"/>
                <w:lang w:val="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r w:rsidRPr="00094059">
              <w:rPr>
                <w:rFonts w:ascii="Times New Roman" w:hAnsi="Times New Roman"/>
                <w:color w:val="000000"/>
                <w:sz w:val="24"/>
                <w:szCs w:val="24"/>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rPr>
                <w:rFonts w:ascii="Times New Roman" w:hAnsi="Times New Roman"/>
                <w:color w:val="000000"/>
                <w:sz w:val="24"/>
                <w:szCs w:val="24"/>
                <w:lang w:val="sk-SK"/>
              </w:rPr>
            </w:pPr>
            <w:r w:rsidRPr="00094059">
              <w:rPr>
                <w:rFonts w:ascii="Times New Roman" w:hAnsi="Times New Roman"/>
                <w:color w:val="000000"/>
                <w:sz w:val="24"/>
                <w:szCs w:val="24"/>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r w:rsidRPr="000940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94059" w:rsidRPr="00094059" w:rsidP="00816AE4">
            <w:pPr>
              <w:widowControl/>
              <w:bidi w:val="0"/>
              <w:spacing w:after="0"/>
              <w:jc w:val="center"/>
              <w:rPr>
                <w:rFonts w:ascii="Times New Roman" w:hAnsi="Times New Roman"/>
                <w:color w:val="000000"/>
                <w:sz w:val="24"/>
                <w:szCs w:val="24"/>
                <w:lang w:val="sk-SK"/>
              </w:rPr>
            </w:pPr>
          </w:p>
        </w:tc>
      </w:tr>
    </w:tbl>
    <w:p w:rsidR="00094059" w:rsidRPr="00094059" w:rsidP="00094059">
      <w:pPr>
        <w:widowControl/>
        <w:bidi w:val="0"/>
        <w:spacing w:after="0" w:line="240" w:lineRule="auto"/>
        <w:rPr>
          <w:rFonts w:ascii="Times New Roman" w:hAnsi="Times New Roman"/>
          <w:color w:val="000000"/>
          <w:sz w:val="24"/>
          <w:szCs w:val="24"/>
          <w:lang w:val="sk-SK"/>
        </w:rPr>
      </w:pPr>
    </w:p>
    <w:p w:rsidR="00094059" w:rsidRPr="00094059" w:rsidP="00E65DF5">
      <w:pPr>
        <w:widowControl/>
        <w:bidi w:val="0"/>
        <w:spacing w:after="0" w:line="240" w:lineRule="auto"/>
        <w:jc w:val="both"/>
        <w:rPr>
          <w:rFonts w:ascii="Times New Roman" w:hAnsi="Times New Roman"/>
          <w:color w:val="000000"/>
          <w:sz w:val="24"/>
          <w:szCs w:val="24"/>
          <w:lang w:val="sk-SK"/>
        </w:rPr>
      </w:pPr>
      <w:r w:rsidRPr="00094059">
        <w:rPr>
          <w:rFonts w:ascii="Times New Roman" w:hAnsi="Times New Roman"/>
          <w:color w:val="000000"/>
          <w:sz w:val="24"/>
          <w:szCs w:val="24"/>
          <w:lang w:val="sk-SK"/>
        </w:rPr>
        <w:t>Daň z motorových vozidiel bude príjmom štátneho  rozpočtu a v príjmoch vyšších územných celkov bude kompenzovaná úpravou podielu na dani z príjmov fyzických osôb.</w:t>
      </w:r>
    </w:p>
    <w:p w:rsidR="00094059" w:rsidRPr="00094059" w:rsidP="00094059">
      <w:pPr>
        <w:widowControl/>
        <w:bidi w:val="0"/>
        <w:spacing w:after="0" w:line="240" w:lineRule="auto"/>
        <w:jc w:val="both"/>
        <w:rPr>
          <w:rFonts w:ascii="Times New Roman" w:hAnsi="Times New Roman"/>
          <w:color w:val="000000"/>
          <w:sz w:val="24"/>
          <w:szCs w:val="24"/>
          <w:lang w:val="sk-SK"/>
        </w:rPr>
      </w:pPr>
    </w:p>
    <w:p w:rsidR="00094059" w:rsidRPr="00094059" w:rsidP="00094059">
      <w:pPr>
        <w:widowControl/>
        <w:bidi w:val="0"/>
        <w:spacing w:after="0" w:line="240" w:lineRule="auto"/>
        <w:rPr>
          <w:rFonts w:ascii="Times New Roman" w:hAnsi="Times New Roman"/>
          <w:b/>
          <w:bCs/>
          <w:color w:val="000000"/>
          <w:sz w:val="24"/>
          <w:szCs w:val="24"/>
          <w:lang w:val="sk-SK"/>
        </w:rPr>
      </w:pPr>
      <w:r w:rsidRPr="00094059">
        <w:rPr>
          <w:rFonts w:ascii="Times New Roman" w:hAnsi="Times New Roman"/>
          <w:b/>
          <w:bCs/>
          <w:color w:val="000000"/>
          <w:sz w:val="24"/>
          <w:szCs w:val="24"/>
          <w:lang w:val="sk-SK"/>
        </w:rPr>
        <w:t>A.3. Poznámky</w:t>
      </w:r>
    </w:p>
    <w:p w:rsidR="00094059" w:rsidRPr="00094059" w:rsidP="00094059">
      <w:pPr>
        <w:bidi w:val="0"/>
        <w:spacing w:after="0" w:line="240" w:lineRule="auto"/>
        <w:jc w:val="both"/>
        <w:rPr>
          <w:rFonts w:ascii="Times New Roman" w:hAnsi="Times New Roman"/>
          <w:iCs/>
          <w:color w:val="000000"/>
          <w:sz w:val="24"/>
          <w:szCs w:val="24"/>
          <w:lang w:val="sk-SK"/>
        </w:rPr>
      </w:pPr>
      <w:r w:rsidRPr="00094059">
        <w:rPr>
          <w:rFonts w:ascii="Times New Roman" w:hAnsi="Times New Roman"/>
          <w:iCs/>
          <w:color w:val="000000"/>
          <w:sz w:val="24"/>
          <w:szCs w:val="24"/>
          <w:lang w:val="sk-SK"/>
        </w:rPr>
        <w:t xml:space="preserve">Vyňatie zdaňovania motorových a prípojných vozidiel z fakultatívnych miestnych daní v kompetencii vyšších územných celkov a  vypracovanie nového zákona so samotným zdaňovaním z úrovne štátu predpokladá, že tento nebude mať negatívny vplyv na financie VÚC. Odôvodnením je vykrytie možného výpadku verejných financií zo štátneho rozpočtu prostredníctvom navýšenia stávajúceho percenta podielových daní. Zvýšenie percenta podielových daní bude mať naopak pozitívny vplyv na príjmy VÚC v ďalších rokoch a to vzhľadom na progresívnejšiu daňovú základňu v porovnaní s daňou z motorových vozidiel. </w:t>
      </w:r>
    </w:p>
    <w:p w:rsidR="00094059" w:rsidRPr="00094059" w:rsidP="00094059">
      <w:pPr>
        <w:bidi w:val="0"/>
        <w:spacing w:after="0" w:line="240" w:lineRule="auto"/>
        <w:jc w:val="both"/>
        <w:rPr>
          <w:rFonts w:ascii="Times New Roman" w:hAnsi="Times New Roman"/>
          <w:iCs/>
          <w:color w:val="000000"/>
          <w:sz w:val="24"/>
          <w:szCs w:val="24"/>
          <w:lang w:val="sk-SK"/>
        </w:rPr>
      </w:pPr>
    </w:p>
    <w:p w:rsidR="00094059" w:rsidRPr="007545FE" w:rsidP="00094059">
      <w:pPr>
        <w:bidi w:val="0"/>
        <w:spacing w:after="0" w:line="240" w:lineRule="auto"/>
        <w:jc w:val="both"/>
        <w:rPr>
          <w:rFonts w:ascii="Times New Roman" w:hAnsi="Times New Roman"/>
          <w:i/>
          <w:iCs/>
          <w:color w:val="000000"/>
          <w:sz w:val="24"/>
          <w:szCs w:val="24"/>
          <w:lang w:val="sk-SK"/>
        </w:rPr>
      </w:pPr>
      <w:r w:rsidRPr="007545FE">
        <w:rPr>
          <w:rFonts w:ascii="Times New Roman" w:hAnsi="Times New Roman"/>
          <w:iCs/>
          <w:color w:val="000000"/>
          <w:sz w:val="24"/>
          <w:szCs w:val="24"/>
          <w:lang w:val="sk-SK"/>
        </w:rPr>
        <w:t xml:space="preserve">Možno očakávať pozitívny vplyv na podnikateľské prostredie pre tie vozidlá, ktoré nie sú staršie ako </w:t>
      </w:r>
      <w:r>
        <w:rPr>
          <w:rFonts w:ascii="Times New Roman" w:hAnsi="Times New Roman"/>
          <w:iCs/>
          <w:color w:val="000000"/>
          <w:sz w:val="24"/>
          <w:szCs w:val="24"/>
          <w:lang w:val="sk-SK"/>
        </w:rPr>
        <w:t>108 kalendárnych mesiacov</w:t>
      </w:r>
      <w:r w:rsidRPr="007545FE">
        <w:rPr>
          <w:rFonts w:ascii="Times New Roman" w:hAnsi="Times New Roman"/>
          <w:iCs/>
          <w:color w:val="000000"/>
          <w:sz w:val="24"/>
          <w:szCs w:val="24"/>
          <w:lang w:val="sk-SK"/>
        </w:rPr>
        <w:t xml:space="preserve">, zavedením odstupňovaného zvýhodnenia zníženia ročnej sadzby dane v závislosti od </w:t>
      </w:r>
      <w:r>
        <w:rPr>
          <w:rFonts w:ascii="Times New Roman" w:hAnsi="Times New Roman"/>
          <w:iCs/>
          <w:color w:val="000000"/>
          <w:sz w:val="24"/>
          <w:szCs w:val="24"/>
          <w:lang w:val="sk-SK"/>
        </w:rPr>
        <w:t>mesiaca evidencie vozidla</w:t>
      </w:r>
      <w:r w:rsidRPr="007545FE">
        <w:rPr>
          <w:rFonts w:ascii="Times New Roman" w:hAnsi="Times New Roman"/>
          <w:iCs/>
          <w:color w:val="000000"/>
          <w:sz w:val="24"/>
          <w:szCs w:val="24"/>
          <w:lang w:val="sk-SK"/>
        </w:rPr>
        <w:t xml:space="preserve"> (emisné limity EURO). Naopak negatívny dopad možno očakávať u tých vozidiel, ktoré sú staršie ako </w:t>
      </w:r>
      <w:r>
        <w:rPr>
          <w:rFonts w:ascii="Times New Roman" w:hAnsi="Times New Roman"/>
          <w:iCs/>
          <w:color w:val="000000"/>
          <w:sz w:val="24"/>
          <w:szCs w:val="24"/>
          <w:lang w:val="sk-SK"/>
        </w:rPr>
        <w:t>144 kalendárnych mesiacov</w:t>
      </w:r>
      <w:r w:rsidRPr="007545FE">
        <w:rPr>
          <w:rFonts w:ascii="Times New Roman" w:hAnsi="Times New Roman"/>
          <w:iCs/>
          <w:color w:val="000000"/>
          <w:sz w:val="24"/>
          <w:szCs w:val="24"/>
          <w:lang w:val="sk-SK"/>
        </w:rPr>
        <w:t xml:space="preserve"> zavedením zvýšenia ročnej sadzby dane</w:t>
      </w:r>
      <w:r>
        <w:rPr>
          <w:rFonts w:ascii="Times New Roman" w:hAnsi="Times New Roman"/>
          <w:iCs/>
          <w:color w:val="000000"/>
          <w:sz w:val="24"/>
          <w:szCs w:val="24"/>
          <w:lang w:val="sk-SK"/>
        </w:rPr>
        <w:t>.</w:t>
      </w:r>
      <w:r w:rsidRPr="007545FE">
        <w:rPr>
          <w:rFonts w:ascii="Times New Roman" w:hAnsi="Times New Roman"/>
          <w:iCs/>
          <w:color w:val="000000"/>
          <w:sz w:val="24"/>
          <w:szCs w:val="24"/>
          <w:lang w:val="sk-SK"/>
        </w:rPr>
        <w:t xml:space="preserve"> Zvýhodnenie vozidiel </w:t>
      </w:r>
      <w:r>
        <w:rPr>
          <w:rFonts w:ascii="Times New Roman" w:hAnsi="Times New Roman"/>
          <w:iCs/>
          <w:color w:val="000000"/>
          <w:sz w:val="24"/>
          <w:szCs w:val="24"/>
          <w:lang w:val="sk-SK"/>
        </w:rPr>
        <w:t>počas prvých 108 kalendárnych mesiacov, počnúc mesiacom prvej evidencie vozidla,</w:t>
      </w:r>
      <w:r w:rsidRPr="007545FE">
        <w:rPr>
          <w:rFonts w:ascii="Times New Roman" w:hAnsi="Times New Roman"/>
          <w:iCs/>
          <w:color w:val="000000"/>
          <w:sz w:val="24"/>
          <w:szCs w:val="24"/>
          <w:lang w:val="sk-SK"/>
        </w:rPr>
        <w:t xml:space="preserve"> bude mať pozitívny vplyv na životné prostredie a bude vytvárať istý tlak na obmenu vozového parku.</w:t>
      </w:r>
      <w:r w:rsidRPr="007545FE">
        <w:rPr>
          <w:rFonts w:ascii="Times New Roman" w:hAnsi="Times New Roman"/>
          <w:i/>
          <w:iCs/>
          <w:color w:val="000000"/>
          <w:sz w:val="24"/>
          <w:szCs w:val="24"/>
          <w:lang w:val="sk-SK"/>
        </w:rPr>
        <w:t xml:space="preserve"> </w:t>
      </w:r>
    </w:p>
    <w:p w:rsidR="00094059" w:rsidRPr="007545FE" w:rsidP="00094059">
      <w:pPr>
        <w:bidi w:val="0"/>
        <w:spacing w:after="0" w:line="240" w:lineRule="auto"/>
        <w:jc w:val="both"/>
        <w:rPr>
          <w:rFonts w:ascii="Times New Roman" w:hAnsi="Times New Roman"/>
          <w:i/>
          <w:iCs/>
          <w:color w:val="000000"/>
          <w:sz w:val="24"/>
          <w:szCs w:val="24"/>
          <w:lang w:val="sk-SK"/>
        </w:rPr>
      </w:pPr>
    </w:p>
    <w:p w:rsidR="00094059" w:rsidRPr="007545FE" w:rsidP="00094059">
      <w:pPr>
        <w:bidi w:val="0"/>
        <w:spacing w:after="0" w:line="240" w:lineRule="auto"/>
        <w:jc w:val="both"/>
        <w:rPr>
          <w:rFonts w:ascii="Times New Roman" w:hAnsi="Times New Roman"/>
          <w:b/>
          <w:bCs/>
          <w:color w:val="000000"/>
          <w:sz w:val="24"/>
          <w:szCs w:val="24"/>
          <w:lang w:val="sk-SK"/>
        </w:rPr>
      </w:pPr>
      <w:r w:rsidRPr="007545FE">
        <w:rPr>
          <w:rFonts w:ascii="Times New Roman" w:hAnsi="Times New Roman"/>
          <w:b/>
          <w:bCs/>
          <w:color w:val="000000"/>
          <w:sz w:val="24"/>
          <w:szCs w:val="24"/>
          <w:lang w:val="sk-SK"/>
        </w:rPr>
        <w:t>A.4. Alternatívne riešenia</w:t>
      </w:r>
    </w:p>
    <w:p w:rsidR="00094059" w:rsidRPr="007545FE" w:rsidP="00094059">
      <w:pPr>
        <w:bidi w:val="0"/>
        <w:spacing w:after="0" w:line="240" w:lineRule="auto"/>
        <w:jc w:val="both"/>
        <w:rPr>
          <w:rFonts w:ascii="Times New Roman" w:hAnsi="Times New Roman"/>
          <w:color w:val="000000"/>
          <w:sz w:val="24"/>
          <w:szCs w:val="24"/>
          <w:lang w:val="sk-SK"/>
        </w:rPr>
      </w:pPr>
    </w:p>
    <w:p w:rsidR="00094059" w:rsidRPr="007545FE" w:rsidP="00094059">
      <w:pPr>
        <w:bidi w:val="0"/>
        <w:spacing w:after="0" w:line="240" w:lineRule="auto"/>
        <w:jc w:val="both"/>
        <w:rPr>
          <w:rFonts w:ascii="Times New Roman" w:hAnsi="Times New Roman"/>
          <w:b/>
          <w:bCs/>
          <w:color w:val="000000"/>
          <w:sz w:val="24"/>
          <w:szCs w:val="24"/>
          <w:lang w:val="sk-SK"/>
        </w:rPr>
      </w:pPr>
    </w:p>
    <w:p w:rsidR="00094059" w:rsidRPr="007545FE" w:rsidP="00094059">
      <w:pPr>
        <w:bidi w:val="0"/>
        <w:spacing w:after="0" w:line="240" w:lineRule="auto"/>
        <w:jc w:val="both"/>
        <w:rPr>
          <w:rFonts w:ascii="Times New Roman" w:hAnsi="Times New Roman"/>
          <w:b/>
          <w:bCs/>
          <w:color w:val="000000"/>
          <w:sz w:val="24"/>
          <w:szCs w:val="24"/>
          <w:lang w:val="sk-SK"/>
        </w:rPr>
      </w:pPr>
      <w:r w:rsidRPr="007545FE">
        <w:rPr>
          <w:rFonts w:ascii="Times New Roman" w:hAnsi="Times New Roman"/>
          <w:b/>
          <w:bCs/>
          <w:color w:val="000000"/>
          <w:sz w:val="24"/>
          <w:szCs w:val="24"/>
          <w:lang w:val="sk-SK"/>
        </w:rPr>
        <w:t>A.5. Stanovisko gestorov</w:t>
      </w:r>
    </w:p>
    <w:p w:rsidR="00E13160" w:rsidP="00094059">
      <w:pPr>
        <w:bidi w:val="0"/>
        <w:spacing w:after="0" w:line="240" w:lineRule="auto"/>
        <w:jc w:val="center"/>
        <w:rPr>
          <w:rFonts w:ascii="Times New Roman" w:hAnsi="Times New Roman"/>
          <w:b/>
          <w:bCs/>
          <w:sz w:val="24"/>
          <w:szCs w:val="24"/>
        </w:rPr>
      </w:pPr>
    </w:p>
    <w:p w:rsidR="00E13160" w:rsidP="00094059">
      <w:pPr>
        <w:bidi w:val="0"/>
        <w:spacing w:after="0" w:line="240" w:lineRule="auto"/>
        <w:jc w:val="center"/>
        <w:rPr>
          <w:rFonts w:ascii="Times New Roman" w:hAnsi="Times New Roman"/>
          <w:b/>
          <w:bCs/>
          <w:sz w:val="24"/>
          <w:szCs w:val="24"/>
        </w:rPr>
      </w:pPr>
    </w:p>
    <w:p w:rsidR="00E13160" w:rsidP="00094059">
      <w:pPr>
        <w:bidi w:val="0"/>
        <w:spacing w:after="0" w:line="240" w:lineRule="auto"/>
        <w:jc w:val="center"/>
        <w:rPr>
          <w:rFonts w:ascii="Times New Roman" w:hAnsi="Times New Roman"/>
          <w:b/>
          <w:bCs/>
          <w:sz w:val="24"/>
          <w:szCs w:val="24"/>
        </w:rPr>
      </w:pPr>
    </w:p>
    <w:p w:rsidR="00E13160" w:rsidP="00094059">
      <w:pPr>
        <w:bidi w:val="0"/>
        <w:spacing w:after="0" w:line="240" w:lineRule="auto"/>
        <w:jc w:val="center"/>
        <w:rPr>
          <w:rFonts w:ascii="Times New Roman" w:hAnsi="Times New Roman"/>
          <w:b/>
          <w:bCs/>
          <w:sz w:val="24"/>
          <w:szCs w:val="24"/>
        </w:rPr>
      </w:pPr>
    </w:p>
    <w:p w:rsidR="00E13160" w:rsidP="00094059">
      <w:pPr>
        <w:bidi w:val="0"/>
        <w:spacing w:after="0" w:line="240" w:lineRule="auto"/>
        <w:jc w:val="center"/>
        <w:rPr>
          <w:rFonts w:ascii="Times New Roman" w:hAnsi="Times New Roman"/>
          <w:b/>
          <w:bCs/>
          <w:sz w:val="24"/>
          <w:szCs w:val="24"/>
        </w:rPr>
      </w:pPr>
    </w:p>
    <w:p w:rsidR="00094059" w:rsidRPr="00E65DF5" w:rsidP="00094059">
      <w:pPr>
        <w:bidi w:val="0"/>
        <w:spacing w:after="0" w:line="240" w:lineRule="auto"/>
        <w:jc w:val="center"/>
        <w:rPr>
          <w:rFonts w:ascii="Times New Roman" w:hAnsi="Times New Roman"/>
          <w:sz w:val="24"/>
          <w:szCs w:val="24"/>
          <w:lang w:val="sk-SK"/>
        </w:rPr>
      </w:pPr>
      <w:r w:rsidRPr="00E65DF5">
        <w:rPr>
          <w:rFonts w:ascii="Times New Roman" w:hAnsi="Times New Roman"/>
          <w:b/>
          <w:bCs/>
          <w:sz w:val="24"/>
          <w:szCs w:val="24"/>
          <w:lang w:val="sk-SK"/>
        </w:rPr>
        <w:t>Vplyvy na rozpočet verejnej správy,</w:t>
      </w:r>
    </w:p>
    <w:p w:rsidR="00094059" w:rsidRPr="00E65DF5" w:rsidP="00094059">
      <w:pPr>
        <w:bidi w:val="0"/>
        <w:spacing w:after="0" w:line="240" w:lineRule="auto"/>
        <w:jc w:val="center"/>
        <w:rPr>
          <w:rFonts w:ascii="Times New Roman" w:hAnsi="Times New Roman"/>
          <w:b/>
          <w:bCs/>
          <w:sz w:val="24"/>
          <w:szCs w:val="24"/>
          <w:lang w:val="sk-SK"/>
        </w:rPr>
      </w:pPr>
      <w:r w:rsidRPr="00E65DF5">
        <w:rPr>
          <w:rFonts w:ascii="Times New Roman" w:hAnsi="Times New Roman"/>
          <w:b/>
          <w:bCs/>
          <w:sz w:val="24"/>
          <w:szCs w:val="24"/>
          <w:lang w:val="sk-SK"/>
        </w:rPr>
        <w:t xml:space="preserve">na zamestnanosť vo verejnej správe a financovanie </w:t>
      </w:r>
    </w:p>
    <w:p w:rsidR="00094059" w:rsidRPr="00E65DF5" w:rsidP="00094059">
      <w:pPr>
        <w:bidi w:val="0"/>
        <w:rPr>
          <w:rFonts w:ascii="Times New Roman" w:hAnsi="Times New Roman"/>
          <w:sz w:val="24"/>
          <w:szCs w:val="24"/>
          <w:lang w:val="sk-SK"/>
        </w:rPr>
      </w:pPr>
      <w:r w:rsidRPr="00E65DF5">
        <w:rPr>
          <w:rFonts w:ascii="Times New Roman" w:hAnsi="Times New Roman"/>
          <w:sz w:val="24"/>
          <w:szCs w:val="24"/>
          <w:lang w:val="sk-SK"/>
        </w:rPr>
        <w:t> </w:t>
      </w:r>
    </w:p>
    <w:p w:rsidR="00094059" w:rsidRPr="00E65DF5" w:rsidP="00094059">
      <w:pPr>
        <w:bidi w:val="0"/>
        <w:spacing w:after="0" w:line="240" w:lineRule="auto"/>
        <w:rPr>
          <w:rFonts w:ascii="Times New Roman" w:hAnsi="Times New Roman"/>
          <w:b/>
          <w:bCs/>
          <w:sz w:val="24"/>
          <w:szCs w:val="24"/>
          <w:lang w:val="sk-SK"/>
        </w:rPr>
      </w:pPr>
      <w:r w:rsidRPr="00E65DF5">
        <w:rPr>
          <w:rFonts w:ascii="Times New Roman" w:hAnsi="Times New Roman"/>
          <w:b/>
          <w:bCs/>
          <w:sz w:val="24"/>
          <w:szCs w:val="24"/>
          <w:lang w:val="sk-SK"/>
        </w:rPr>
        <w:t>2.1. Zhrnutie vplyvov na rozpočet verejnej správy v návrhu</w:t>
      </w:r>
    </w:p>
    <w:p w:rsidR="00094059" w:rsidRPr="00E65DF5" w:rsidP="00094059">
      <w:pPr>
        <w:bidi w:val="0"/>
        <w:spacing w:after="0" w:line="240" w:lineRule="auto"/>
        <w:jc w:val="right"/>
        <w:rPr>
          <w:rFonts w:ascii="Times New Roman" w:hAnsi="Times New Roman"/>
          <w:sz w:val="24"/>
          <w:szCs w:val="24"/>
          <w:lang w:val="sk-SK"/>
        </w:rPr>
      </w:pPr>
      <w:r w:rsidRPr="00E65DF5">
        <w:rPr>
          <w:rFonts w:ascii="Times New Roman" w:hAnsi="Times New Roman"/>
          <w:bCs/>
          <w:sz w:val="24"/>
          <w:szCs w:val="24"/>
          <w:lang w:val="sk-SK"/>
        </w:rPr>
        <w:t>Tabuľka č. 1</w:t>
      </w:r>
    </w:p>
    <w:tbl>
      <w:tblPr>
        <w:tblStyle w:val="TableNormal"/>
        <w:tblW w:w="5000" w:type="pct"/>
        <w:tblLayout w:type="fixed"/>
        <w:tblCellMar>
          <w:left w:w="70" w:type="dxa"/>
          <w:right w:w="70" w:type="dxa"/>
        </w:tblCellMar>
        <w:tblLook w:val="04A0"/>
      </w:tblPr>
      <w:tblGrid>
        <w:gridCol w:w="4324"/>
        <w:gridCol w:w="978"/>
        <w:gridCol w:w="1797"/>
        <w:gridCol w:w="1795"/>
        <w:gridCol w:w="1712"/>
      </w:tblGrid>
      <w:tr>
        <w:tblPrEx>
          <w:tblW w:w="5000" w:type="pct"/>
          <w:tblLayout w:type="fixed"/>
          <w:tblCellMar>
            <w:left w:w="70" w:type="dxa"/>
            <w:right w:w="70" w:type="dxa"/>
          </w:tblCellMar>
          <w:tblLook w:val="04A0"/>
        </w:tblPrEx>
        <w:trPr>
          <w:trHeight w:val="315"/>
        </w:trPr>
        <w:tc>
          <w:tcPr>
            <w:tcW w:w="2039" w:type="pct"/>
            <w:vMerge w:val="restart"/>
            <w:tcBorders>
              <w:top w:val="single" w:sz="8" w:space="0" w:color="auto"/>
              <w:left w:val="single" w:sz="8" w:space="0" w:color="auto"/>
              <w:bottom w:val="single" w:sz="8" w:space="0" w:color="000000"/>
              <w:right w:val="nil"/>
            </w:tcBorders>
            <w:shd w:val="clear" w:color="000000" w:fill="000000"/>
            <w:noWrap/>
            <w:textDirection w:val="lrTb"/>
            <w:vAlign w:val="bottom"/>
            <w:hideMark/>
          </w:tcPr>
          <w:p w:rsidR="00094059" w:rsidRPr="00E65DF5" w:rsidP="00816AE4">
            <w:pPr>
              <w:bidi w:val="0"/>
              <w:rPr>
                <w:rFonts w:ascii="Times New Roman" w:hAnsi="Times New Roman"/>
                <w:b/>
                <w:bCs/>
                <w:color w:val="FFFFFF"/>
                <w:sz w:val="24"/>
                <w:szCs w:val="24"/>
                <w:u w:val="single"/>
                <w:lang w:val="sk-SK"/>
              </w:rPr>
            </w:pPr>
            <w:r w:rsidRPr="00E65DF5">
              <w:rPr>
                <w:rFonts w:ascii="Times New Roman" w:hAnsi="Times New Roman"/>
                <w:b/>
                <w:bCs/>
                <w:color w:val="FFFFFF"/>
                <w:sz w:val="24"/>
                <w:szCs w:val="24"/>
                <w:u w:val="single"/>
                <w:lang w:val="sk-SK"/>
              </w:rPr>
              <w:t>Rozpočet verejnej správy (v eur)</w:t>
            </w:r>
          </w:p>
        </w:tc>
        <w:tc>
          <w:tcPr>
            <w:tcW w:w="2961" w:type="pct"/>
            <w:gridSpan w:val="4"/>
            <w:tcBorders>
              <w:top w:val="single" w:sz="8" w:space="0" w:color="auto"/>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Vplyv na rozpočet verejnej správy (cash)</w:t>
            </w:r>
          </w:p>
        </w:tc>
      </w:tr>
      <w:tr>
        <w:tblPrEx>
          <w:tblW w:w="5000" w:type="pct"/>
          <w:tblLayout w:type="fixed"/>
          <w:tblCellMar>
            <w:left w:w="70" w:type="dxa"/>
            <w:right w:w="70" w:type="dxa"/>
          </w:tblCellMar>
          <w:tblLook w:val="04A0"/>
        </w:tblPrEx>
        <w:trPr>
          <w:trHeight w:val="330"/>
        </w:trPr>
        <w:tc>
          <w:tcPr>
            <w:tcW w:w="2039" w:type="pct"/>
            <w:vMerge/>
            <w:tcBorders>
              <w:top w:val="single" w:sz="8" w:space="0" w:color="auto"/>
              <w:left w:val="single" w:sz="8" w:space="0" w:color="auto"/>
              <w:bottom w:val="single" w:sz="8" w:space="0" w:color="000000"/>
              <w:right w:val="nil"/>
            </w:tcBorders>
            <w:textDirection w:val="lrTb"/>
            <w:vAlign w:val="center"/>
            <w:hideMark/>
          </w:tcPr>
          <w:p w:rsidR="00094059" w:rsidRPr="00E65DF5" w:rsidP="00816AE4">
            <w:pPr>
              <w:bidi w:val="0"/>
              <w:rPr>
                <w:rFonts w:ascii="Times New Roman" w:hAnsi="Times New Roman"/>
                <w:b/>
                <w:bCs/>
                <w:color w:val="FFFFFF"/>
                <w:sz w:val="24"/>
                <w:szCs w:val="24"/>
                <w:u w:val="single"/>
                <w:lang w:val="sk-SK"/>
              </w:rPr>
            </w:pPr>
          </w:p>
        </w:tc>
        <w:tc>
          <w:tcPr>
            <w:tcW w:w="461" w:type="pct"/>
            <w:tcBorders>
              <w:top w:val="nil"/>
              <w:left w:val="nil"/>
              <w:bottom w:val="nil"/>
              <w:right w:val="nil"/>
            </w:tcBorders>
            <w:shd w:val="clear" w:color="000000" w:fill="000000"/>
            <w:noWrap/>
            <w:textDirection w:val="lrTb"/>
            <w:vAlign w:val="center"/>
            <w:hideMark/>
          </w:tcPr>
          <w:p w:rsidR="00094059" w:rsidRPr="00E65DF5" w:rsidP="00816AE4">
            <w:pPr>
              <w:bidi w:val="0"/>
              <w:jc w:val="center"/>
              <w:rPr>
                <w:rFonts w:ascii="Times New Roman" w:hAnsi="Times New Roman"/>
                <w:b/>
                <w:bCs/>
                <w:color w:val="FFFFFF"/>
                <w:sz w:val="24"/>
                <w:szCs w:val="24"/>
                <w:u w:val="single"/>
                <w:lang w:val="sk-SK"/>
              </w:rPr>
            </w:pPr>
            <w:r w:rsidRPr="00E65DF5">
              <w:rPr>
                <w:rFonts w:ascii="Times New Roman" w:hAnsi="Times New Roman"/>
                <w:b/>
                <w:bCs/>
                <w:color w:val="FFFFFF"/>
                <w:sz w:val="24"/>
                <w:szCs w:val="24"/>
                <w:u w:val="single"/>
                <w:lang w:val="sk-SK"/>
              </w:rPr>
              <w:t>2014</w:t>
            </w:r>
          </w:p>
        </w:tc>
        <w:tc>
          <w:tcPr>
            <w:tcW w:w="847" w:type="pct"/>
            <w:tcBorders>
              <w:top w:val="nil"/>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2015</w:t>
            </w:r>
          </w:p>
        </w:tc>
        <w:tc>
          <w:tcPr>
            <w:tcW w:w="846" w:type="pct"/>
            <w:tcBorders>
              <w:top w:val="nil"/>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2016</w:t>
            </w:r>
          </w:p>
        </w:tc>
        <w:tc>
          <w:tcPr>
            <w:tcW w:w="807" w:type="pct"/>
            <w:tcBorders>
              <w:top w:val="nil"/>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2017</w:t>
            </w:r>
          </w:p>
        </w:tc>
      </w:tr>
      <w:tr>
        <w:tblPrEx>
          <w:tblW w:w="5000" w:type="pct"/>
          <w:tblLayout w:type="fixed"/>
          <w:tblCellMar>
            <w:left w:w="70" w:type="dxa"/>
            <w:right w:w="70" w:type="dxa"/>
          </w:tblCellMar>
          <w:tblLook w:val="04A0"/>
        </w:tblPrEx>
        <w:trPr>
          <w:trHeight w:val="645"/>
        </w:trPr>
        <w:tc>
          <w:tcPr>
            <w:tcW w:w="2039" w:type="pct"/>
            <w:tcBorders>
              <w:top w:val="nil"/>
              <w:left w:val="single" w:sz="8" w:space="0" w:color="auto"/>
              <w:bottom w:val="single" w:sz="8" w:space="0" w:color="auto"/>
              <w:right w:val="single" w:sz="8" w:space="0" w:color="auto"/>
            </w:tcBorders>
            <w:shd w:val="clear" w:color="000000" w:fill="BFBFBF"/>
            <w:noWrap/>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Príjmy verejnej správy celkom</w:t>
            </w:r>
          </w:p>
        </w:tc>
        <w:tc>
          <w:tcPr>
            <w:tcW w:w="461" w:type="pct"/>
            <w:tcBorders>
              <w:top w:val="single" w:sz="8" w:space="0" w:color="auto"/>
              <w:left w:val="nil"/>
              <w:bottom w:val="single" w:sz="8" w:space="0" w:color="auto"/>
              <w:right w:val="single" w:sz="8" w:space="0" w:color="auto"/>
            </w:tcBorders>
            <w:shd w:val="clear" w:color="000000" w:fill="BFBFBF"/>
            <w:noWrap/>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7" w:type="pct"/>
            <w:tcBorders>
              <w:top w:val="single" w:sz="8" w:space="0" w:color="auto"/>
              <w:left w:val="nil"/>
              <w:bottom w:val="single" w:sz="8" w:space="0" w:color="auto"/>
              <w:right w:val="single" w:sz="8" w:space="0" w:color="auto"/>
            </w:tcBorders>
            <w:shd w:val="clear" w:color="000000" w:fill="BFBFBF"/>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-19 934 000</w:t>
            </w:r>
          </w:p>
        </w:tc>
        <w:tc>
          <w:tcPr>
            <w:tcW w:w="846" w:type="pct"/>
            <w:tcBorders>
              <w:top w:val="single" w:sz="8" w:space="0" w:color="auto"/>
              <w:left w:val="nil"/>
              <w:bottom w:val="single" w:sz="8" w:space="0" w:color="auto"/>
              <w:right w:val="single" w:sz="8" w:space="0" w:color="auto"/>
            </w:tcBorders>
            <w:shd w:val="clear" w:color="000000" w:fill="BFBFBF"/>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-19 905 000</w:t>
            </w:r>
          </w:p>
        </w:tc>
        <w:tc>
          <w:tcPr>
            <w:tcW w:w="807" w:type="pct"/>
            <w:tcBorders>
              <w:top w:val="single" w:sz="8" w:space="0" w:color="auto"/>
              <w:left w:val="nil"/>
              <w:bottom w:val="single" w:sz="8" w:space="0" w:color="auto"/>
              <w:right w:val="single" w:sz="8" w:space="0" w:color="auto"/>
            </w:tcBorders>
            <w:shd w:val="clear" w:color="000000" w:fill="BFBFBF"/>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-19 887 000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Štátny rozpočet (VPS) – daň z motorových vozidiel</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129 760 000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133 754 000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138 042 000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Štátny rozpočet (VPS) –  DPFO</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-150 314 000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-159 675 000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-170 967 000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Obce</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VÚC – daň z motorových vozidiel</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-149 694 000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-153 659 000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-157 929 000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VÚC –  DPFO</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150 314 000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159 675 000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170 967 000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Sociálna poisťovňa</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Zdravotné poisťovne</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z toho:</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xml:space="preserve"> - vplyv na ŠR</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-20 554 000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-25 921 000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-32 925 000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xml:space="preserve"> - vplyv na územnú samosprávu</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620 000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6 016 000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13 038 000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shd w:val="clear" w:color="000000" w:fill="BFBFBF"/>
            <w:noWrap/>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Výdavky verejnej správy celkom</w:t>
            </w:r>
          </w:p>
        </w:tc>
        <w:tc>
          <w:tcPr>
            <w:tcW w:w="461" w:type="pct"/>
            <w:tcBorders>
              <w:top w:val="nil"/>
              <w:left w:val="nil"/>
              <w:bottom w:val="single" w:sz="8" w:space="0" w:color="auto"/>
              <w:right w:val="single" w:sz="8" w:space="0" w:color="auto"/>
            </w:tcBorders>
            <w:shd w:val="clear" w:color="000000" w:fill="BFBFBF"/>
            <w:noWrap/>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7" w:type="pct"/>
            <w:tcBorders>
              <w:top w:val="nil"/>
              <w:left w:val="nil"/>
              <w:bottom w:val="single" w:sz="8" w:space="0" w:color="auto"/>
              <w:right w:val="single" w:sz="8" w:space="0" w:color="auto"/>
            </w:tcBorders>
            <w:shd w:val="clear" w:color="000000" w:fill="BFBFBF"/>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6" w:type="pct"/>
            <w:tcBorders>
              <w:top w:val="nil"/>
              <w:left w:val="nil"/>
              <w:bottom w:val="single" w:sz="8" w:space="0" w:color="auto"/>
              <w:right w:val="single" w:sz="8" w:space="0" w:color="auto"/>
            </w:tcBorders>
            <w:shd w:val="clear" w:color="000000" w:fill="BFBFBF"/>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07" w:type="pct"/>
            <w:tcBorders>
              <w:top w:val="nil"/>
              <w:left w:val="nil"/>
              <w:bottom w:val="single" w:sz="8" w:space="0" w:color="auto"/>
              <w:right w:val="single" w:sz="8" w:space="0" w:color="auto"/>
            </w:tcBorders>
            <w:shd w:val="clear" w:color="000000" w:fill="BFBFBF"/>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xml:space="preserve">Štátny rozpočet </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Obce</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VÚC</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Sociálna poisťovňa</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Zdravotné poisťovne</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z toho:</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xml:space="preserve"> - vplyv na ŠR</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xml:space="preserve"> - vplyv na územnú samosprávu</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r>
    </w:tbl>
    <w:p w:rsidR="00094059" w:rsidRPr="00E65DF5" w:rsidP="00E65DF5">
      <w:pPr>
        <w:bidi w:val="0"/>
        <w:spacing w:after="0" w:line="240" w:lineRule="auto"/>
        <w:jc w:val="right"/>
        <w:rPr>
          <w:rFonts w:ascii="Times New Roman" w:hAnsi="Times New Roman"/>
          <w:sz w:val="24"/>
          <w:szCs w:val="24"/>
          <w:lang w:val="sk-SK"/>
        </w:rPr>
      </w:pPr>
      <w:r w:rsidRPr="00E65DF5">
        <w:rPr>
          <w:rFonts w:ascii="Times New Roman" w:hAnsi="Times New Roman"/>
          <w:sz w:val="24"/>
          <w:szCs w:val="24"/>
          <w:lang w:val="sk-SK"/>
        </w:rPr>
        <w:br w:type="page"/>
      </w:r>
      <w:r w:rsidRPr="00E65DF5">
        <w:rPr>
          <w:rFonts w:ascii="Times New Roman" w:hAnsi="Times New Roman"/>
          <w:bCs/>
          <w:sz w:val="24"/>
          <w:szCs w:val="24"/>
          <w:lang w:val="sk-SK"/>
        </w:rPr>
        <w:t>Tabuľka č. 2</w:t>
      </w:r>
    </w:p>
    <w:tbl>
      <w:tblPr>
        <w:tblStyle w:val="TableNormal"/>
        <w:tblW w:w="5000" w:type="pct"/>
        <w:tblLayout w:type="fixed"/>
        <w:tblCellMar>
          <w:left w:w="70" w:type="dxa"/>
          <w:right w:w="70" w:type="dxa"/>
        </w:tblCellMar>
        <w:tblLook w:val="04A0"/>
      </w:tblPr>
      <w:tblGrid>
        <w:gridCol w:w="4324"/>
        <w:gridCol w:w="978"/>
        <w:gridCol w:w="1797"/>
        <w:gridCol w:w="1795"/>
        <w:gridCol w:w="1712"/>
      </w:tblGrid>
      <w:tr>
        <w:tblPrEx>
          <w:tblW w:w="5000" w:type="pct"/>
          <w:tblLayout w:type="fixed"/>
          <w:tblCellMar>
            <w:left w:w="70" w:type="dxa"/>
            <w:right w:w="70" w:type="dxa"/>
          </w:tblCellMar>
          <w:tblLook w:val="04A0"/>
        </w:tblPrEx>
        <w:trPr>
          <w:trHeight w:val="315"/>
        </w:trPr>
        <w:tc>
          <w:tcPr>
            <w:tcW w:w="2039" w:type="pct"/>
            <w:vMerge w:val="restart"/>
            <w:tcBorders>
              <w:top w:val="single" w:sz="8" w:space="0" w:color="auto"/>
              <w:left w:val="single" w:sz="8" w:space="0" w:color="auto"/>
              <w:bottom w:val="single" w:sz="8" w:space="0" w:color="000000"/>
              <w:right w:val="nil"/>
            </w:tcBorders>
            <w:shd w:val="clear" w:color="000000" w:fill="000000"/>
            <w:noWrap/>
            <w:textDirection w:val="lrTb"/>
            <w:vAlign w:val="bottom"/>
            <w:hideMark/>
          </w:tcPr>
          <w:p w:rsidR="00094059" w:rsidRPr="00E65DF5" w:rsidP="00816AE4">
            <w:pPr>
              <w:bidi w:val="0"/>
              <w:rPr>
                <w:rFonts w:ascii="Times New Roman" w:hAnsi="Times New Roman"/>
                <w:b/>
                <w:bCs/>
                <w:color w:val="FFFFFF"/>
                <w:sz w:val="24"/>
                <w:szCs w:val="24"/>
                <w:u w:val="single"/>
                <w:lang w:val="sk-SK"/>
              </w:rPr>
            </w:pPr>
            <w:r w:rsidRPr="00E65DF5">
              <w:rPr>
                <w:rFonts w:ascii="Times New Roman" w:hAnsi="Times New Roman"/>
                <w:b/>
                <w:bCs/>
                <w:color w:val="FFFFFF"/>
                <w:sz w:val="24"/>
                <w:szCs w:val="24"/>
                <w:u w:val="single"/>
                <w:lang w:val="sk-SK"/>
              </w:rPr>
              <w:t>Rozpočet verejnej správy (v eur)</w:t>
            </w:r>
          </w:p>
        </w:tc>
        <w:tc>
          <w:tcPr>
            <w:tcW w:w="2961" w:type="pct"/>
            <w:gridSpan w:val="4"/>
            <w:tcBorders>
              <w:top w:val="single" w:sz="8" w:space="0" w:color="auto"/>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Vplyv na rozpočet verejnej správy (ESA 95)</w:t>
            </w:r>
          </w:p>
        </w:tc>
      </w:tr>
      <w:tr>
        <w:tblPrEx>
          <w:tblW w:w="5000" w:type="pct"/>
          <w:tblLayout w:type="fixed"/>
          <w:tblCellMar>
            <w:left w:w="70" w:type="dxa"/>
            <w:right w:w="70" w:type="dxa"/>
          </w:tblCellMar>
          <w:tblLook w:val="04A0"/>
        </w:tblPrEx>
        <w:trPr>
          <w:trHeight w:val="330"/>
        </w:trPr>
        <w:tc>
          <w:tcPr>
            <w:tcW w:w="2039" w:type="pct"/>
            <w:vMerge/>
            <w:tcBorders>
              <w:top w:val="single" w:sz="8" w:space="0" w:color="auto"/>
              <w:left w:val="single" w:sz="8" w:space="0" w:color="auto"/>
              <w:bottom w:val="single" w:sz="8" w:space="0" w:color="000000"/>
              <w:right w:val="nil"/>
            </w:tcBorders>
            <w:textDirection w:val="lrTb"/>
            <w:vAlign w:val="center"/>
            <w:hideMark/>
          </w:tcPr>
          <w:p w:rsidR="00094059" w:rsidRPr="00E65DF5" w:rsidP="00816AE4">
            <w:pPr>
              <w:bidi w:val="0"/>
              <w:rPr>
                <w:rFonts w:ascii="Times New Roman" w:hAnsi="Times New Roman"/>
                <w:b/>
                <w:bCs/>
                <w:color w:val="FFFFFF"/>
                <w:sz w:val="24"/>
                <w:szCs w:val="24"/>
                <w:u w:val="single"/>
                <w:lang w:val="sk-SK"/>
              </w:rPr>
            </w:pPr>
          </w:p>
        </w:tc>
        <w:tc>
          <w:tcPr>
            <w:tcW w:w="461" w:type="pct"/>
            <w:tcBorders>
              <w:top w:val="nil"/>
              <w:left w:val="nil"/>
              <w:bottom w:val="nil"/>
              <w:right w:val="nil"/>
            </w:tcBorders>
            <w:shd w:val="clear" w:color="000000" w:fill="000000"/>
            <w:noWrap/>
            <w:textDirection w:val="lrTb"/>
            <w:vAlign w:val="center"/>
            <w:hideMark/>
          </w:tcPr>
          <w:p w:rsidR="00094059" w:rsidRPr="00E65DF5" w:rsidP="00816AE4">
            <w:pPr>
              <w:bidi w:val="0"/>
              <w:jc w:val="center"/>
              <w:rPr>
                <w:rFonts w:ascii="Times New Roman" w:hAnsi="Times New Roman"/>
                <w:b/>
                <w:bCs/>
                <w:color w:val="FFFFFF"/>
                <w:sz w:val="24"/>
                <w:szCs w:val="24"/>
                <w:u w:val="single"/>
                <w:lang w:val="sk-SK"/>
              </w:rPr>
            </w:pPr>
            <w:r w:rsidRPr="00E65DF5">
              <w:rPr>
                <w:rFonts w:ascii="Times New Roman" w:hAnsi="Times New Roman"/>
                <w:b/>
                <w:bCs/>
                <w:color w:val="FFFFFF"/>
                <w:sz w:val="24"/>
                <w:szCs w:val="24"/>
                <w:u w:val="single"/>
                <w:lang w:val="sk-SK"/>
              </w:rPr>
              <w:t>2014</w:t>
            </w:r>
          </w:p>
        </w:tc>
        <w:tc>
          <w:tcPr>
            <w:tcW w:w="847" w:type="pct"/>
            <w:tcBorders>
              <w:top w:val="nil"/>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2015</w:t>
            </w:r>
          </w:p>
        </w:tc>
        <w:tc>
          <w:tcPr>
            <w:tcW w:w="846" w:type="pct"/>
            <w:tcBorders>
              <w:top w:val="nil"/>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2016</w:t>
            </w:r>
          </w:p>
        </w:tc>
        <w:tc>
          <w:tcPr>
            <w:tcW w:w="807" w:type="pct"/>
            <w:tcBorders>
              <w:top w:val="nil"/>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2017</w:t>
            </w:r>
          </w:p>
        </w:tc>
      </w:tr>
      <w:tr>
        <w:tblPrEx>
          <w:tblW w:w="5000" w:type="pct"/>
          <w:tblLayout w:type="fixed"/>
          <w:tblCellMar>
            <w:left w:w="70" w:type="dxa"/>
            <w:right w:w="70" w:type="dxa"/>
          </w:tblCellMar>
          <w:tblLook w:val="04A0"/>
        </w:tblPrEx>
        <w:trPr>
          <w:trHeight w:val="645"/>
        </w:trPr>
        <w:tc>
          <w:tcPr>
            <w:tcW w:w="2039" w:type="pct"/>
            <w:tcBorders>
              <w:top w:val="nil"/>
              <w:left w:val="single" w:sz="8" w:space="0" w:color="auto"/>
              <w:bottom w:val="single" w:sz="8" w:space="0" w:color="auto"/>
              <w:right w:val="single" w:sz="8" w:space="0" w:color="auto"/>
            </w:tcBorders>
            <w:shd w:val="clear" w:color="000000" w:fill="BFBFBF"/>
            <w:noWrap/>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Príjmy verejnej správy celkom</w:t>
            </w:r>
          </w:p>
        </w:tc>
        <w:tc>
          <w:tcPr>
            <w:tcW w:w="461" w:type="pct"/>
            <w:tcBorders>
              <w:top w:val="single" w:sz="8" w:space="0" w:color="auto"/>
              <w:left w:val="nil"/>
              <w:bottom w:val="single" w:sz="8" w:space="0" w:color="auto"/>
              <w:right w:val="single" w:sz="8" w:space="0" w:color="auto"/>
            </w:tcBorders>
            <w:shd w:val="clear" w:color="000000" w:fill="BFBFBF"/>
            <w:noWrap/>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7" w:type="pct"/>
            <w:tcBorders>
              <w:top w:val="single" w:sz="8" w:space="0" w:color="auto"/>
              <w:left w:val="nil"/>
              <w:bottom w:val="single" w:sz="8" w:space="0" w:color="auto"/>
              <w:right w:val="single" w:sz="8" w:space="0" w:color="auto"/>
            </w:tcBorders>
            <w:shd w:val="clear" w:color="000000" w:fill="BFBFBF"/>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-20 110 000</w:t>
            </w:r>
          </w:p>
        </w:tc>
        <w:tc>
          <w:tcPr>
            <w:tcW w:w="846" w:type="pct"/>
            <w:tcBorders>
              <w:top w:val="single" w:sz="8" w:space="0" w:color="auto"/>
              <w:left w:val="nil"/>
              <w:bottom w:val="single" w:sz="8" w:space="0" w:color="auto"/>
              <w:right w:val="single" w:sz="8" w:space="0" w:color="auto"/>
            </w:tcBorders>
            <w:shd w:val="clear" w:color="000000" w:fill="BFBFBF"/>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-20 089 723</w:t>
            </w:r>
          </w:p>
        </w:tc>
        <w:tc>
          <w:tcPr>
            <w:tcW w:w="807" w:type="pct"/>
            <w:tcBorders>
              <w:top w:val="single" w:sz="8" w:space="0" w:color="auto"/>
              <w:left w:val="nil"/>
              <w:bottom w:val="single" w:sz="8" w:space="0" w:color="auto"/>
              <w:right w:val="single" w:sz="8" w:space="0" w:color="auto"/>
            </w:tcBorders>
            <w:shd w:val="clear" w:color="000000" w:fill="BFBFBF"/>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-20 071 358</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Štátny rozpočet (VPS) – daň z motorových vozidiel</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130 909 000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134 995 277</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139 323 642</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Štátny rozpočet (VPS) –  DPFO</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-150 314 000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-159 675 000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-170 967 000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Obce</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VÚC – daň z motorových vozidiel</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-151 019 000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-155 085 000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-159 395 000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VÚC –  DPFO</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150 314 000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159 675 000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170 967 000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Sociálna poisťovňa</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Zdravotné poisťovne</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z toho:</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xml:space="preserve"> - vplyv na ŠR</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-19 405 000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-24 679 723</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-31 643 358</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xml:space="preserve"> - vplyv na územnú samosprávu</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-705 000</w:t>
            </w:r>
          </w:p>
        </w:tc>
        <w:tc>
          <w:tcPr>
            <w:tcW w:w="846"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4 590 000</w:t>
            </w:r>
          </w:p>
        </w:tc>
        <w:tc>
          <w:tcPr>
            <w:tcW w:w="807" w:type="pct"/>
            <w:tcBorders>
              <w:top w:val="nil"/>
              <w:left w:val="nil"/>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11 572 000</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shd w:val="clear" w:color="000000" w:fill="BFBFBF"/>
            <w:noWrap/>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Výdavky verejnej správy celkom</w:t>
            </w:r>
          </w:p>
        </w:tc>
        <w:tc>
          <w:tcPr>
            <w:tcW w:w="461" w:type="pct"/>
            <w:tcBorders>
              <w:top w:val="nil"/>
              <w:left w:val="nil"/>
              <w:bottom w:val="single" w:sz="8" w:space="0" w:color="auto"/>
              <w:right w:val="single" w:sz="8" w:space="0" w:color="auto"/>
            </w:tcBorders>
            <w:shd w:val="clear" w:color="000000" w:fill="BFBFBF"/>
            <w:noWrap/>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7" w:type="pct"/>
            <w:tcBorders>
              <w:top w:val="nil"/>
              <w:left w:val="nil"/>
              <w:bottom w:val="single" w:sz="8" w:space="0" w:color="auto"/>
              <w:right w:val="single" w:sz="8" w:space="0" w:color="auto"/>
            </w:tcBorders>
            <w:shd w:val="clear" w:color="000000" w:fill="BFBFBF"/>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6" w:type="pct"/>
            <w:tcBorders>
              <w:top w:val="nil"/>
              <w:left w:val="nil"/>
              <w:bottom w:val="single" w:sz="8" w:space="0" w:color="auto"/>
              <w:right w:val="single" w:sz="8" w:space="0" w:color="auto"/>
            </w:tcBorders>
            <w:shd w:val="clear" w:color="000000" w:fill="BFBFBF"/>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07" w:type="pct"/>
            <w:tcBorders>
              <w:top w:val="nil"/>
              <w:left w:val="nil"/>
              <w:bottom w:val="single" w:sz="8" w:space="0" w:color="auto"/>
              <w:right w:val="single" w:sz="8" w:space="0" w:color="auto"/>
            </w:tcBorders>
            <w:shd w:val="clear" w:color="000000" w:fill="BFBFBF"/>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xml:space="preserve">Štátny rozpočet </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Obce</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VÚC</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Sociálna poisťovňa</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Zdravotné poisťovne</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z toho:</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xml:space="preserve"> - vplyv na ŠR</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r>
      <w:tr>
        <w:tblPrEx>
          <w:tblW w:w="5000" w:type="pct"/>
          <w:tblLayout w:type="fixed"/>
          <w:tblCellMar>
            <w:left w:w="70" w:type="dxa"/>
            <w:right w:w="70" w:type="dxa"/>
          </w:tblCellMar>
          <w:tblLook w:val="04A0"/>
        </w:tblPrEx>
        <w:trPr>
          <w:trHeight w:val="330"/>
        </w:trPr>
        <w:tc>
          <w:tcPr>
            <w:tcW w:w="203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xml:space="preserve"> - vplyv na územnú samosprávu</w:t>
            </w:r>
          </w:p>
        </w:tc>
        <w:tc>
          <w:tcPr>
            <w:tcW w:w="461" w:type="pct"/>
            <w:tcBorders>
              <w:top w:val="nil"/>
              <w:left w:val="nil"/>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i/>
                <w:iCs/>
                <w:color w:val="000000"/>
                <w:sz w:val="24"/>
                <w:szCs w:val="24"/>
                <w:lang w:val="sk-SK"/>
              </w:rPr>
            </w:pPr>
            <w:r w:rsidRPr="00E65DF5">
              <w:rPr>
                <w:rFonts w:ascii="Times New Roman" w:hAnsi="Times New Roman"/>
                <w:b/>
                <w:bCs/>
                <w:i/>
                <w:iCs/>
                <w:color w:val="000000"/>
                <w:sz w:val="24"/>
                <w:szCs w:val="24"/>
                <w:lang w:val="sk-SK"/>
              </w:rPr>
              <w:t> </w:t>
            </w:r>
          </w:p>
        </w:tc>
        <w:tc>
          <w:tcPr>
            <w:tcW w:w="84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46"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807" w:type="pct"/>
            <w:tcBorders>
              <w:top w:val="nil"/>
              <w:left w:val="nil"/>
              <w:bottom w:val="single" w:sz="8" w:space="0" w:color="auto"/>
              <w:right w:val="single" w:sz="8" w:space="0" w:color="auto"/>
            </w:tcBorders>
            <w:noWrap/>
            <w:textDirection w:val="lrTb"/>
            <w:vAlign w:val="bottom"/>
            <w:hideMark/>
          </w:tcPr>
          <w:p w:rsidR="00094059" w:rsidRPr="00E65DF5" w:rsidP="00816AE4">
            <w:pPr>
              <w:bidi w:val="0"/>
              <w:jc w:val="right"/>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r>
    </w:tbl>
    <w:p w:rsidR="00094059" w:rsidRPr="00E65DF5" w:rsidP="00094059">
      <w:pPr>
        <w:bidi w:val="0"/>
        <w:rPr>
          <w:rFonts w:ascii="Times New Roman" w:hAnsi="Times New Roman"/>
          <w:sz w:val="24"/>
          <w:szCs w:val="24"/>
          <w:lang w:val="sk-SK"/>
        </w:rPr>
      </w:pPr>
    </w:p>
    <w:p w:rsidR="00094059" w:rsidRPr="00E65DF5" w:rsidP="00094059">
      <w:pPr>
        <w:bidi w:val="0"/>
        <w:rPr>
          <w:rFonts w:ascii="Times New Roman" w:hAnsi="Times New Roman"/>
          <w:sz w:val="24"/>
          <w:szCs w:val="24"/>
          <w:lang w:val="sk-SK"/>
        </w:rPr>
      </w:pPr>
      <w:bookmarkStart w:id="1" w:name="OLE_LINK1"/>
      <w:bookmarkEnd w:id="1"/>
      <w:r w:rsidRPr="00E65DF5">
        <w:rPr>
          <w:rFonts w:ascii="Times New Roman" w:hAnsi="Times New Roman"/>
          <w:sz w:val="24"/>
          <w:szCs w:val="24"/>
          <w:lang w:val="sk-SK"/>
        </w:rPr>
        <w:t> </w:t>
      </w:r>
    </w:p>
    <w:p w:rsidR="00E13160" w:rsidRPr="00E65DF5" w:rsidP="00094059">
      <w:pPr>
        <w:bidi w:val="0"/>
        <w:rPr>
          <w:rFonts w:ascii="Times New Roman" w:hAnsi="Times New Roman"/>
          <w:b/>
          <w:bCs/>
          <w:sz w:val="24"/>
          <w:szCs w:val="24"/>
          <w:lang w:val="sk-SK"/>
        </w:rPr>
      </w:pPr>
    </w:p>
    <w:p w:rsidR="00E13160" w:rsidP="00094059">
      <w:pPr>
        <w:bidi w:val="0"/>
        <w:rPr>
          <w:rFonts w:ascii="Times New Roman" w:hAnsi="Times New Roman"/>
          <w:b/>
          <w:bCs/>
          <w:sz w:val="24"/>
          <w:szCs w:val="24"/>
          <w:lang w:val="sk-SK"/>
        </w:rPr>
      </w:pPr>
    </w:p>
    <w:p w:rsidR="00E65DF5" w:rsidRPr="00E65DF5" w:rsidP="00094059">
      <w:pPr>
        <w:bidi w:val="0"/>
        <w:rPr>
          <w:rFonts w:ascii="Times New Roman" w:hAnsi="Times New Roman"/>
          <w:b/>
          <w:bCs/>
          <w:sz w:val="24"/>
          <w:szCs w:val="24"/>
          <w:lang w:val="sk-SK"/>
        </w:rPr>
      </w:pPr>
    </w:p>
    <w:p w:rsidR="00094059" w:rsidRPr="00E65DF5" w:rsidP="00094059">
      <w:pPr>
        <w:bidi w:val="0"/>
        <w:rPr>
          <w:rFonts w:ascii="Times New Roman" w:hAnsi="Times New Roman"/>
          <w:sz w:val="24"/>
          <w:szCs w:val="24"/>
          <w:lang w:val="sk-SK"/>
        </w:rPr>
      </w:pPr>
      <w:r w:rsidRPr="00E65DF5">
        <w:rPr>
          <w:rFonts w:ascii="Times New Roman" w:hAnsi="Times New Roman"/>
          <w:b/>
          <w:bCs/>
          <w:sz w:val="24"/>
          <w:szCs w:val="24"/>
          <w:lang w:val="sk-SK"/>
        </w:rPr>
        <w:t>2.2. Financovanie návrhu</w:t>
      </w:r>
    </w:p>
    <w:p w:rsidR="00094059" w:rsidRPr="00E65DF5" w:rsidP="00E65DF5">
      <w:pPr>
        <w:bidi w:val="0"/>
        <w:spacing w:after="0" w:line="240" w:lineRule="auto"/>
        <w:jc w:val="right"/>
        <w:rPr>
          <w:rFonts w:ascii="Times New Roman" w:hAnsi="Times New Roman"/>
          <w:sz w:val="24"/>
          <w:szCs w:val="24"/>
          <w:lang w:val="sk-SK"/>
        </w:rPr>
      </w:pPr>
      <w:r w:rsidRPr="00E65DF5">
        <w:rPr>
          <w:rFonts w:ascii="Times New Roman" w:hAnsi="Times New Roman"/>
          <w:sz w:val="24"/>
          <w:szCs w:val="24"/>
          <w:lang w:val="sk-SK"/>
        </w:rPr>
        <w:t>Tabuľka č. 3</w:t>
      </w:r>
    </w:p>
    <w:tbl>
      <w:tblPr>
        <w:tblStyle w:val="TableNormal"/>
        <w:tblW w:w="5000" w:type="pct"/>
        <w:tblLayout w:type="fixed"/>
        <w:tblCellMar>
          <w:left w:w="70" w:type="dxa"/>
          <w:right w:w="70" w:type="dxa"/>
        </w:tblCellMar>
        <w:tblLook w:val="04A0"/>
      </w:tblPr>
      <w:tblGrid>
        <w:gridCol w:w="3993"/>
        <w:gridCol w:w="1145"/>
        <w:gridCol w:w="1960"/>
        <w:gridCol w:w="1792"/>
        <w:gridCol w:w="1716"/>
      </w:tblGrid>
      <w:tr>
        <w:tblPrEx>
          <w:tblW w:w="5000" w:type="pct"/>
          <w:tblLayout w:type="fixed"/>
          <w:tblCellMar>
            <w:left w:w="70" w:type="dxa"/>
            <w:right w:w="70" w:type="dxa"/>
          </w:tblCellMar>
          <w:tblLook w:val="04A0"/>
        </w:tblPrEx>
        <w:trPr>
          <w:trHeight w:val="315"/>
        </w:trPr>
        <w:tc>
          <w:tcPr>
            <w:tcW w:w="1882" w:type="pct"/>
            <w:vMerge w:val="restart"/>
            <w:tcBorders>
              <w:top w:val="single" w:sz="8" w:space="0" w:color="auto"/>
              <w:left w:val="single" w:sz="8" w:space="0" w:color="auto"/>
              <w:bottom w:val="single" w:sz="8" w:space="0" w:color="000000"/>
              <w:right w:val="nil"/>
            </w:tcBorders>
            <w:shd w:val="clear" w:color="000000" w:fill="000000"/>
            <w:noWrap/>
            <w:textDirection w:val="lrTb"/>
            <w:vAlign w:val="bottom"/>
            <w:hideMark/>
          </w:tcPr>
          <w:p w:rsidR="00094059" w:rsidRPr="00E65DF5" w:rsidP="00816AE4">
            <w:pPr>
              <w:bidi w:val="0"/>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 F</w:t>
            </w:r>
            <w:r w:rsidRPr="00E65DF5">
              <w:rPr>
                <w:rFonts w:ascii="Times New Roman" w:hAnsi="Times New Roman"/>
                <w:b/>
                <w:bCs/>
                <w:color w:val="FFFFFF"/>
                <w:sz w:val="24"/>
                <w:szCs w:val="24"/>
                <w:u w:val="single"/>
                <w:lang w:val="sk-SK"/>
              </w:rPr>
              <w:t>inancovanie (v eur)</w:t>
            </w:r>
          </w:p>
        </w:tc>
        <w:tc>
          <w:tcPr>
            <w:tcW w:w="3118" w:type="pct"/>
            <w:gridSpan w:val="4"/>
            <w:tcBorders>
              <w:top w:val="single" w:sz="8" w:space="0" w:color="auto"/>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Vplyv na rozpočet verejnej správy (cash)</w:t>
            </w:r>
          </w:p>
        </w:tc>
      </w:tr>
      <w:tr>
        <w:tblPrEx>
          <w:tblW w:w="5000" w:type="pct"/>
          <w:tblLayout w:type="fixed"/>
          <w:tblCellMar>
            <w:left w:w="70" w:type="dxa"/>
            <w:right w:w="70" w:type="dxa"/>
          </w:tblCellMar>
          <w:tblLook w:val="04A0"/>
        </w:tblPrEx>
        <w:trPr>
          <w:trHeight w:val="330"/>
        </w:trPr>
        <w:tc>
          <w:tcPr>
            <w:tcW w:w="1882" w:type="pct"/>
            <w:vMerge/>
            <w:tcBorders>
              <w:top w:val="single" w:sz="8" w:space="0" w:color="auto"/>
              <w:left w:val="single" w:sz="8" w:space="0" w:color="auto"/>
              <w:bottom w:val="single" w:sz="8" w:space="0" w:color="000000"/>
              <w:right w:val="nil"/>
            </w:tcBorders>
            <w:textDirection w:val="lrTb"/>
            <w:vAlign w:val="center"/>
            <w:hideMark/>
          </w:tcPr>
          <w:p w:rsidR="00094059" w:rsidRPr="00E65DF5" w:rsidP="00816AE4">
            <w:pPr>
              <w:bidi w:val="0"/>
              <w:rPr>
                <w:rFonts w:ascii="Times New Roman" w:hAnsi="Times New Roman"/>
                <w:b/>
                <w:bCs/>
                <w:color w:val="FFFFFF"/>
                <w:sz w:val="24"/>
                <w:szCs w:val="24"/>
                <w:lang w:val="sk-SK"/>
              </w:rPr>
            </w:pPr>
          </w:p>
        </w:tc>
        <w:tc>
          <w:tcPr>
            <w:tcW w:w="540" w:type="pct"/>
            <w:tcBorders>
              <w:top w:val="nil"/>
              <w:left w:val="nil"/>
              <w:bottom w:val="single" w:sz="8" w:space="0" w:color="auto"/>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u w:val="single"/>
                <w:lang w:val="sk-SK"/>
              </w:rPr>
            </w:pPr>
            <w:r w:rsidRPr="00E65DF5">
              <w:rPr>
                <w:rFonts w:ascii="Times New Roman" w:hAnsi="Times New Roman"/>
                <w:b/>
                <w:bCs/>
                <w:color w:val="FFFFFF"/>
                <w:sz w:val="24"/>
                <w:szCs w:val="24"/>
                <w:u w:val="single"/>
                <w:lang w:val="sk-SK"/>
              </w:rPr>
              <w:t>2014</w:t>
            </w:r>
          </w:p>
        </w:tc>
        <w:tc>
          <w:tcPr>
            <w:tcW w:w="924" w:type="pct"/>
            <w:tcBorders>
              <w:top w:val="nil"/>
              <w:left w:val="nil"/>
              <w:bottom w:val="single" w:sz="8" w:space="0" w:color="auto"/>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2015</w:t>
            </w:r>
          </w:p>
        </w:tc>
        <w:tc>
          <w:tcPr>
            <w:tcW w:w="845" w:type="pct"/>
            <w:tcBorders>
              <w:top w:val="nil"/>
              <w:left w:val="nil"/>
              <w:bottom w:val="single" w:sz="8" w:space="0" w:color="auto"/>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2016</w:t>
            </w:r>
          </w:p>
        </w:tc>
        <w:tc>
          <w:tcPr>
            <w:tcW w:w="809" w:type="pct"/>
            <w:tcBorders>
              <w:top w:val="nil"/>
              <w:left w:val="nil"/>
              <w:bottom w:val="single" w:sz="8" w:space="0" w:color="auto"/>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2017</w:t>
            </w:r>
          </w:p>
        </w:tc>
      </w:tr>
      <w:tr>
        <w:tblPrEx>
          <w:tblW w:w="5000" w:type="pct"/>
          <w:tblLayout w:type="fixed"/>
          <w:tblCellMar>
            <w:left w:w="70" w:type="dxa"/>
            <w:right w:w="70" w:type="dxa"/>
          </w:tblCellMar>
          <w:tblLook w:val="04A0"/>
        </w:tblPrEx>
        <w:trPr>
          <w:trHeight w:val="645"/>
        </w:trPr>
        <w:tc>
          <w:tcPr>
            <w:tcW w:w="1882" w:type="pct"/>
            <w:tcBorders>
              <w:top w:val="nil"/>
              <w:left w:val="single" w:sz="8" w:space="0" w:color="auto"/>
              <w:bottom w:val="single" w:sz="8" w:space="0" w:color="auto"/>
              <w:right w:val="single" w:sz="8" w:space="0" w:color="auto"/>
            </w:tcBorders>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Celkový vplyv na rozpočet verejnej správy (- príjmy, + výdavky)</w:t>
            </w:r>
          </w:p>
        </w:tc>
        <w:tc>
          <w:tcPr>
            <w:tcW w:w="540" w:type="pct"/>
            <w:tcBorders>
              <w:top w:val="nil"/>
              <w:left w:val="nil"/>
              <w:bottom w:val="single" w:sz="8" w:space="0" w:color="auto"/>
              <w:right w:val="nil"/>
            </w:tcBorders>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-19 934 000</w:t>
            </w:r>
          </w:p>
        </w:tc>
        <w:tc>
          <w:tcPr>
            <w:tcW w:w="845"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-19 905 000</w:t>
            </w:r>
          </w:p>
        </w:tc>
        <w:tc>
          <w:tcPr>
            <w:tcW w:w="809" w:type="pct"/>
            <w:tcBorders>
              <w:top w:val="nil"/>
              <w:left w:val="single" w:sz="8" w:space="0" w:color="auto"/>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-19 887 000</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094059">
            <w:pPr>
              <w:bidi w:val="0"/>
              <w:ind w:firstLine="480" w:firstLineChars="200"/>
              <w:rPr>
                <w:rFonts w:ascii="Times New Roman" w:hAnsi="Times New Roman"/>
                <w:color w:val="000000"/>
                <w:sz w:val="24"/>
                <w:szCs w:val="24"/>
                <w:lang w:val="sk-SK"/>
              </w:rPr>
            </w:pPr>
            <w:r w:rsidRPr="00E65DF5">
              <w:rPr>
                <w:rFonts w:ascii="Times New Roman" w:hAnsi="Times New Roman"/>
                <w:color w:val="000000"/>
                <w:sz w:val="24"/>
                <w:szCs w:val="24"/>
                <w:lang w:val="sk-SK"/>
              </w:rPr>
              <w:t>z toho - vplyv na ŠR</w:t>
            </w:r>
          </w:p>
        </w:tc>
        <w:tc>
          <w:tcPr>
            <w:tcW w:w="540" w:type="pct"/>
            <w:tcBorders>
              <w:top w:val="nil"/>
              <w:left w:val="nil"/>
              <w:bottom w:val="single" w:sz="8" w:space="0" w:color="auto"/>
              <w:right w:val="nil"/>
            </w:tcBorders>
            <w:noWrap/>
            <w:textDirection w:val="lrTb"/>
            <w:vAlign w:val="bottom"/>
            <w:hideMark/>
          </w:tcPr>
          <w:p w:rsidR="00094059" w:rsidRPr="00E65DF5" w:rsidP="00094059">
            <w:pPr>
              <w:bidi w:val="0"/>
              <w:ind w:firstLine="480" w:firstLineChars="20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-20 554 000</w:t>
            </w:r>
          </w:p>
        </w:tc>
        <w:tc>
          <w:tcPr>
            <w:tcW w:w="845"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-25 921 000</w:t>
            </w:r>
          </w:p>
        </w:tc>
        <w:tc>
          <w:tcPr>
            <w:tcW w:w="80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-32 925 000</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xml:space="preserve">                   - vplyv na VÚC</w:t>
            </w:r>
          </w:p>
        </w:tc>
        <w:tc>
          <w:tcPr>
            <w:tcW w:w="540" w:type="pct"/>
            <w:tcBorders>
              <w:top w:val="nil"/>
              <w:left w:val="nil"/>
              <w:bottom w:val="single" w:sz="8" w:space="0" w:color="auto"/>
              <w:right w:val="nil"/>
            </w:tcBorders>
            <w:noWrap/>
            <w:textDirection w:val="lrTb"/>
            <w:vAlign w:val="bottom"/>
            <w:hideMark/>
          </w:tcPr>
          <w:p w:rsidR="00094059" w:rsidRPr="00E65DF5" w:rsidP="00094059">
            <w:pPr>
              <w:bidi w:val="0"/>
              <w:ind w:firstLine="1680" w:firstLineChars="70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620 000</w:t>
            </w:r>
          </w:p>
        </w:tc>
        <w:tc>
          <w:tcPr>
            <w:tcW w:w="845"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6 016 000</w:t>
            </w:r>
          </w:p>
        </w:tc>
        <w:tc>
          <w:tcPr>
            <w:tcW w:w="80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13 038 000</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financovanie zabezpečené v rozpočte</w:t>
            </w:r>
          </w:p>
        </w:tc>
        <w:tc>
          <w:tcPr>
            <w:tcW w:w="540" w:type="pct"/>
            <w:tcBorders>
              <w:top w:val="nil"/>
              <w:left w:val="nil"/>
              <w:bottom w:val="single" w:sz="8" w:space="0" w:color="auto"/>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5"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ostatné zdroje financovania</w:t>
            </w:r>
          </w:p>
        </w:tc>
        <w:tc>
          <w:tcPr>
            <w:tcW w:w="540" w:type="pct"/>
            <w:tcBorders>
              <w:top w:val="nil"/>
              <w:left w:val="nil"/>
              <w:bottom w:val="single" w:sz="8" w:space="0" w:color="auto"/>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5"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Rozpočtovo nekrytý vplyv / úspora *</w:t>
            </w:r>
          </w:p>
        </w:tc>
        <w:tc>
          <w:tcPr>
            <w:tcW w:w="540" w:type="pct"/>
            <w:tcBorders>
              <w:top w:val="nil"/>
              <w:left w:val="nil"/>
              <w:bottom w:val="single" w:sz="8" w:space="0" w:color="auto"/>
              <w:right w:val="nil"/>
            </w:tcBorders>
            <w:noWrap/>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19 934 000</w:t>
            </w:r>
          </w:p>
        </w:tc>
        <w:tc>
          <w:tcPr>
            <w:tcW w:w="845"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19 905 000</w:t>
            </w:r>
          </w:p>
        </w:tc>
        <w:tc>
          <w:tcPr>
            <w:tcW w:w="809" w:type="pct"/>
            <w:tcBorders>
              <w:top w:val="nil"/>
              <w:left w:val="single" w:sz="8" w:space="0" w:color="auto"/>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19 887 000</w:t>
            </w:r>
          </w:p>
        </w:tc>
      </w:tr>
      <w:tr>
        <w:tblPrEx>
          <w:tblW w:w="5000" w:type="pct"/>
          <w:tblLayout w:type="fixed"/>
          <w:tblCellMar>
            <w:left w:w="70" w:type="dxa"/>
            <w:right w:w="70" w:type="dxa"/>
          </w:tblCellMar>
          <w:tblLook w:val="04A0"/>
        </w:tblPrEx>
        <w:trPr>
          <w:trHeight w:val="330"/>
        </w:trPr>
        <w:tc>
          <w:tcPr>
            <w:tcW w:w="1882"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úspora má znamienko (-)</w:t>
            </w:r>
          </w:p>
        </w:tc>
        <w:tc>
          <w:tcPr>
            <w:tcW w:w="540"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p>
        </w:tc>
        <w:tc>
          <w:tcPr>
            <w:tcW w:w="924"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sz w:val="24"/>
                <w:szCs w:val="24"/>
                <w:lang w:val="sk-SK"/>
              </w:rPr>
            </w:pPr>
          </w:p>
        </w:tc>
        <w:tc>
          <w:tcPr>
            <w:tcW w:w="845"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9"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bl>
    <w:p w:rsidR="00094059" w:rsidRPr="00E65DF5" w:rsidP="00094059">
      <w:pPr>
        <w:bidi w:val="0"/>
        <w:jc w:val="right"/>
        <w:rPr>
          <w:rFonts w:ascii="Times New Roman" w:hAnsi="Times New Roman"/>
          <w:sz w:val="24"/>
          <w:szCs w:val="24"/>
          <w:lang w:val="sk-SK"/>
        </w:rPr>
      </w:pPr>
      <w:r w:rsidRPr="00E65DF5">
        <w:rPr>
          <w:rFonts w:ascii="Times New Roman" w:hAnsi="Times New Roman"/>
          <w:sz w:val="24"/>
          <w:szCs w:val="24"/>
          <w:lang w:val="sk-SK"/>
        </w:rPr>
        <w:t>Tabuľka č. 4</w:t>
      </w:r>
    </w:p>
    <w:tbl>
      <w:tblPr>
        <w:tblStyle w:val="TableNormal"/>
        <w:tblW w:w="5000" w:type="pct"/>
        <w:tblLayout w:type="fixed"/>
        <w:tblCellMar>
          <w:left w:w="70" w:type="dxa"/>
          <w:right w:w="70" w:type="dxa"/>
        </w:tblCellMar>
        <w:tblLook w:val="04A0"/>
      </w:tblPr>
      <w:tblGrid>
        <w:gridCol w:w="3993"/>
        <w:gridCol w:w="1145"/>
        <w:gridCol w:w="1960"/>
        <w:gridCol w:w="1792"/>
        <w:gridCol w:w="1716"/>
      </w:tblGrid>
      <w:tr>
        <w:tblPrEx>
          <w:tblW w:w="5000" w:type="pct"/>
          <w:tblLayout w:type="fixed"/>
          <w:tblCellMar>
            <w:left w:w="70" w:type="dxa"/>
            <w:right w:w="70" w:type="dxa"/>
          </w:tblCellMar>
          <w:tblLook w:val="04A0"/>
        </w:tblPrEx>
        <w:trPr>
          <w:trHeight w:val="315"/>
        </w:trPr>
        <w:tc>
          <w:tcPr>
            <w:tcW w:w="1882" w:type="pct"/>
            <w:vMerge w:val="restart"/>
            <w:tcBorders>
              <w:top w:val="single" w:sz="8" w:space="0" w:color="auto"/>
              <w:left w:val="single" w:sz="8" w:space="0" w:color="auto"/>
              <w:bottom w:val="single" w:sz="8" w:space="0" w:color="000000"/>
              <w:right w:val="nil"/>
            </w:tcBorders>
            <w:shd w:val="clear" w:color="000000" w:fill="000000"/>
            <w:noWrap/>
            <w:textDirection w:val="lrTb"/>
            <w:vAlign w:val="bottom"/>
            <w:hideMark/>
          </w:tcPr>
          <w:p w:rsidR="00094059" w:rsidRPr="00E65DF5" w:rsidP="00816AE4">
            <w:pPr>
              <w:bidi w:val="0"/>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 F</w:t>
            </w:r>
            <w:r w:rsidRPr="00E65DF5">
              <w:rPr>
                <w:rFonts w:ascii="Times New Roman" w:hAnsi="Times New Roman"/>
                <w:b/>
                <w:bCs/>
                <w:color w:val="FFFFFF"/>
                <w:sz w:val="24"/>
                <w:szCs w:val="24"/>
                <w:u w:val="single"/>
                <w:lang w:val="sk-SK"/>
              </w:rPr>
              <w:t>inancovanie (v eur)</w:t>
            </w:r>
          </w:p>
        </w:tc>
        <w:tc>
          <w:tcPr>
            <w:tcW w:w="3118" w:type="pct"/>
            <w:gridSpan w:val="4"/>
            <w:tcBorders>
              <w:top w:val="single" w:sz="8" w:space="0" w:color="auto"/>
              <w:left w:val="nil"/>
              <w:bottom w:val="nil"/>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Vplyv na rozpočet verejnej správy (ESA95)</w:t>
            </w:r>
          </w:p>
        </w:tc>
      </w:tr>
      <w:tr>
        <w:tblPrEx>
          <w:tblW w:w="5000" w:type="pct"/>
          <w:tblLayout w:type="fixed"/>
          <w:tblCellMar>
            <w:left w:w="70" w:type="dxa"/>
            <w:right w:w="70" w:type="dxa"/>
          </w:tblCellMar>
          <w:tblLook w:val="04A0"/>
        </w:tblPrEx>
        <w:trPr>
          <w:trHeight w:val="330"/>
        </w:trPr>
        <w:tc>
          <w:tcPr>
            <w:tcW w:w="1882" w:type="pct"/>
            <w:vMerge/>
            <w:tcBorders>
              <w:top w:val="single" w:sz="8" w:space="0" w:color="auto"/>
              <w:left w:val="single" w:sz="8" w:space="0" w:color="auto"/>
              <w:bottom w:val="single" w:sz="8" w:space="0" w:color="000000"/>
              <w:right w:val="nil"/>
            </w:tcBorders>
            <w:textDirection w:val="lrTb"/>
            <w:vAlign w:val="center"/>
            <w:hideMark/>
          </w:tcPr>
          <w:p w:rsidR="00094059" w:rsidRPr="00E65DF5" w:rsidP="00816AE4">
            <w:pPr>
              <w:bidi w:val="0"/>
              <w:rPr>
                <w:rFonts w:ascii="Times New Roman" w:hAnsi="Times New Roman"/>
                <w:b/>
                <w:bCs/>
                <w:color w:val="FFFFFF"/>
                <w:sz w:val="24"/>
                <w:szCs w:val="24"/>
                <w:lang w:val="sk-SK"/>
              </w:rPr>
            </w:pPr>
          </w:p>
        </w:tc>
        <w:tc>
          <w:tcPr>
            <w:tcW w:w="540" w:type="pct"/>
            <w:tcBorders>
              <w:top w:val="nil"/>
              <w:left w:val="nil"/>
              <w:bottom w:val="single" w:sz="8" w:space="0" w:color="auto"/>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u w:val="single"/>
                <w:lang w:val="sk-SK"/>
              </w:rPr>
            </w:pPr>
            <w:r w:rsidRPr="00E65DF5">
              <w:rPr>
                <w:rFonts w:ascii="Times New Roman" w:hAnsi="Times New Roman"/>
                <w:b/>
                <w:bCs/>
                <w:color w:val="FFFFFF"/>
                <w:sz w:val="24"/>
                <w:szCs w:val="24"/>
                <w:u w:val="single"/>
                <w:lang w:val="sk-SK"/>
              </w:rPr>
              <w:t>2014</w:t>
            </w:r>
          </w:p>
        </w:tc>
        <w:tc>
          <w:tcPr>
            <w:tcW w:w="924" w:type="pct"/>
            <w:tcBorders>
              <w:top w:val="nil"/>
              <w:left w:val="nil"/>
              <w:bottom w:val="single" w:sz="8" w:space="0" w:color="auto"/>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2015</w:t>
            </w:r>
          </w:p>
        </w:tc>
        <w:tc>
          <w:tcPr>
            <w:tcW w:w="845" w:type="pct"/>
            <w:tcBorders>
              <w:top w:val="nil"/>
              <w:left w:val="nil"/>
              <w:bottom w:val="single" w:sz="8" w:space="0" w:color="auto"/>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2016</w:t>
            </w:r>
          </w:p>
        </w:tc>
        <w:tc>
          <w:tcPr>
            <w:tcW w:w="809" w:type="pct"/>
            <w:tcBorders>
              <w:top w:val="nil"/>
              <w:left w:val="nil"/>
              <w:bottom w:val="single" w:sz="8" w:space="0" w:color="auto"/>
              <w:right w:val="nil"/>
            </w:tcBorders>
            <w:shd w:val="clear" w:color="000000" w:fill="000000"/>
            <w:noWrap/>
            <w:textDirection w:val="lrTb"/>
            <w:vAlign w:val="bottom"/>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2017</w:t>
            </w:r>
          </w:p>
        </w:tc>
      </w:tr>
      <w:tr>
        <w:tblPrEx>
          <w:tblW w:w="5000" w:type="pct"/>
          <w:tblLayout w:type="fixed"/>
          <w:tblCellMar>
            <w:left w:w="70" w:type="dxa"/>
            <w:right w:w="70" w:type="dxa"/>
          </w:tblCellMar>
          <w:tblLook w:val="04A0"/>
        </w:tblPrEx>
        <w:trPr>
          <w:trHeight w:val="645"/>
        </w:trPr>
        <w:tc>
          <w:tcPr>
            <w:tcW w:w="1882" w:type="pct"/>
            <w:tcBorders>
              <w:top w:val="nil"/>
              <w:left w:val="single" w:sz="8" w:space="0" w:color="auto"/>
              <w:bottom w:val="single" w:sz="8" w:space="0" w:color="auto"/>
              <w:right w:val="single" w:sz="8" w:space="0" w:color="auto"/>
            </w:tcBorders>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Celkový vplyv na rozpočet verejnej správy (- príjmy, + výdavky)</w:t>
            </w:r>
          </w:p>
        </w:tc>
        <w:tc>
          <w:tcPr>
            <w:tcW w:w="540" w:type="pct"/>
            <w:tcBorders>
              <w:top w:val="nil"/>
              <w:left w:val="nil"/>
              <w:bottom w:val="single" w:sz="8" w:space="0" w:color="auto"/>
              <w:right w:val="nil"/>
            </w:tcBorders>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-20 110 000</w:t>
            </w:r>
          </w:p>
        </w:tc>
        <w:tc>
          <w:tcPr>
            <w:tcW w:w="845"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-20 089 723</w:t>
            </w:r>
          </w:p>
        </w:tc>
        <w:tc>
          <w:tcPr>
            <w:tcW w:w="809" w:type="pct"/>
            <w:tcBorders>
              <w:top w:val="nil"/>
              <w:left w:val="single" w:sz="8" w:space="0" w:color="auto"/>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-20 071 358</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094059">
            <w:pPr>
              <w:bidi w:val="0"/>
              <w:ind w:firstLine="480" w:firstLineChars="200"/>
              <w:rPr>
                <w:rFonts w:ascii="Times New Roman" w:hAnsi="Times New Roman"/>
                <w:color w:val="000000"/>
                <w:sz w:val="24"/>
                <w:szCs w:val="24"/>
                <w:lang w:val="sk-SK"/>
              </w:rPr>
            </w:pPr>
            <w:r w:rsidRPr="00E65DF5">
              <w:rPr>
                <w:rFonts w:ascii="Times New Roman" w:hAnsi="Times New Roman"/>
                <w:color w:val="000000"/>
                <w:sz w:val="24"/>
                <w:szCs w:val="24"/>
                <w:lang w:val="sk-SK"/>
              </w:rPr>
              <w:t>z toho - vplyv na ŠR</w:t>
            </w:r>
          </w:p>
        </w:tc>
        <w:tc>
          <w:tcPr>
            <w:tcW w:w="540" w:type="pct"/>
            <w:tcBorders>
              <w:top w:val="nil"/>
              <w:left w:val="nil"/>
              <w:bottom w:val="single" w:sz="8" w:space="0" w:color="auto"/>
              <w:right w:val="nil"/>
            </w:tcBorders>
            <w:noWrap/>
            <w:textDirection w:val="lrTb"/>
            <w:vAlign w:val="bottom"/>
            <w:hideMark/>
          </w:tcPr>
          <w:p w:rsidR="00094059" w:rsidRPr="00E65DF5" w:rsidP="00094059">
            <w:pPr>
              <w:bidi w:val="0"/>
              <w:ind w:firstLine="480" w:firstLineChars="20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-19 405 000</w:t>
            </w:r>
          </w:p>
        </w:tc>
        <w:tc>
          <w:tcPr>
            <w:tcW w:w="845"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-24 679 723</w:t>
            </w:r>
          </w:p>
        </w:tc>
        <w:tc>
          <w:tcPr>
            <w:tcW w:w="809" w:type="pct"/>
            <w:tcBorders>
              <w:top w:val="nil"/>
              <w:left w:val="single" w:sz="8" w:space="0" w:color="auto"/>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-31 643 358</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xml:space="preserve">                   - vplyv na VÚC</w:t>
            </w:r>
          </w:p>
        </w:tc>
        <w:tc>
          <w:tcPr>
            <w:tcW w:w="540" w:type="pct"/>
            <w:tcBorders>
              <w:top w:val="nil"/>
              <w:left w:val="nil"/>
              <w:bottom w:val="single" w:sz="8" w:space="0" w:color="auto"/>
              <w:right w:val="nil"/>
            </w:tcBorders>
            <w:noWrap/>
            <w:textDirection w:val="lrTb"/>
            <w:vAlign w:val="bottom"/>
            <w:hideMark/>
          </w:tcPr>
          <w:p w:rsidR="00094059" w:rsidRPr="00E65DF5" w:rsidP="00094059">
            <w:pPr>
              <w:bidi w:val="0"/>
              <w:ind w:firstLine="1680" w:firstLineChars="70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-705 000</w:t>
            </w:r>
          </w:p>
        </w:tc>
        <w:tc>
          <w:tcPr>
            <w:tcW w:w="845"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4 590 000</w:t>
            </w:r>
          </w:p>
        </w:tc>
        <w:tc>
          <w:tcPr>
            <w:tcW w:w="809" w:type="pct"/>
            <w:tcBorders>
              <w:top w:val="nil"/>
              <w:left w:val="single" w:sz="8" w:space="0" w:color="auto"/>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11 572 000</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financovanie zabezpečené v rozpočte</w:t>
            </w:r>
          </w:p>
        </w:tc>
        <w:tc>
          <w:tcPr>
            <w:tcW w:w="540" w:type="pct"/>
            <w:tcBorders>
              <w:top w:val="nil"/>
              <w:left w:val="nil"/>
              <w:bottom w:val="single" w:sz="8" w:space="0" w:color="auto"/>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5"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ostatné zdroje financovania</w:t>
            </w:r>
          </w:p>
        </w:tc>
        <w:tc>
          <w:tcPr>
            <w:tcW w:w="540" w:type="pct"/>
            <w:tcBorders>
              <w:top w:val="nil"/>
              <w:left w:val="nil"/>
              <w:bottom w:val="single" w:sz="8" w:space="0" w:color="auto"/>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45" w:type="pct"/>
            <w:tcBorders>
              <w:top w:val="nil"/>
              <w:left w:val="single" w:sz="8" w:space="0" w:color="auto"/>
              <w:bottom w:val="single" w:sz="8" w:space="0" w:color="auto"/>
              <w:right w:val="nil"/>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9"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1882" w:type="pct"/>
            <w:tcBorders>
              <w:top w:val="nil"/>
              <w:left w:val="single" w:sz="8" w:space="0" w:color="auto"/>
              <w:bottom w:val="single" w:sz="8" w:space="0" w:color="auto"/>
              <w:right w:val="single" w:sz="8" w:space="0" w:color="auto"/>
            </w:tcBorders>
            <w:noWrap/>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Rozpočtovo nekrytý vplyv / úspora *</w:t>
            </w:r>
          </w:p>
        </w:tc>
        <w:tc>
          <w:tcPr>
            <w:tcW w:w="540" w:type="pct"/>
            <w:tcBorders>
              <w:top w:val="nil"/>
              <w:left w:val="nil"/>
              <w:bottom w:val="single" w:sz="8" w:space="0" w:color="auto"/>
              <w:right w:val="nil"/>
            </w:tcBorders>
            <w:noWrap/>
            <w:textDirection w:val="lrTb"/>
            <w:vAlign w:val="bottom"/>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924"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20 110 000</w:t>
            </w:r>
          </w:p>
        </w:tc>
        <w:tc>
          <w:tcPr>
            <w:tcW w:w="845" w:type="pct"/>
            <w:tcBorders>
              <w:top w:val="nil"/>
              <w:left w:val="single" w:sz="8" w:space="0" w:color="auto"/>
              <w:bottom w:val="single" w:sz="8" w:space="0" w:color="auto"/>
              <w:right w:val="nil"/>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20 089 723</w:t>
            </w:r>
          </w:p>
        </w:tc>
        <w:tc>
          <w:tcPr>
            <w:tcW w:w="809" w:type="pct"/>
            <w:tcBorders>
              <w:top w:val="nil"/>
              <w:left w:val="single" w:sz="8" w:space="0" w:color="auto"/>
              <w:bottom w:val="single" w:sz="8" w:space="0" w:color="auto"/>
              <w:right w:val="single" w:sz="8" w:space="0" w:color="auto"/>
            </w:tcBorders>
            <w:noWrap/>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20 071 358</w:t>
            </w:r>
          </w:p>
        </w:tc>
      </w:tr>
      <w:tr>
        <w:tblPrEx>
          <w:tblW w:w="5000" w:type="pct"/>
          <w:tblLayout w:type="fixed"/>
          <w:tblCellMar>
            <w:left w:w="70" w:type="dxa"/>
            <w:right w:w="70" w:type="dxa"/>
          </w:tblCellMar>
          <w:tblLook w:val="04A0"/>
        </w:tblPrEx>
        <w:trPr>
          <w:trHeight w:val="330"/>
        </w:trPr>
        <w:tc>
          <w:tcPr>
            <w:tcW w:w="1882"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úspora má znamienko (-)</w:t>
            </w:r>
          </w:p>
        </w:tc>
        <w:tc>
          <w:tcPr>
            <w:tcW w:w="540"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p>
        </w:tc>
        <w:tc>
          <w:tcPr>
            <w:tcW w:w="924"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sz w:val="24"/>
                <w:szCs w:val="24"/>
                <w:lang w:val="sk-SK"/>
              </w:rPr>
            </w:pPr>
          </w:p>
        </w:tc>
        <w:tc>
          <w:tcPr>
            <w:tcW w:w="845"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809" w:type="pct"/>
            <w:tcBorders>
              <w:top w:val="nil"/>
              <w:left w:val="nil"/>
              <w:bottom w:val="nil"/>
              <w:right w:val="nil"/>
            </w:tcBorders>
            <w:noWrap/>
            <w:textDirection w:val="lrTb"/>
            <w:vAlign w:val="bottom"/>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bl>
    <w:p w:rsidR="00E13160" w:rsidRPr="00E65DF5" w:rsidP="00094059">
      <w:pPr>
        <w:bidi w:val="0"/>
        <w:rPr>
          <w:rFonts w:ascii="Times New Roman" w:hAnsi="Times New Roman"/>
          <w:b/>
          <w:bCs/>
          <w:sz w:val="24"/>
          <w:szCs w:val="24"/>
          <w:lang w:val="sk-SK"/>
        </w:rPr>
      </w:pPr>
    </w:p>
    <w:p w:rsidR="00E13160" w:rsidRPr="00E65DF5" w:rsidP="00094059">
      <w:pPr>
        <w:bidi w:val="0"/>
        <w:rPr>
          <w:rFonts w:ascii="Times New Roman" w:hAnsi="Times New Roman"/>
          <w:b/>
          <w:bCs/>
          <w:sz w:val="24"/>
          <w:szCs w:val="24"/>
          <w:lang w:val="sk-SK"/>
        </w:rPr>
      </w:pPr>
    </w:p>
    <w:p w:rsidR="00E13160" w:rsidRPr="00E65DF5" w:rsidP="00094059">
      <w:pPr>
        <w:bidi w:val="0"/>
        <w:rPr>
          <w:rFonts w:ascii="Times New Roman" w:hAnsi="Times New Roman"/>
          <w:b/>
          <w:bCs/>
          <w:sz w:val="24"/>
          <w:szCs w:val="24"/>
          <w:lang w:val="sk-SK"/>
        </w:rPr>
      </w:pPr>
    </w:p>
    <w:p w:rsidR="00E13160" w:rsidRPr="00E65DF5" w:rsidP="00094059">
      <w:pPr>
        <w:bidi w:val="0"/>
        <w:rPr>
          <w:rFonts w:ascii="Times New Roman" w:hAnsi="Times New Roman"/>
          <w:b/>
          <w:bCs/>
          <w:sz w:val="24"/>
          <w:szCs w:val="24"/>
          <w:lang w:val="sk-SK"/>
        </w:rPr>
      </w:pPr>
    </w:p>
    <w:p w:rsidR="00E13160" w:rsidRPr="00E65DF5" w:rsidP="00094059">
      <w:pPr>
        <w:bidi w:val="0"/>
        <w:rPr>
          <w:rFonts w:ascii="Times New Roman" w:hAnsi="Times New Roman"/>
          <w:b/>
          <w:bCs/>
          <w:sz w:val="24"/>
          <w:szCs w:val="24"/>
          <w:lang w:val="sk-SK"/>
        </w:rPr>
      </w:pPr>
    </w:p>
    <w:p w:rsidR="00E13160" w:rsidRPr="00E65DF5" w:rsidP="00094059">
      <w:pPr>
        <w:bidi w:val="0"/>
        <w:rPr>
          <w:rFonts w:ascii="Times New Roman" w:hAnsi="Times New Roman"/>
          <w:b/>
          <w:bCs/>
          <w:sz w:val="24"/>
          <w:szCs w:val="24"/>
          <w:lang w:val="sk-SK"/>
        </w:rPr>
      </w:pP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b/>
          <w:bCs/>
          <w:sz w:val="24"/>
          <w:szCs w:val="24"/>
          <w:lang w:val="sk-SK"/>
        </w:rPr>
        <w:t>Návrh na riešenie úbytku príjmov alebo zvýšených výdavkov podľa § 33 ods. 1 zákona č. 523/2004 Z. z. o rozpočtových pravidlách verejnej správy:</w:t>
      </w:r>
    </w:p>
    <w:p w:rsidR="00094059" w:rsidRPr="00E65DF5" w:rsidP="0060639F">
      <w:pPr>
        <w:pBdr>
          <w:top w:val="single" w:sz="4" w:space="1" w:color="000000"/>
          <w:left w:val="single" w:sz="4" w:space="4" w:color="000000"/>
          <w:bottom w:val="single" w:sz="4" w:space="1" w:color="000000"/>
          <w:right w:val="single" w:sz="4" w:space="4" w:color="000000"/>
        </w:pBdr>
        <w:bidi w:val="0"/>
        <w:spacing w:after="0" w:line="240" w:lineRule="auto"/>
        <w:rPr>
          <w:rFonts w:ascii="Times New Roman" w:hAnsi="Times New Roman"/>
          <w:b/>
          <w:bCs/>
          <w:sz w:val="24"/>
          <w:szCs w:val="24"/>
          <w:lang w:val="sk-SK"/>
        </w:rPr>
      </w:pPr>
    </w:p>
    <w:p w:rsidR="00094059" w:rsidRPr="00E65DF5" w:rsidP="0060639F">
      <w:pPr>
        <w:pBdr>
          <w:top w:val="single" w:sz="4" w:space="1" w:color="000000"/>
          <w:left w:val="single" w:sz="4" w:space="4" w:color="000000"/>
          <w:bottom w:val="single" w:sz="4" w:space="1" w:color="000000"/>
          <w:right w:val="single" w:sz="4" w:space="4" w:color="000000"/>
        </w:pBdr>
        <w:bidi w:val="0"/>
        <w:spacing w:after="0" w:line="240" w:lineRule="auto"/>
        <w:rPr>
          <w:rFonts w:ascii="Times New Roman" w:hAnsi="Times New Roman"/>
          <w:sz w:val="24"/>
          <w:szCs w:val="24"/>
          <w:lang w:val="sk-SK"/>
        </w:rPr>
      </w:pPr>
      <w:r w:rsidRPr="00E65DF5">
        <w:rPr>
          <w:rFonts w:ascii="Times New Roman" w:hAnsi="Times New Roman"/>
          <w:b/>
          <w:bCs/>
          <w:sz w:val="24"/>
          <w:szCs w:val="24"/>
          <w:lang w:val="sk-SK"/>
        </w:rPr>
        <w:t>Krytie dopadu bude riešené v ďalšom procese prípravy rozpočtu verejnej správy na roky 2015 až 2017 v nadväznosti na aktualizáciu prognózy  daňových a odvodových príjmov.</w:t>
      </w:r>
    </w:p>
    <w:p w:rsidR="00094059" w:rsidRPr="00E65DF5" w:rsidP="0060639F">
      <w:pPr>
        <w:pBdr>
          <w:top w:val="single" w:sz="4" w:space="1" w:color="000000"/>
          <w:left w:val="single" w:sz="4" w:space="4" w:color="000000"/>
          <w:bottom w:val="single" w:sz="4" w:space="1" w:color="000000"/>
          <w:right w:val="single" w:sz="4" w:space="4" w:color="000000"/>
        </w:pBdr>
        <w:bidi w:val="0"/>
        <w:spacing w:after="0" w:line="240" w:lineRule="auto"/>
        <w:rPr>
          <w:rFonts w:ascii="Times New Roman" w:hAnsi="Times New Roman"/>
          <w:sz w:val="24"/>
          <w:szCs w:val="24"/>
          <w:lang w:val="sk-SK"/>
        </w:rPr>
      </w:pPr>
      <w:r w:rsidRPr="00E65DF5">
        <w:rPr>
          <w:rFonts w:ascii="Times New Roman" w:hAnsi="Times New Roman"/>
          <w:b/>
          <w:bCs/>
          <w:sz w:val="24"/>
          <w:szCs w:val="24"/>
          <w:lang w:val="sk-SK"/>
        </w:rPr>
        <w:t>  </w:t>
      </w:r>
    </w:p>
    <w:p w:rsidR="00094059" w:rsidRPr="00E65DF5" w:rsidP="0060639F">
      <w:pPr>
        <w:bidi w:val="0"/>
        <w:spacing w:after="0" w:line="240" w:lineRule="auto"/>
        <w:rPr>
          <w:rFonts w:ascii="Times New Roman" w:hAnsi="Times New Roman"/>
          <w:b/>
          <w:bCs/>
          <w:sz w:val="24"/>
          <w:szCs w:val="24"/>
          <w:lang w:val="sk-SK"/>
        </w:rPr>
      </w:pP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b/>
          <w:bCs/>
          <w:sz w:val="24"/>
          <w:szCs w:val="24"/>
          <w:lang w:val="sk-SK"/>
        </w:rPr>
        <w:t>2.3. Popis a charakteristika návrhu</w:t>
      </w: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sz w:val="24"/>
          <w:szCs w:val="24"/>
          <w:lang w:val="sk-SK"/>
        </w:rPr>
        <w:t>Návrh nového zákona o dani z motorových vozidiel:</w:t>
      </w: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sz w:val="24"/>
          <w:szCs w:val="24"/>
          <w:lang w:val="sk-SK"/>
        </w:rPr>
        <w:t>-  stanovuje ročné sadzby daní na úrovni súčasne platných ročných sadzieb daní VÚC Banská Bystrica, čo v prevažnej väčšine zodpovedá najnižšej sadzbe dane v rámci krajov</w:t>
      </w:r>
    </w:p>
    <w:p w:rsidR="00E13160" w:rsidRPr="00E65DF5" w:rsidP="0060639F">
      <w:pPr>
        <w:bidi w:val="0"/>
        <w:spacing w:after="0" w:line="240" w:lineRule="auto"/>
        <w:jc w:val="both"/>
        <w:rPr>
          <w:rFonts w:ascii="Times New Roman" w:hAnsi="Times New Roman"/>
          <w:sz w:val="24"/>
          <w:szCs w:val="24"/>
          <w:lang w:val="sk-SK"/>
        </w:rPr>
      </w:pPr>
      <w:r w:rsidRPr="00E65DF5" w:rsidR="00094059">
        <w:rPr>
          <w:rFonts w:ascii="Times New Roman" w:hAnsi="Times New Roman"/>
          <w:sz w:val="24"/>
          <w:szCs w:val="24"/>
          <w:lang w:val="sk-SK"/>
        </w:rPr>
        <w:t>- zavádza nový ekologický prvok v zdaňovaní motorových vozidiel na základe veku vozidla.</w:t>
      </w:r>
    </w:p>
    <w:p w:rsidR="00E13160" w:rsidRPr="00E65DF5" w:rsidP="0060639F">
      <w:pPr>
        <w:bidi w:val="0"/>
        <w:spacing w:after="0" w:line="240" w:lineRule="auto"/>
        <w:jc w:val="both"/>
        <w:rPr>
          <w:rFonts w:ascii="Times New Roman" w:hAnsi="Times New Roman"/>
          <w:sz w:val="24"/>
          <w:szCs w:val="24"/>
          <w:lang w:val="sk-SK"/>
        </w:rPr>
      </w:pPr>
    </w:p>
    <w:p w:rsidR="00094059" w:rsidRPr="00E65DF5" w:rsidP="0060639F">
      <w:pPr>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Z uvedeného dôvodu dochádza k zavedeniu odstupňovaných percentuálnych zliav z ročných sadzieb daní po dobu 9 rokov. Veľkosť jednotlivých zliav:</w:t>
      </w:r>
    </w:p>
    <w:p w:rsidR="00094059" w:rsidRPr="00E65DF5" w:rsidP="0060639F">
      <w:pPr>
        <w:bidi w:val="0"/>
        <w:spacing w:after="0" w:line="240" w:lineRule="auto"/>
        <w:jc w:val="both"/>
        <w:rPr>
          <w:rFonts w:ascii="Times New Roman" w:hAnsi="Times New Roman"/>
          <w:sz w:val="24"/>
          <w:szCs w:val="24"/>
          <w:lang w:val="sk-SK"/>
        </w:rPr>
      </w:pPr>
    </w:p>
    <w:p w:rsidR="00094059" w:rsidRPr="00E65DF5" w:rsidP="0060639F">
      <w:pPr>
        <w:widowControl/>
        <w:numPr>
          <w:numId w:val="10"/>
        </w:numPr>
        <w:bidi w:val="0"/>
        <w:adjustRightInd/>
        <w:spacing w:after="0" w:line="240" w:lineRule="auto"/>
        <w:ind w:left="1429"/>
        <w:jc w:val="both"/>
        <w:rPr>
          <w:rFonts w:ascii="Times New Roman" w:hAnsi="Times New Roman"/>
          <w:sz w:val="24"/>
          <w:szCs w:val="24"/>
          <w:lang w:val="sk-SK"/>
        </w:rPr>
      </w:pPr>
      <w:r w:rsidRPr="00E65DF5">
        <w:rPr>
          <w:rFonts w:ascii="Times New Roman" w:hAnsi="Times New Roman"/>
          <w:sz w:val="24"/>
          <w:szCs w:val="24"/>
          <w:lang w:val="sk-SK"/>
        </w:rPr>
        <w:t>25% počas prvých troch rokov (vrátane) od dátumu prvej evidencie vozidla,</w:t>
      </w:r>
    </w:p>
    <w:p w:rsidR="00094059" w:rsidRPr="00E65DF5" w:rsidP="0060639F">
      <w:pPr>
        <w:widowControl/>
        <w:numPr>
          <w:numId w:val="10"/>
        </w:numPr>
        <w:bidi w:val="0"/>
        <w:adjustRightInd/>
        <w:spacing w:after="0" w:line="240" w:lineRule="auto"/>
        <w:ind w:left="1429"/>
        <w:jc w:val="both"/>
        <w:rPr>
          <w:rFonts w:ascii="Times New Roman" w:hAnsi="Times New Roman"/>
          <w:sz w:val="24"/>
          <w:szCs w:val="24"/>
          <w:lang w:val="sk-SK"/>
        </w:rPr>
      </w:pPr>
      <w:r w:rsidRPr="00E65DF5">
        <w:rPr>
          <w:rFonts w:ascii="Times New Roman" w:hAnsi="Times New Roman"/>
          <w:sz w:val="24"/>
          <w:szCs w:val="24"/>
          <w:lang w:val="sk-SK"/>
        </w:rPr>
        <w:t>20% pre vozidlá nad tri roky až do šiestich rokov (vrátane) od dátumu prvej evidencie vozidla,</w:t>
      </w:r>
    </w:p>
    <w:p w:rsidR="00094059" w:rsidRPr="00E65DF5" w:rsidP="0060639F">
      <w:pPr>
        <w:widowControl/>
        <w:numPr>
          <w:numId w:val="10"/>
        </w:numPr>
        <w:bidi w:val="0"/>
        <w:adjustRightInd/>
        <w:spacing w:after="0" w:line="240" w:lineRule="auto"/>
        <w:ind w:left="1429"/>
        <w:jc w:val="both"/>
        <w:rPr>
          <w:rFonts w:ascii="Times New Roman" w:hAnsi="Times New Roman"/>
          <w:sz w:val="24"/>
          <w:szCs w:val="24"/>
          <w:lang w:val="sk-SK"/>
        </w:rPr>
      </w:pPr>
      <w:r w:rsidRPr="00E65DF5">
        <w:rPr>
          <w:rFonts w:ascii="Times New Roman" w:hAnsi="Times New Roman"/>
          <w:sz w:val="24"/>
          <w:szCs w:val="24"/>
          <w:lang w:val="sk-SK"/>
        </w:rPr>
        <w:t>15% pre vozidlá nad šesť rokov až do deviatich rokov od dátumu prvej evidencie vozidla,</w:t>
      </w:r>
    </w:p>
    <w:p w:rsidR="00094059" w:rsidRPr="00E65DF5" w:rsidP="0060639F">
      <w:pPr>
        <w:bidi w:val="0"/>
        <w:spacing w:after="0" w:line="240" w:lineRule="auto"/>
        <w:ind w:left="1429"/>
        <w:jc w:val="both"/>
        <w:rPr>
          <w:rFonts w:ascii="Times New Roman" w:hAnsi="Times New Roman"/>
          <w:sz w:val="24"/>
          <w:szCs w:val="24"/>
          <w:lang w:val="sk-SK"/>
        </w:rPr>
      </w:pPr>
    </w:p>
    <w:p w:rsidR="00094059" w:rsidRPr="00E65DF5" w:rsidP="0060639F">
      <w:pPr>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 ekologickosť sa prejavuje aj v zavedení zvýšenia ročných sadzieb daní pre vozidlá, ktoré sú staršie ako 12 rokov</w:t>
      </w:r>
    </w:p>
    <w:p w:rsidR="00094059" w:rsidRPr="00E65DF5" w:rsidP="0060639F">
      <w:pPr>
        <w:widowControl/>
        <w:numPr>
          <w:numId w:val="10"/>
        </w:numPr>
        <w:bidi w:val="0"/>
        <w:adjustRightInd/>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10%  pre vozidlá nad dvanásť rokov až do trinásť rokov (vrátane) od dátumu prvej evidencie vozidla,</w:t>
      </w:r>
    </w:p>
    <w:p w:rsidR="00094059" w:rsidRPr="00E65DF5" w:rsidP="0060639F">
      <w:pPr>
        <w:widowControl/>
        <w:numPr>
          <w:numId w:val="10"/>
        </w:numPr>
        <w:bidi w:val="0"/>
        <w:adjustRightInd/>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20% pre vozidlá nad trinásť rokov od dátumu prvej evidencie vozidla,</w:t>
      </w:r>
    </w:p>
    <w:p w:rsidR="00094059" w:rsidRPr="00E65DF5" w:rsidP="0060639F">
      <w:pPr>
        <w:bidi w:val="0"/>
        <w:spacing w:after="0" w:line="240" w:lineRule="auto"/>
        <w:jc w:val="both"/>
        <w:rPr>
          <w:rFonts w:ascii="Times New Roman" w:hAnsi="Times New Roman"/>
          <w:sz w:val="24"/>
          <w:szCs w:val="24"/>
          <w:lang w:val="sk-SK"/>
        </w:rPr>
      </w:pP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sz w:val="24"/>
          <w:szCs w:val="24"/>
          <w:lang w:val="sk-SK"/>
        </w:rPr>
        <w:t>- zavádza zdanenie motocyklov určených na podnikateľské účely,</w:t>
      </w:r>
    </w:p>
    <w:p w:rsidR="00094059" w:rsidRPr="00E65DF5" w:rsidP="0060639F">
      <w:pPr>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 zavádza možnosť zdanenia jazdnej súpravy nižšou sadzbou dane len pre jednu návesovú jazdnú súpravu iba raz,</w:t>
      </w:r>
    </w:p>
    <w:p w:rsidR="00094059" w:rsidRPr="00E65DF5" w:rsidP="0060639F">
      <w:pPr>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 xml:space="preserve">- zavádza ďalšie zníženia ročných sadzieb daní pre hybridné motorové alebo hybridné elektrické vozidlá, vozidlá s pohonom CNG, LNG a vodík. </w:t>
      </w:r>
    </w:p>
    <w:p w:rsidR="00094059" w:rsidRPr="00E65DF5" w:rsidP="0060639F">
      <w:pPr>
        <w:bidi w:val="0"/>
        <w:spacing w:after="0" w:line="240" w:lineRule="auto"/>
        <w:rPr>
          <w:rFonts w:ascii="Times New Roman" w:hAnsi="Times New Roman"/>
          <w:sz w:val="24"/>
          <w:szCs w:val="24"/>
          <w:lang w:val="sk-SK"/>
        </w:rPr>
      </w:pPr>
    </w:p>
    <w:p w:rsidR="00094059" w:rsidRPr="00E65DF5" w:rsidP="0060639F">
      <w:pPr>
        <w:bidi w:val="0"/>
        <w:spacing w:after="0" w:line="240" w:lineRule="auto"/>
        <w:jc w:val="both"/>
        <w:rPr>
          <w:rFonts w:ascii="Times New Roman" w:hAnsi="Times New Roman"/>
          <w:b/>
          <w:bCs/>
          <w:sz w:val="24"/>
          <w:szCs w:val="24"/>
          <w:lang w:val="sk-SK"/>
        </w:rPr>
      </w:pPr>
      <w:r w:rsidRPr="00E65DF5">
        <w:rPr>
          <w:rFonts w:ascii="Times New Roman" w:hAnsi="Times New Roman"/>
          <w:b/>
          <w:bCs/>
          <w:sz w:val="24"/>
          <w:szCs w:val="24"/>
          <w:lang w:val="sk-SK"/>
        </w:rPr>
        <w:t xml:space="preserve">2.3.1. Popis návrhu: </w:t>
      </w:r>
    </w:p>
    <w:p w:rsidR="00094059" w:rsidRPr="00E65DF5" w:rsidP="0060639F">
      <w:pPr>
        <w:bidi w:val="0"/>
        <w:spacing w:after="0" w:line="240" w:lineRule="auto"/>
        <w:jc w:val="both"/>
        <w:rPr>
          <w:rFonts w:ascii="Times New Roman" w:hAnsi="Times New Roman"/>
          <w:sz w:val="24"/>
          <w:szCs w:val="24"/>
          <w:lang w:val="sk-SK"/>
        </w:rPr>
      </w:pPr>
      <w:r w:rsidRPr="00E65DF5">
        <w:rPr>
          <w:rFonts w:ascii="Times New Roman" w:hAnsi="Times New Roman"/>
          <w:bCs/>
          <w:sz w:val="24"/>
          <w:szCs w:val="24"/>
          <w:lang w:val="sk-SK"/>
        </w:rPr>
        <w:t xml:space="preserve">Daň z motorových vozidiel bude príjmom štátneho rozpočtu a výpadok príjmov vyšších územných celkov bude kompenzovaný úpravou podielu na dani z príjmov fyzických osôb, ktorá vzhľadom na rýchlejší rast základne prináša pozitívny vplyv na príjmy VÚC v ďalších rokoch. </w:t>
      </w:r>
    </w:p>
    <w:p w:rsidR="00094059" w:rsidRPr="00E65DF5" w:rsidP="0060639F">
      <w:pPr>
        <w:bidi w:val="0"/>
        <w:spacing w:after="0" w:line="240" w:lineRule="auto"/>
        <w:jc w:val="both"/>
        <w:rPr>
          <w:rFonts w:ascii="Times New Roman" w:hAnsi="Times New Roman"/>
          <w:b/>
          <w:bCs/>
          <w:sz w:val="24"/>
          <w:szCs w:val="24"/>
          <w:lang w:val="sk-SK"/>
        </w:rPr>
      </w:pPr>
    </w:p>
    <w:p w:rsidR="00E65DF5" w:rsidRPr="00E65DF5" w:rsidP="0060639F">
      <w:pPr>
        <w:bidi w:val="0"/>
        <w:spacing w:after="0" w:line="240" w:lineRule="auto"/>
        <w:jc w:val="both"/>
        <w:rPr>
          <w:rFonts w:ascii="Times New Roman" w:hAnsi="Times New Roman"/>
          <w:b/>
          <w:bCs/>
          <w:sz w:val="24"/>
          <w:szCs w:val="24"/>
          <w:lang w:val="sk-SK"/>
        </w:rPr>
      </w:pP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b/>
          <w:bCs/>
          <w:sz w:val="24"/>
          <w:szCs w:val="24"/>
          <w:lang w:val="sk-SK"/>
        </w:rPr>
        <w:t>2.3.2. Charakteristika návrhu podľa bodu  2.3.2. Metodiky :</w:t>
      </w: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b/>
          <w:bCs/>
          <w:sz w:val="24"/>
          <w:szCs w:val="24"/>
          <w:bdr w:val="single" w:sz="4" w:space="0" w:color="000000" w:frame="1"/>
          <w:lang w:val="sk-SK"/>
        </w:rPr>
        <w:t> </w:t>
      </w:r>
      <w:r w:rsidRPr="00E65DF5">
        <w:rPr>
          <w:rFonts w:ascii="Times New Roman" w:hAnsi="Times New Roman"/>
          <w:sz w:val="24"/>
          <w:szCs w:val="24"/>
          <w:bdr w:val="single" w:sz="4" w:space="0" w:color="000000" w:frame="1"/>
          <w:lang w:val="sk-SK"/>
        </w:rPr>
        <w:t> x</w:t>
      </w:r>
      <w:r w:rsidRPr="00E65DF5">
        <w:rPr>
          <w:rFonts w:ascii="Times New Roman" w:hAnsi="Times New Roman"/>
          <w:b/>
          <w:bCs/>
          <w:sz w:val="24"/>
          <w:szCs w:val="24"/>
          <w:bdr w:val="single" w:sz="4" w:space="0" w:color="000000" w:frame="1"/>
          <w:lang w:val="sk-SK"/>
        </w:rPr>
        <w:t xml:space="preserve"> </w:t>
      </w:r>
      <w:r w:rsidRPr="00E65DF5">
        <w:rPr>
          <w:rFonts w:ascii="Times New Roman" w:hAnsi="Times New Roman"/>
          <w:b/>
          <w:bCs/>
          <w:sz w:val="24"/>
          <w:szCs w:val="24"/>
          <w:lang w:val="sk-SK"/>
        </w:rPr>
        <w:t xml:space="preserve">  </w:t>
      </w:r>
      <w:r w:rsidRPr="00E65DF5">
        <w:rPr>
          <w:rFonts w:ascii="Times New Roman" w:hAnsi="Times New Roman"/>
          <w:sz w:val="24"/>
          <w:szCs w:val="24"/>
          <w:lang w:val="sk-SK"/>
        </w:rPr>
        <w:t>zmena sadzby</w:t>
      </w: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sz w:val="24"/>
          <w:szCs w:val="24"/>
          <w:bdr w:val="single" w:sz="4" w:space="0" w:color="000000" w:frame="1"/>
          <w:lang w:val="sk-SK"/>
        </w:rPr>
        <w:t xml:space="preserve">     </w:t>
      </w:r>
      <w:r w:rsidRPr="00E65DF5">
        <w:rPr>
          <w:rFonts w:ascii="Times New Roman" w:hAnsi="Times New Roman"/>
          <w:sz w:val="24"/>
          <w:szCs w:val="24"/>
          <w:lang w:val="sk-SK"/>
        </w:rPr>
        <w:t>  zmena v nároku</w:t>
      </w: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sz w:val="24"/>
          <w:szCs w:val="24"/>
          <w:bdr w:val="single" w:sz="4" w:space="0" w:color="000000" w:frame="1"/>
          <w:lang w:val="sk-SK"/>
        </w:rPr>
        <w:t xml:space="preserve">     </w:t>
      </w:r>
      <w:r w:rsidRPr="00E65DF5">
        <w:rPr>
          <w:rFonts w:ascii="Times New Roman" w:hAnsi="Times New Roman"/>
          <w:sz w:val="24"/>
          <w:szCs w:val="24"/>
          <w:lang w:val="sk-SK"/>
        </w:rPr>
        <w:t>  nová služba alebo nariadenie (alebo ich zrušenie)</w:t>
      </w: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sz w:val="24"/>
          <w:szCs w:val="24"/>
          <w:bdr w:val="single" w:sz="4" w:space="0" w:color="000000" w:frame="1"/>
          <w:lang w:val="sk-SK"/>
        </w:rPr>
        <w:t>     </w:t>
      </w:r>
      <w:r w:rsidRPr="00E65DF5">
        <w:rPr>
          <w:rFonts w:ascii="Times New Roman" w:hAnsi="Times New Roman"/>
          <w:sz w:val="24"/>
          <w:szCs w:val="24"/>
          <w:lang w:val="sk-SK"/>
        </w:rPr>
        <w:t>  kombinovaný návrh</w:t>
      </w:r>
    </w:p>
    <w:p w:rsidR="00094059" w:rsidRPr="00E65DF5" w:rsidP="0060639F">
      <w:pPr>
        <w:bidi w:val="0"/>
        <w:spacing w:after="0" w:line="240" w:lineRule="auto"/>
        <w:rPr>
          <w:rFonts w:ascii="Times New Roman" w:hAnsi="Times New Roman"/>
          <w:sz w:val="24"/>
          <w:szCs w:val="24"/>
          <w:lang w:val="sk-SK"/>
        </w:rPr>
      </w:pPr>
      <w:r w:rsidRPr="00E65DF5">
        <w:rPr>
          <w:rFonts w:ascii="Times New Roman" w:hAnsi="Times New Roman"/>
          <w:sz w:val="24"/>
          <w:szCs w:val="24"/>
          <w:bdr w:val="single" w:sz="4" w:space="0" w:color="000000" w:frame="1"/>
          <w:lang w:val="sk-SK"/>
        </w:rPr>
        <w:t xml:space="preserve"> x  </w:t>
      </w:r>
      <w:r w:rsidRPr="00E65DF5">
        <w:rPr>
          <w:rFonts w:ascii="Times New Roman" w:hAnsi="Times New Roman"/>
          <w:sz w:val="24"/>
          <w:szCs w:val="24"/>
          <w:lang w:val="sk-SK"/>
        </w:rPr>
        <w:t>  iné (zavedená jednotná ročná sadzba dane a rovnaké uplatnenie znížení  a zvýšení sadzieb daní a oslobodení od dane, zdanenie špeciálnych vozidiel)</w:t>
      </w:r>
    </w:p>
    <w:p w:rsidR="00E65DF5" w:rsidRPr="00E65DF5" w:rsidP="00094059">
      <w:pPr>
        <w:bidi w:val="0"/>
        <w:rPr>
          <w:rFonts w:ascii="Times New Roman" w:hAnsi="Times New Roman"/>
          <w:sz w:val="24"/>
          <w:szCs w:val="24"/>
          <w:lang w:val="sk-SK"/>
        </w:rPr>
      </w:pPr>
    </w:p>
    <w:p w:rsidR="00094059" w:rsidRPr="00E65DF5" w:rsidP="00094059">
      <w:pPr>
        <w:bidi w:val="0"/>
        <w:rPr>
          <w:rFonts w:ascii="Times New Roman" w:hAnsi="Times New Roman"/>
          <w:sz w:val="24"/>
          <w:szCs w:val="24"/>
          <w:lang w:val="sk-SK"/>
        </w:rPr>
      </w:pPr>
      <w:r w:rsidRPr="00E65DF5">
        <w:rPr>
          <w:rFonts w:ascii="Times New Roman" w:hAnsi="Times New Roman"/>
          <w:sz w:val="24"/>
          <w:szCs w:val="24"/>
          <w:lang w:val="sk-SK"/>
        </w:rPr>
        <w:t> </w:t>
      </w:r>
      <w:r w:rsidRPr="00E65DF5">
        <w:rPr>
          <w:rFonts w:ascii="Times New Roman" w:hAnsi="Times New Roman"/>
          <w:b/>
          <w:bCs/>
          <w:sz w:val="24"/>
          <w:szCs w:val="24"/>
          <w:lang w:val="sk-SK"/>
        </w:rPr>
        <w:t>2.3.3. Predpoklady vývoja objemu aktivít:</w:t>
      </w:r>
    </w:p>
    <w:p w:rsidR="00E65DF5" w:rsidRPr="00E65DF5" w:rsidP="00094059">
      <w:pPr>
        <w:bidi w:val="0"/>
        <w:rPr>
          <w:rFonts w:ascii="Times New Roman" w:hAnsi="Times New Roman"/>
          <w:b/>
          <w:bCs/>
          <w:sz w:val="24"/>
          <w:szCs w:val="24"/>
          <w:lang w:val="sk-SK"/>
        </w:rPr>
      </w:pPr>
    </w:p>
    <w:p w:rsidR="0060639F" w:rsidP="00094059">
      <w:pPr>
        <w:bidi w:val="0"/>
        <w:rPr>
          <w:rFonts w:ascii="Times New Roman" w:hAnsi="Times New Roman"/>
          <w:b/>
          <w:bCs/>
          <w:sz w:val="24"/>
          <w:szCs w:val="24"/>
          <w:lang w:val="sk-SK"/>
        </w:rPr>
      </w:pPr>
    </w:p>
    <w:p w:rsidR="00094059" w:rsidRPr="00E65DF5" w:rsidP="00094059">
      <w:pPr>
        <w:bidi w:val="0"/>
        <w:rPr>
          <w:rFonts w:ascii="Times New Roman" w:hAnsi="Times New Roman"/>
          <w:b/>
          <w:bCs/>
          <w:sz w:val="24"/>
          <w:szCs w:val="24"/>
          <w:lang w:val="sk-SK"/>
        </w:rPr>
      </w:pPr>
      <w:r w:rsidRPr="00E65DF5">
        <w:rPr>
          <w:rFonts w:ascii="Times New Roman" w:hAnsi="Times New Roman"/>
          <w:b/>
          <w:bCs/>
          <w:sz w:val="24"/>
          <w:szCs w:val="24"/>
          <w:lang w:val="sk-SK"/>
        </w:rPr>
        <w:t>2.3.4. Výpočty vplyvov na verejné financie</w:t>
      </w:r>
    </w:p>
    <w:p w:rsidR="00E65DF5" w:rsidRPr="00E65DF5" w:rsidP="00094059">
      <w:pPr>
        <w:autoSpaceDE w:val="0"/>
        <w:autoSpaceDN w:val="0"/>
        <w:bidi w:val="0"/>
        <w:jc w:val="both"/>
        <w:rPr>
          <w:rFonts w:ascii="Times New Roman" w:hAnsi="Times New Roman"/>
          <w:sz w:val="24"/>
          <w:szCs w:val="24"/>
          <w:lang w:val="sk-SK"/>
        </w:rPr>
      </w:pPr>
    </w:p>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Predpoklad kompenzácie príjmov vyšších územných celkov vychádza z aktuálnej prognózy daňových príjmov VS na roky 2015 - 2017. Na základe odhadovaného výnosu dane z motorových vozidiel sa v roku 2015 predpokladá výnos VÚC na úrovni približne 150 mil. eur. Za účelom kompenzácie výpadku rozpočtovaných príjmov VÚC na dani z motorových vozidiel bude potrebné upraviť podiel VÚC na dani z príjmov fyzických osôb zo súčasnej úrovne 21,9% na 29,2%.</w:t>
      </w:r>
    </w:p>
    <w:p w:rsidR="00E65DF5" w:rsidRPr="00E65DF5" w:rsidP="00E65DF5">
      <w:pPr>
        <w:autoSpaceDE w:val="0"/>
        <w:autoSpaceDN w:val="0"/>
        <w:bidi w:val="0"/>
        <w:spacing w:after="0" w:line="240" w:lineRule="auto"/>
        <w:jc w:val="both"/>
        <w:rPr>
          <w:rFonts w:ascii="Times New Roman" w:hAnsi="Times New Roman"/>
          <w:sz w:val="24"/>
          <w:szCs w:val="24"/>
          <w:lang w:val="sk-SK"/>
        </w:rPr>
      </w:pPr>
    </w:p>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 xml:space="preserve">Kvantifikácia vplyvov vychádza z údajov databázy vozidiel Policajného zboru SR registrovaných na právnické organizácie a fyzické osoby - podnikateľov. Konečný vplyv nezohľadňuje rozdielne sadzby pre ekologické vozidlá (EURO3, EURO4, EURO5, EURO6) a možnosť uplatnenia zníženej sadzby dane pre jazdné súpravy. </w:t>
      </w:r>
    </w:p>
    <w:p w:rsidR="00E65DF5" w:rsidRPr="00E65DF5" w:rsidP="00E65DF5">
      <w:pPr>
        <w:autoSpaceDE w:val="0"/>
        <w:autoSpaceDN w:val="0"/>
        <w:bidi w:val="0"/>
        <w:spacing w:after="0" w:line="240" w:lineRule="auto"/>
        <w:jc w:val="both"/>
        <w:rPr>
          <w:rFonts w:ascii="Times New Roman" w:hAnsi="Times New Roman"/>
          <w:sz w:val="24"/>
          <w:szCs w:val="24"/>
          <w:lang w:val="sk-SK"/>
        </w:rPr>
      </w:pPr>
    </w:p>
    <w:p w:rsidR="00094059" w:rsidRPr="00E65DF5" w:rsidP="00E65DF5">
      <w:pPr>
        <w:bidi w:val="0"/>
        <w:spacing w:after="0" w:line="240" w:lineRule="auto"/>
        <w:jc w:val="both"/>
        <w:rPr>
          <w:rFonts w:ascii="Times New Roman" w:hAnsi="Times New Roman"/>
          <w:bCs/>
          <w:sz w:val="24"/>
          <w:szCs w:val="24"/>
          <w:lang w:val="sk-SK"/>
        </w:rPr>
      </w:pPr>
      <w:r w:rsidRPr="00E65DF5">
        <w:rPr>
          <w:rFonts w:ascii="Times New Roman" w:hAnsi="Times New Roman"/>
          <w:bCs/>
          <w:sz w:val="24"/>
          <w:szCs w:val="24"/>
          <w:lang w:val="sk-SK"/>
        </w:rPr>
        <w:t xml:space="preserve">Pri zákonnom nastavení jednotných sadzieb daní na úroveň súčasne platných ročných sadzieb daní Banskobystrického kraja a pri zavedení zákonnej možnosti zníženia sadzieb daní o 25, 20 a 15 % a zvýšenia sadzieb daní o 10 a 20 % v závislosti od roku prvej evidencie vozidla predstavuje pokles výnosu dane na rok 2015 v rozsahu 20,11 mil. eur. Výsledný vplyv zohľadňuje počet mesiacov, ktoré je vozidlo v užívaní od jeho prvej evidencie. Celková kvantifikácia poklesu výnosu prezentovaná v tabuľke č. 1. uvádza aj roky 2016 a 2017. </w:t>
      </w:r>
    </w:p>
    <w:p w:rsidR="00094059" w:rsidRPr="00E65DF5" w:rsidP="00094059">
      <w:pPr>
        <w:autoSpaceDE w:val="0"/>
        <w:autoSpaceDN w:val="0"/>
        <w:bidi w:val="0"/>
        <w:jc w:val="both"/>
        <w:rPr>
          <w:rFonts w:ascii="Times New Roman" w:hAnsi="Times New Roman"/>
          <w:sz w:val="24"/>
          <w:szCs w:val="24"/>
          <w:lang w:val="sk-SK"/>
        </w:rPr>
      </w:pPr>
    </w:p>
    <w:p w:rsidR="00094059" w:rsidRPr="00E65DF5" w:rsidP="00094059">
      <w:pPr>
        <w:autoSpaceDE w:val="0"/>
        <w:autoSpaceDN w:val="0"/>
        <w:bidi w:val="0"/>
        <w:jc w:val="both"/>
        <w:rPr>
          <w:rFonts w:ascii="Times New Roman" w:hAnsi="Times New Roman"/>
          <w:sz w:val="24"/>
          <w:szCs w:val="24"/>
          <w:lang w:val="sk-SK"/>
        </w:rPr>
      </w:pPr>
    </w:p>
    <w:p w:rsidR="00E65DF5" w:rsidRPr="00E65DF5" w:rsidP="00094059">
      <w:pPr>
        <w:autoSpaceDE w:val="0"/>
        <w:autoSpaceDN w:val="0"/>
        <w:bidi w:val="0"/>
        <w:jc w:val="both"/>
        <w:rPr>
          <w:rFonts w:ascii="Times New Roman" w:hAnsi="Times New Roman"/>
          <w:sz w:val="24"/>
          <w:szCs w:val="24"/>
          <w:lang w:val="sk-SK"/>
        </w:rPr>
      </w:pPr>
    </w:p>
    <w:p w:rsidR="00E65DF5" w:rsidRPr="00E65DF5" w:rsidP="00094059">
      <w:pPr>
        <w:autoSpaceDE w:val="0"/>
        <w:autoSpaceDN w:val="0"/>
        <w:bidi w:val="0"/>
        <w:jc w:val="both"/>
        <w:rPr>
          <w:rFonts w:ascii="Times New Roman" w:hAnsi="Times New Roman"/>
          <w:sz w:val="24"/>
          <w:szCs w:val="24"/>
          <w:lang w:val="sk-SK"/>
        </w:rPr>
      </w:pPr>
    </w:p>
    <w:p w:rsidR="00E65DF5" w:rsidRPr="00E65DF5" w:rsidP="00094059">
      <w:pPr>
        <w:autoSpaceDE w:val="0"/>
        <w:autoSpaceDN w:val="0"/>
        <w:bidi w:val="0"/>
        <w:jc w:val="both"/>
        <w:rPr>
          <w:rFonts w:ascii="Times New Roman" w:hAnsi="Times New Roman"/>
          <w:sz w:val="24"/>
          <w:szCs w:val="24"/>
          <w:lang w:val="sk-SK"/>
        </w:rPr>
      </w:pPr>
    </w:p>
    <w:p w:rsidR="00E65DF5" w:rsidRPr="00E65DF5" w:rsidP="00094059">
      <w:pPr>
        <w:autoSpaceDE w:val="0"/>
        <w:autoSpaceDN w:val="0"/>
        <w:bidi w:val="0"/>
        <w:jc w:val="both"/>
        <w:rPr>
          <w:rFonts w:ascii="Times New Roman" w:hAnsi="Times New Roman"/>
          <w:sz w:val="24"/>
          <w:szCs w:val="24"/>
          <w:lang w:val="sk-SK"/>
        </w:rPr>
      </w:pPr>
    </w:p>
    <w:p w:rsidR="00E65DF5"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P="00094059">
      <w:pPr>
        <w:autoSpaceDE w:val="0"/>
        <w:autoSpaceDN w:val="0"/>
        <w:bidi w:val="0"/>
        <w:jc w:val="both"/>
        <w:rPr>
          <w:rFonts w:ascii="Times New Roman" w:hAnsi="Times New Roman"/>
          <w:sz w:val="24"/>
          <w:szCs w:val="24"/>
          <w:lang w:val="sk-SK"/>
        </w:rPr>
      </w:pPr>
    </w:p>
    <w:p w:rsidR="0060639F" w:rsidRPr="00E65DF5" w:rsidP="00094059">
      <w:pPr>
        <w:autoSpaceDE w:val="0"/>
        <w:autoSpaceDN w:val="0"/>
        <w:bidi w:val="0"/>
        <w:jc w:val="both"/>
        <w:rPr>
          <w:rFonts w:ascii="Times New Roman" w:hAnsi="Times New Roman"/>
          <w:sz w:val="24"/>
          <w:szCs w:val="24"/>
          <w:lang w:val="sk-SK"/>
        </w:rPr>
      </w:pPr>
    </w:p>
    <w:p w:rsidR="00E65DF5" w:rsidRPr="00E65DF5" w:rsidP="00E65DF5">
      <w:pPr>
        <w:autoSpaceDE w:val="0"/>
        <w:autoSpaceDN w:val="0"/>
        <w:bidi w:val="0"/>
        <w:spacing w:after="0" w:line="240" w:lineRule="auto"/>
        <w:ind w:left="8499" w:firstLine="705"/>
        <w:jc w:val="both"/>
        <w:rPr>
          <w:rFonts w:ascii="Times New Roman" w:hAnsi="Times New Roman"/>
          <w:sz w:val="24"/>
          <w:szCs w:val="24"/>
          <w:lang w:val="sk-SK"/>
        </w:rPr>
      </w:pPr>
      <w:r w:rsidRPr="00E65DF5" w:rsidR="00094059">
        <w:rPr>
          <w:rFonts w:ascii="Times New Roman" w:hAnsi="Times New Roman"/>
          <w:sz w:val="24"/>
          <w:szCs w:val="24"/>
          <w:lang w:val="sk-SK"/>
        </w:rPr>
        <w:t xml:space="preserve">Príloha č. 2 </w:t>
      </w:r>
    </w:p>
    <w:p w:rsidR="00094059" w:rsidRPr="00E65DF5" w:rsidP="00E65DF5">
      <w:pPr>
        <w:autoSpaceDE w:val="0"/>
        <w:autoSpaceDN w:val="0"/>
        <w:bidi w:val="0"/>
        <w:spacing w:after="0" w:line="240" w:lineRule="auto"/>
        <w:ind w:left="8499" w:firstLine="705"/>
        <w:jc w:val="both"/>
        <w:rPr>
          <w:rFonts w:ascii="Times New Roman" w:hAnsi="Times New Roman"/>
          <w:sz w:val="24"/>
          <w:szCs w:val="24"/>
          <w:lang w:val="sk-SK"/>
        </w:rPr>
      </w:pPr>
      <w:r w:rsidRPr="00E65DF5">
        <w:rPr>
          <w:rFonts w:ascii="Times New Roman" w:hAnsi="Times New Roman"/>
          <w:sz w:val="24"/>
          <w:szCs w:val="24"/>
          <w:lang w:val="sk-SK"/>
        </w:rPr>
        <w:t>Tabuľka č. 5</w:t>
      </w:r>
    </w:p>
    <w:tbl>
      <w:tblPr>
        <w:tblStyle w:val="TableNormal"/>
        <w:tblW w:w="5000" w:type="pct"/>
        <w:tblLayout w:type="fixed"/>
        <w:tblCellMar>
          <w:left w:w="70" w:type="dxa"/>
          <w:right w:w="70" w:type="dxa"/>
        </w:tblCellMar>
        <w:tblLook w:val="04A0"/>
      </w:tblPr>
      <w:tblGrid>
        <w:gridCol w:w="2996"/>
        <w:gridCol w:w="1163"/>
        <w:gridCol w:w="1635"/>
        <w:gridCol w:w="1631"/>
        <w:gridCol w:w="1633"/>
        <w:gridCol w:w="1548"/>
      </w:tblGrid>
      <w:tr>
        <w:tblPrEx>
          <w:tblW w:w="5000" w:type="pct"/>
          <w:tblLayout w:type="fixed"/>
          <w:tblCellMar>
            <w:left w:w="70" w:type="dxa"/>
            <w:right w:w="70" w:type="dxa"/>
          </w:tblCellMar>
          <w:tblLook w:val="04A0"/>
        </w:tblPrEx>
        <w:trPr>
          <w:trHeight w:val="330"/>
        </w:trPr>
        <w:tc>
          <w:tcPr>
            <w:tcW w:w="1412" w:type="pct"/>
            <w:vMerge w:val="restart"/>
            <w:tcBorders>
              <w:top w:val="single" w:sz="8" w:space="0" w:color="000000"/>
              <w:left w:val="single" w:sz="8" w:space="0" w:color="000000"/>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r w:rsidRPr="00E65DF5">
              <w:rPr>
                <w:rFonts w:ascii="Times New Roman" w:hAnsi="Times New Roman"/>
                <w:b/>
                <w:bCs/>
                <w:color w:val="FFFFFF"/>
                <w:sz w:val="24"/>
                <w:szCs w:val="24"/>
                <w:lang w:val="sk-SK"/>
              </w:rPr>
              <w:t>Príjmy (v eurách)</w:t>
            </w:r>
          </w:p>
        </w:tc>
        <w:tc>
          <w:tcPr>
            <w:tcW w:w="2858" w:type="pct"/>
            <w:gridSpan w:val="4"/>
            <w:tcBorders>
              <w:top w:val="single" w:sz="8" w:space="0" w:color="000000"/>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Vplyv na rozpočet verejnej správy (cash)</w:t>
            </w:r>
          </w:p>
        </w:tc>
        <w:tc>
          <w:tcPr>
            <w:tcW w:w="730" w:type="pct"/>
            <w:vMerge w:val="restart"/>
            <w:tcBorders>
              <w:top w:val="single" w:sz="8" w:space="0" w:color="000000"/>
              <w:left w:val="single" w:sz="8" w:space="0" w:color="000000"/>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poznámka</w:t>
            </w:r>
          </w:p>
        </w:tc>
      </w:tr>
      <w:tr>
        <w:tblPrEx>
          <w:tblW w:w="5000" w:type="pct"/>
          <w:tblLayout w:type="fixed"/>
          <w:tblCellMar>
            <w:left w:w="70" w:type="dxa"/>
            <w:right w:w="70" w:type="dxa"/>
          </w:tblCellMar>
          <w:tblLook w:val="04A0"/>
        </w:tblPrEx>
        <w:trPr>
          <w:trHeight w:val="330"/>
        </w:trPr>
        <w:tc>
          <w:tcPr>
            <w:tcW w:w="1412" w:type="pct"/>
            <w:vMerge/>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p>
        </w:tc>
        <w:tc>
          <w:tcPr>
            <w:tcW w:w="548"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2014</w:t>
            </w:r>
          </w:p>
        </w:tc>
        <w:tc>
          <w:tcPr>
            <w:tcW w:w="771"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2015</w:t>
            </w:r>
          </w:p>
        </w:tc>
        <w:tc>
          <w:tcPr>
            <w:tcW w:w="769"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2016</w:t>
            </w:r>
          </w:p>
        </w:tc>
        <w:tc>
          <w:tcPr>
            <w:tcW w:w="770"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2017</w:t>
            </w:r>
          </w:p>
        </w:tc>
        <w:tc>
          <w:tcPr>
            <w:tcW w:w="730" w:type="pct"/>
            <w:vMerge/>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FFFFFF"/>
                <w:sz w:val="24"/>
                <w:szCs w:val="24"/>
                <w:lang w:val="sk-SK"/>
              </w:rPr>
            </w:pP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Daňové príjmy (100)</w:t>
            </w:r>
            <w:r w:rsidRPr="00E65DF5">
              <w:rPr>
                <w:rFonts w:ascii="Times New Roman" w:hAnsi="Times New Roman"/>
                <w:b/>
                <w:bCs/>
                <w:color w:val="000000"/>
                <w:sz w:val="24"/>
                <w:szCs w:val="24"/>
                <w:vertAlign w:val="superscript"/>
                <w:lang w:val="sk-SK"/>
              </w:rPr>
              <w:t xml:space="preserve">1 </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-19 934 000</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-19 905 000</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-19 887 000</w:t>
            </w:r>
          </w:p>
        </w:tc>
        <w:tc>
          <w:tcPr>
            <w:tcW w:w="730" w:type="pct"/>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z toho  - na</w:t>
            </w:r>
            <w:r w:rsidRPr="00E65DF5">
              <w:rPr>
                <w:rFonts w:ascii="Times New Roman" w:hAnsi="Times New Roman"/>
                <w:b/>
                <w:bCs/>
                <w:color w:val="000000"/>
                <w:sz w:val="24"/>
                <w:szCs w:val="24"/>
                <w:vertAlign w:val="superscript"/>
                <w:lang w:val="sk-SK"/>
              </w:rPr>
              <w:t xml:space="preserve"> </w:t>
            </w:r>
            <w:r w:rsidRPr="00E65DF5">
              <w:rPr>
                <w:rFonts w:ascii="Times New Roman" w:hAnsi="Times New Roman"/>
                <w:b/>
                <w:bCs/>
                <w:color w:val="000000"/>
                <w:sz w:val="24"/>
                <w:szCs w:val="24"/>
                <w:lang w:val="sk-SK"/>
              </w:rPr>
              <w:t>ŠR</w:t>
            </w:r>
          </w:p>
        </w:tc>
        <w:tc>
          <w:tcPr>
            <w:tcW w:w="548"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771"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-20 554 000</w:t>
            </w:r>
          </w:p>
        </w:tc>
        <w:tc>
          <w:tcPr>
            <w:tcW w:w="769"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-25 921 000</w:t>
            </w:r>
          </w:p>
        </w:tc>
        <w:tc>
          <w:tcPr>
            <w:tcW w:w="770"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-32 925 000</w:t>
            </w:r>
          </w:p>
        </w:tc>
        <w:tc>
          <w:tcPr>
            <w:tcW w:w="730" w:type="pct"/>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094059">
            <w:pPr>
              <w:bidi w:val="0"/>
              <w:ind w:firstLine="480" w:firstLineChars="20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xml:space="preserve">      -  VÚC</w:t>
            </w:r>
          </w:p>
        </w:tc>
        <w:tc>
          <w:tcPr>
            <w:tcW w:w="548"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771"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620 000</w:t>
            </w:r>
          </w:p>
        </w:tc>
        <w:tc>
          <w:tcPr>
            <w:tcW w:w="769"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6 016 000</w:t>
            </w:r>
          </w:p>
        </w:tc>
        <w:tc>
          <w:tcPr>
            <w:tcW w:w="770"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13 038 000</w:t>
            </w:r>
          </w:p>
        </w:tc>
        <w:tc>
          <w:tcPr>
            <w:tcW w:w="730" w:type="pct"/>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Nedaňové príjmy (200)</w:t>
            </w:r>
            <w:r w:rsidRPr="00E65DF5">
              <w:rPr>
                <w:rFonts w:ascii="Times New Roman" w:hAnsi="Times New Roman"/>
                <w:b/>
                <w:bCs/>
                <w:color w:val="000000"/>
                <w:sz w:val="24"/>
                <w:szCs w:val="24"/>
                <w:vertAlign w:val="superscript"/>
                <w:lang w:val="sk-SK"/>
              </w:rPr>
              <w:t xml:space="preserve">1 </w:t>
            </w:r>
            <w:r w:rsidRPr="00E65DF5">
              <w:rPr>
                <w:rFonts w:ascii="Times New Roman" w:hAnsi="Times New Roman"/>
                <w:color w:val="000000"/>
                <w:sz w:val="24"/>
                <w:szCs w:val="24"/>
                <w:lang w:val="sk-SK"/>
              </w:rPr>
              <w:t xml:space="preserve"> </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i/>
                <w:iCs/>
                <w:color w:val="000000"/>
                <w:sz w:val="24"/>
                <w:szCs w:val="24"/>
                <w:lang w:val="sk-SK"/>
              </w:rPr>
            </w:pPr>
            <w:r w:rsidRPr="00E65DF5">
              <w:rPr>
                <w:rFonts w:ascii="Times New Roman" w:hAnsi="Times New Roman"/>
                <w:i/>
                <w:iCs/>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i/>
                <w:iCs/>
                <w:color w:val="000000"/>
                <w:sz w:val="24"/>
                <w:szCs w:val="24"/>
                <w:lang w:val="sk-SK"/>
              </w:rPr>
            </w:pPr>
            <w:r w:rsidRPr="00E65DF5">
              <w:rPr>
                <w:rFonts w:ascii="Times New Roman" w:hAnsi="Times New Roman"/>
                <w:i/>
                <w:iCs/>
                <w:color w:val="000000"/>
                <w:sz w:val="24"/>
                <w:szCs w:val="24"/>
                <w:lang w:val="sk-SK"/>
              </w:rPr>
              <w:t> </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i/>
                <w:iCs/>
                <w:color w:val="000000"/>
                <w:sz w:val="24"/>
                <w:szCs w:val="24"/>
                <w:lang w:val="sk-SK"/>
              </w:rPr>
            </w:pPr>
            <w:r w:rsidRPr="00E65DF5">
              <w:rPr>
                <w:rFonts w:ascii="Times New Roman" w:hAnsi="Times New Roman"/>
                <w:i/>
                <w:iCs/>
                <w:color w:val="000000"/>
                <w:sz w:val="24"/>
                <w:szCs w:val="24"/>
                <w:lang w:val="sk-SK"/>
              </w:rPr>
              <w:t> </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i/>
                <w:iCs/>
                <w:color w:val="000000"/>
                <w:sz w:val="24"/>
                <w:szCs w:val="24"/>
                <w:lang w:val="sk-SK"/>
              </w:rPr>
            </w:pPr>
            <w:r w:rsidRPr="00E65DF5">
              <w:rPr>
                <w:rFonts w:ascii="Times New Roman" w:hAnsi="Times New Roman"/>
                <w:i/>
                <w:iCs/>
                <w:color w:val="000000"/>
                <w:sz w:val="24"/>
                <w:szCs w:val="24"/>
                <w:lang w:val="sk-SK"/>
              </w:rPr>
              <w:t> </w:t>
            </w:r>
          </w:p>
        </w:tc>
        <w:tc>
          <w:tcPr>
            <w:tcW w:w="730" w:type="pct"/>
            <w:tcBorders>
              <w:top w:val="nil"/>
              <w:left w:val="nil"/>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Granty a transfery (300)</w:t>
            </w:r>
            <w:r w:rsidRPr="00E65DF5">
              <w:rPr>
                <w:rFonts w:ascii="Times New Roman" w:hAnsi="Times New Roman"/>
                <w:b/>
                <w:bCs/>
                <w:color w:val="000000"/>
                <w:sz w:val="24"/>
                <w:szCs w:val="24"/>
                <w:vertAlign w:val="superscript"/>
                <w:lang w:val="sk-SK"/>
              </w:rPr>
              <w:t>1</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30" w:type="pct"/>
            <w:tcBorders>
              <w:top w:val="nil"/>
              <w:left w:val="nil"/>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Daňové príjmy (100)</w:t>
            </w:r>
            <w:r w:rsidRPr="00E65DF5">
              <w:rPr>
                <w:rFonts w:ascii="Times New Roman" w:hAnsi="Times New Roman"/>
                <w:b/>
                <w:bCs/>
                <w:color w:val="000000"/>
                <w:sz w:val="24"/>
                <w:szCs w:val="24"/>
                <w:vertAlign w:val="superscript"/>
                <w:lang w:val="sk-SK"/>
              </w:rPr>
              <w:t>1</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30" w:type="pct"/>
            <w:tcBorders>
              <w:top w:val="nil"/>
              <w:left w:val="nil"/>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913"/>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Prijaté úvery, pôžičky a </w:t>
            </w:r>
            <w:r w:rsidRPr="00E65DF5" w:rsidR="00E13160">
              <w:rPr>
                <w:rFonts w:ascii="Times New Roman" w:hAnsi="Times New Roman"/>
                <w:b/>
                <w:bCs/>
                <w:color w:val="000000"/>
                <w:sz w:val="24"/>
                <w:szCs w:val="24"/>
                <w:lang w:val="sk-SK"/>
              </w:rPr>
              <w:t>návratné finančné výpomoci (500)</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30" w:type="pct"/>
            <w:tcBorders>
              <w:top w:val="nil"/>
              <w:left w:val="nil"/>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589"/>
        </w:trPr>
        <w:tc>
          <w:tcPr>
            <w:tcW w:w="1412" w:type="pct"/>
            <w:tcBorders>
              <w:top w:val="nil"/>
              <w:left w:val="single" w:sz="8" w:space="0" w:color="000000"/>
              <w:bottom w:val="single" w:sz="8" w:space="0" w:color="000000"/>
              <w:right w:val="single" w:sz="8" w:space="0" w:color="000000"/>
            </w:tcBorders>
            <w:shd w:val="clear" w:color="000000" w:fill="000000"/>
            <w:textDirection w:val="lrTb"/>
            <w:vAlign w:val="center"/>
            <w:hideMark/>
          </w:tcPr>
          <w:p w:rsidR="00094059" w:rsidRPr="00E65DF5" w:rsidP="00816AE4">
            <w:pPr>
              <w:bidi w:val="0"/>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Dopad na príjmy verejnej správy celkom</w:t>
            </w:r>
          </w:p>
        </w:tc>
        <w:tc>
          <w:tcPr>
            <w:tcW w:w="548"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2F2F2"/>
                <w:sz w:val="24"/>
                <w:szCs w:val="24"/>
                <w:lang w:val="sk-SK"/>
              </w:rPr>
            </w:pPr>
            <w:r w:rsidRPr="00E65DF5">
              <w:rPr>
                <w:rFonts w:ascii="Times New Roman" w:hAnsi="Times New Roman"/>
                <w:b/>
                <w:bCs/>
                <w:color w:val="F2F2F2"/>
                <w:sz w:val="24"/>
                <w:szCs w:val="24"/>
                <w:lang w:val="sk-SK"/>
              </w:rPr>
              <w:t> </w:t>
            </w:r>
          </w:p>
        </w:tc>
        <w:tc>
          <w:tcPr>
            <w:tcW w:w="771"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2F2F2"/>
                <w:sz w:val="24"/>
                <w:szCs w:val="24"/>
                <w:lang w:val="sk-SK"/>
              </w:rPr>
            </w:pPr>
            <w:r w:rsidRPr="00E65DF5">
              <w:rPr>
                <w:rFonts w:ascii="Times New Roman" w:hAnsi="Times New Roman"/>
                <w:b/>
                <w:bCs/>
                <w:color w:val="F2F2F2"/>
                <w:sz w:val="24"/>
                <w:szCs w:val="24"/>
                <w:lang w:val="sk-SK"/>
              </w:rPr>
              <w:t>-19 934 000</w:t>
            </w:r>
          </w:p>
        </w:tc>
        <w:tc>
          <w:tcPr>
            <w:tcW w:w="769"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2F2F2"/>
                <w:sz w:val="24"/>
                <w:szCs w:val="24"/>
                <w:lang w:val="sk-SK"/>
              </w:rPr>
            </w:pPr>
            <w:r w:rsidRPr="00E65DF5">
              <w:rPr>
                <w:rFonts w:ascii="Times New Roman" w:hAnsi="Times New Roman"/>
                <w:b/>
                <w:bCs/>
                <w:color w:val="F2F2F2"/>
                <w:sz w:val="24"/>
                <w:szCs w:val="24"/>
                <w:lang w:val="sk-SK"/>
              </w:rPr>
              <w:t>-19 905 000</w:t>
            </w:r>
          </w:p>
        </w:tc>
        <w:tc>
          <w:tcPr>
            <w:tcW w:w="770"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2F2F2"/>
                <w:sz w:val="24"/>
                <w:szCs w:val="24"/>
                <w:lang w:val="sk-SK"/>
              </w:rPr>
            </w:pPr>
            <w:r w:rsidRPr="00E65DF5">
              <w:rPr>
                <w:rFonts w:ascii="Times New Roman" w:hAnsi="Times New Roman"/>
                <w:b/>
                <w:bCs/>
                <w:color w:val="F2F2F2"/>
                <w:sz w:val="24"/>
                <w:szCs w:val="24"/>
                <w:lang w:val="sk-SK"/>
              </w:rPr>
              <w:t>-19 887 000</w:t>
            </w:r>
          </w:p>
        </w:tc>
        <w:tc>
          <w:tcPr>
            <w:tcW w:w="730"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rPr>
                <w:rFonts w:ascii="Times New Roman" w:hAnsi="Times New Roman"/>
                <w:color w:val="FFFFFF"/>
                <w:sz w:val="24"/>
                <w:szCs w:val="24"/>
                <w:lang w:val="sk-SK"/>
              </w:rPr>
            </w:pPr>
            <w:r w:rsidRPr="00E65DF5">
              <w:rPr>
                <w:rFonts w:ascii="Times New Roman" w:hAnsi="Times New Roman"/>
                <w:color w:val="FFFFFF"/>
                <w:sz w:val="24"/>
                <w:szCs w:val="24"/>
                <w:lang w:val="sk-SK"/>
              </w:rPr>
              <w:t> </w:t>
            </w:r>
          </w:p>
        </w:tc>
      </w:tr>
    </w:tbl>
    <w:p w:rsidR="00E13160" w:rsidRPr="00E65DF5" w:rsidP="00094059">
      <w:pPr>
        <w:bidi w:val="0"/>
        <w:jc w:val="right"/>
        <w:rPr>
          <w:rFonts w:ascii="Times New Roman" w:hAnsi="Times New Roman"/>
          <w:sz w:val="24"/>
          <w:szCs w:val="24"/>
          <w:lang w:val="sk-SK"/>
        </w:rPr>
      </w:pPr>
    </w:p>
    <w:p w:rsidR="00E13160" w:rsidRPr="00E65DF5" w:rsidP="00E13160">
      <w:pPr>
        <w:bidi w:val="0"/>
        <w:spacing w:after="0" w:line="240" w:lineRule="auto"/>
        <w:jc w:val="right"/>
        <w:rPr>
          <w:rFonts w:ascii="Times New Roman" w:hAnsi="Times New Roman"/>
          <w:sz w:val="24"/>
          <w:szCs w:val="24"/>
          <w:lang w:val="sk-SK"/>
        </w:rPr>
      </w:pPr>
    </w:p>
    <w:p w:rsidR="00094059" w:rsidRPr="00E65DF5" w:rsidP="00E13160">
      <w:pPr>
        <w:bidi w:val="0"/>
        <w:spacing w:after="0" w:line="240" w:lineRule="auto"/>
        <w:jc w:val="right"/>
        <w:rPr>
          <w:rFonts w:ascii="Times New Roman" w:hAnsi="Times New Roman"/>
          <w:b/>
          <w:sz w:val="24"/>
          <w:szCs w:val="24"/>
          <w:lang w:val="sk-SK"/>
        </w:rPr>
      </w:pPr>
      <w:r w:rsidRPr="00E65DF5">
        <w:rPr>
          <w:rFonts w:ascii="Times New Roman" w:hAnsi="Times New Roman"/>
          <w:sz w:val="24"/>
          <w:szCs w:val="24"/>
          <w:lang w:val="sk-SK"/>
        </w:rPr>
        <w:t>Tabuľka č. 6</w:t>
      </w:r>
    </w:p>
    <w:tbl>
      <w:tblPr>
        <w:tblStyle w:val="TableNormal"/>
        <w:tblW w:w="5000" w:type="pct"/>
        <w:tblLayout w:type="fixed"/>
        <w:tblCellMar>
          <w:left w:w="70" w:type="dxa"/>
          <w:right w:w="70" w:type="dxa"/>
        </w:tblCellMar>
        <w:tblLook w:val="04A0"/>
      </w:tblPr>
      <w:tblGrid>
        <w:gridCol w:w="2996"/>
        <w:gridCol w:w="1163"/>
        <w:gridCol w:w="1635"/>
        <w:gridCol w:w="1631"/>
        <w:gridCol w:w="1633"/>
        <w:gridCol w:w="1548"/>
      </w:tblGrid>
      <w:tr>
        <w:tblPrEx>
          <w:tblW w:w="5000" w:type="pct"/>
          <w:tblLayout w:type="fixed"/>
          <w:tblCellMar>
            <w:left w:w="70" w:type="dxa"/>
            <w:right w:w="70" w:type="dxa"/>
          </w:tblCellMar>
          <w:tblLook w:val="04A0"/>
        </w:tblPrEx>
        <w:trPr>
          <w:trHeight w:val="330"/>
        </w:trPr>
        <w:tc>
          <w:tcPr>
            <w:tcW w:w="1412" w:type="pct"/>
            <w:vMerge w:val="restart"/>
            <w:tcBorders>
              <w:top w:val="single" w:sz="8" w:space="0" w:color="000000"/>
              <w:left w:val="single" w:sz="8" w:space="0" w:color="000000"/>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r w:rsidRPr="00E65DF5">
              <w:rPr>
                <w:rFonts w:ascii="Times New Roman" w:hAnsi="Times New Roman"/>
                <w:b/>
                <w:bCs/>
                <w:color w:val="FFFFFF"/>
                <w:sz w:val="24"/>
                <w:szCs w:val="24"/>
                <w:lang w:val="sk-SK"/>
              </w:rPr>
              <w:t>Príjmy (v eurách)</w:t>
            </w:r>
          </w:p>
        </w:tc>
        <w:tc>
          <w:tcPr>
            <w:tcW w:w="2858" w:type="pct"/>
            <w:gridSpan w:val="4"/>
            <w:tcBorders>
              <w:top w:val="single" w:sz="8" w:space="0" w:color="000000"/>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Vplyv na rozpočet verejnej správy (ESA 95)</w:t>
            </w:r>
          </w:p>
        </w:tc>
        <w:tc>
          <w:tcPr>
            <w:tcW w:w="730" w:type="pct"/>
            <w:vMerge w:val="restart"/>
            <w:tcBorders>
              <w:top w:val="single" w:sz="8" w:space="0" w:color="000000"/>
              <w:left w:val="single" w:sz="8" w:space="0" w:color="000000"/>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poznámka</w:t>
            </w:r>
          </w:p>
        </w:tc>
      </w:tr>
      <w:tr>
        <w:tblPrEx>
          <w:tblW w:w="5000" w:type="pct"/>
          <w:tblLayout w:type="fixed"/>
          <w:tblCellMar>
            <w:left w:w="70" w:type="dxa"/>
            <w:right w:w="70" w:type="dxa"/>
          </w:tblCellMar>
          <w:tblLook w:val="04A0"/>
        </w:tblPrEx>
        <w:trPr>
          <w:trHeight w:val="330"/>
        </w:trPr>
        <w:tc>
          <w:tcPr>
            <w:tcW w:w="1412" w:type="pct"/>
            <w:vMerge/>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p>
        </w:tc>
        <w:tc>
          <w:tcPr>
            <w:tcW w:w="548"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2014</w:t>
            </w:r>
          </w:p>
        </w:tc>
        <w:tc>
          <w:tcPr>
            <w:tcW w:w="771"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2015</w:t>
            </w:r>
          </w:p>
        </w:tc>
        <w:tc>
          <w:tcPr>
            <w:tcW w:w="769"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2016</w:t>
            </w:r>
          </w:p>
        </w:tc>
        <w:tc>
          <w:tcPr>
            <w:tcW w:w="770"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2017</w:t>
            </w:r>
          </w:p>
        </w:tc>
        <w:tc>
          <w:tcPr>
            <w:tcW w:w="730" w:type="pct"/>
            <w:vMerge/>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FFFFFF"/>
                <w:sz w:val="24"/>
                <w:szCs w:val="24"/>
                <w:lang w:val="sk-SK"/>
              </w:rPr>
            </w:pP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Daňové príjmy (100)</w:t>
            </w:r>
            <w:r w:rsidRPr="00E65DF5">
              <w:rPr>
                <w:rFonts w:ascii="Times New Roman" w:hAnsi="Times New Roman"/>
                <w:b/>
                <w:bCs/>
                <w:color w:val="000000"/>
                <w:sz w:val="24"/>
                <w:szCs w:val="24"/>
                <w:vertAlign w:val="superscript"/>
                <w:lang w:val="sk-SK"/>
              </w:rPr>
              <w:t xml:space="preserve">1 </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-20 110 000</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-20 089 723</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-20 071 358</w:t>
            </w:r>
          </w:p>
        </w:tc>
        <w:tc>
          <w:tcPr>
            <w:tcW w:w="730"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z toho  - na</w:t>
            </w:r>
            <w:r w:rsidRPr="00E65DF5">
              <w:rPr>
                <w:rFonts w:ascii="Times New Roman" w:hAnsi="Times New Roman"/>
                <w:b/>
                <w:bCs/>
                <w:color w:val="000000"/>
                <w:sz w:val="24"/>
                <w:szCs w:val="24"/>
                <w:vertAlign w:val="superscript"/>
                <w:lang w:val="sk-SK"/>
              </w:rPr>
              <w:t xml:space="preserve"> </w:t>
            </w:r>
            <w:r w:rsidRPr="00E65DF5">
              <w:rPr>
                <w:rFonts w:ascii="Times New Roman" w:hAnsi="Times New Roman"/>
                <w:b/>
                <w:bCs/>
                <w:color w:val="000000"/>
                <w:sz w:val="24"/>
                <w:szCs w:val="24"/>
                <w:lang w:val="sk-SK"/>
              </w:rPr>
              <w:t>ŠR</w:t>
            </w:r>
          </w:p>
        </w:tc>
        <w:tc>
          <w:tcPr>
            <w:tcW w:w="548"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771"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-19 405 000</w:t>
            </w:r>
          </w:p>
        </w:tc>
        <w:tc>
          <w:tcPr>
            <w:tcW w:w="769"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-24 679 723</w:t>
            </w:r>
          </w:p>
        </w:tc>
        <w:tc>
          <w:tcPr>
            <w:tcW w:w="770"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-31 643 358</w:t>
            </w:r>
          </w:p>
        </w:tc>
        <w:tc>
          <w:tcPr>
            <w:tcW w:w="730" w:type="pct"/>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3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094059">
            <w:pPr>
              <w:bidi w:val="0"/>
              <w:ind w:firstLine="480" w:firstLineChars="20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xml:space="preserve">      -  VÚC</w:t>
            </w:r>
          </w:p>
        </w:tc>
        <w:tc>
          <w:tcPr>
            <w:tcW w:w="548"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 </w:t>
            </w:r>
          </w:p>
        </w:tc>
        <w:tc>
          <w:tcPr>
            <w:tcW w:w="771"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-705 000</w:t>
            </w:r>
          </w:p>
        </w:tc>
        <w:tc>
          <w:tcPr>
            <w:tcW w:w="769"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4 590 000</w:t>
            </w:r>
          </w:p>
        </w:tc>
        <w:tc>
          <w:tcPr>
            <w:tcW w:w="770" w:type="pct"/>
            <w:tcBorders>
              <w:top w:val="single" w:sz="8" w:space="0" w:color="000000"/>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11 572 000</w:t>
            </w:r>
          </w:p>
        </w:tc>
        <w:tc>
          <w:tcPr>
            <w:tcW w:w="730" w:type="pct"/>
            <w:tcBorders>
              <w:top w:val="single" w:sz="8" w:space="0" w:color="000000"/>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Nedaňové príjmy (200)</w:t>
            </w:r>
            <w:r w:rsidRPr="00E65DF5">
              <w:rPr>
                <w:rFonts w:ascii="Times New Roman" w:hAnsi="Times New Roman"/>
                <w:b/>
                <w:bCs/>
                <w:color w:val="000000"/>
                <w:sz w:val="24"/>
                <w:szCs w:val="24"/>
                <w:vertAlign w:val="superscript"/>
                <w:lang w:val="sk-SK"/>
              </w:rPr>
              <w:t xml:space="preserve">1 </w:t>
            </w:r>
            <w:r w:rsidRPr="00E65DF5">
              <w:rPr>
                <w:rFonts w:ascii="Times New Roman" w:hAnsi="Times New Roman"/>
                <w:color w:val="000000"/>
                <w:sz w:val="24"/>
                <w:szCs w:val="24"/>
                <w:lang w:val="sk-SK"/>
              </w:rPr>
              <w:t xml:space="preserve"> </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i/>
                <w:iCs/>
                <w:color w:val="000000"/>
                <w:sz w:val="24"/>
                <w:szCs w:val="24"/>
                <w:lang w:val="sk-SK"/>
              </w:rPr>
            </w:pPr>
            <w:r w:rsidRPr="00E65DF5">
              <w:rPr>
                <w:rFonts w:ascii="Times New Roman" w:hAnsi="Times New Roman"/>
                <w:i/>
                <w:iCs/>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i/>
                <w:iCs/>
                <w:color w:val="000000"/>
                <w:sz w:val="24"/>
                <w:szCs w:val="24"/>
                <w:lang w:val="sk-SK"/>
              </w:rPr>
            </w:pPr>
            <w:r w:rsidRPr="00E65DF5">
              <w:rPr>
                <w:rFonts w:ascii="Times New Roman" w:hAnsi="Times New Roman"/>
                <w:i/>
                <w:iCs/>
                <w:color w:val="000000"/>
                <w:sz w:val="24"/>
                <w:szCs w:val="24"/>
                <w:lang w:val="sk-SK"/>
              </w:rPr>
              <w:t> </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i/>
                <w:iCs/>
                <w:color w:val="000000"/>
                <w:sz w:val="24"/>
                <w:szCs w:val="24"/>
                <w:lang w:val="sk-SK"/>
              </w:rPr>
            </w:pPr>
            <w:r w:rsidRPr="00E65DF5">
              <w:rPr>
                <w:rFonts w:ascii="Times New Roman" w:hAnsi="Times New Roman"/>
                <w:i/>
                <w:iCs/>
                <w:color w:val="000000"/>
                <w:sz w:val="24"/>
                <w:szCs w:val="24"/>
                <w:lang w:val="sk-SK"/>
              </w:rPr>
              <w:t> </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i/>
                <w:iCs/>
                <w:color w:val="000000"/>
                <w:sz w:val="24"/>
                <w:szCs w:val="24"/>
                <w:lang w:val="sk-SK"/>
              </w:rPr>
            </w:pPr>
            <w:r w:rsidRPr="00E65DF5">
              <w:rPr>
                <w:rFonts w:ascii="Times New Roman" w:hAnsi="Times New Roman"/>
                <w:i/>
                <w:iCs/>
                <w:color w:val="000000"/>
                <w:sz w:val="24"/>
                <w:szCs w:val="24"/>
                <w:lang w:val="sk-SK"/>
              </w:rPr>
              <w:t> </w:t>
            </w:r>
          </w:p>
        </w:tc>
        <w:tc>
          <w:tcPr>
            <w:tcW w:w="730" w:type="pct"/>
            <w:tcBorders>
              <w:top w:val="nil"/>
              <w:left w:val="nil"/>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Granty a transfery (300)</w:t>
            </w:r>
            <w:r w:rsidRPr="00E65DF5">
              <w:rPr>
                <w:rFonts w:ascii="Times New Roman" w:hAnsi="Times New Roman"/>
                <w:b/>
                <w:bCs/>
                <w:color w:val="000000"/>
                <w:sz w:val="24"/>
                <w:szCs w:val="24"/>
                <w:vertAlign w:val="superscript"/>
                <w:lang w:val="sk-SK"/>
              </w:rPr>
              <w:t>1</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30" w:type="pct"/>
            <w:tcBorders>
              <w:top w:val="nil"/>
              <w:left w:val="nil"/>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90"/>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Daňové príjmy (100)</w:t>
            </w:r>
            <w:r w:rsidRPr="00E65DF5">
              <w:rPr>
                <w:rFonts w:ascii="Times New Roman" w:hAnsi="Times New Roman"/>
                <w:b/>
                <w:bCs/>
                <w:color w:val="000000"/>
                <w:sz w:val="24"/>
                <w:szCs w:val="24"/>
                <w:vertAlign w:val="superscript"/>
                <w:lang w:val="sk-SK"/>
              </w:rPr>
              <w:t>1</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30" w:type="pct"/>
            <w:tcBorders>
              <w:top w:val="nil"/>
              <w:left w:val="nil"/>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645"/>
        </w:trPr>
        <w:tc>
          <w:tcPr>
            <w:tcW w:w="1412" w:type="pct"/>
            <w:tcBorders>
              <w:top w:val="nil"/>
              <w:left w:val="single" w:sz="8" w:space="0" w:color="000000"/>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b/>
                <w:bCs/>
                <w:color w:val="000000"/>
                <w:sz w:val="24"/>
                <w:szCs w:val="24"/>
                <w:lang w:val="sk-SK"/>
              </w:rPr>
            </w:pPr>
            <w:r w:rsidRPr="00E65DF5">
              <w:rPr>
                <w:rFonts w:ascii="Times New Roman" w:hAnsi="Times New Roman"/>
                <w:b/>
                <w:bCs/>
                <w:color w:val="000000"/>
                <w:sz w:val="24"/>
                <w:szCs w:val="24"/>
                <w:lang w:val="sk-SK"/>
              </w:rPr>
              <w:t>Prijaté úvery, pôžičky a návratné finančné výpomoci (500)</w:t>
            </w:r>
          </w:p>
        </w:tc>
        <w:tc>
          <w:tcPr>
            <w:tcW w:w="548"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1"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69"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70" w:type="pct"/>
            <w:tcBorders>
              <w:top w:val="nil"/>
              <w:left w:val="nil"/>
              <w:bottom w:val="single" w:sz="8" w:space="0" w:color="000000"/>
              <w:right w:val="single" w:sz="8" w:space="0" w:color="000000"/>
            </w:tcBorders>
            <w:textDirection w:val="lrTb"/>
            <w:vAlign w:val="center"/>
            <w:hideMark/>
          </w:tcPr>
          <w:p w:rsidR="00094059" w:rsidRPr="00E65DF5" w:rsidP="00816AE4">
            <w:pPr>
              <w:bidi w:val="0"/>
              <w:jc w:val="center"/>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c>
          <w:tcPr>
            <w:tcW w:w="730" w:type="pct"/>
            <w:tcBorders>
              <w:top w:val="nil"/>
              <w:left w:val="nil"/>
              <w:bottom w:val="single" w:sz="8" w:space="0" w:color="000000"/>
              <w:right w:val="single" w:sz="8" w:space="0" w:color="000000"/>
            </w:tcBorders>
            <w:textDirection w:val="lrTb"/>
            <w:vAlign w:val="center"/>
            <w:hideMark/>
          </w:tcPr>
          <w:p w:rsidR="00094059" w:rsidRPr="00E65DF5" w:rsidP="00816AE4">
            <w:pPr>
              <w:bidi w:val="0"/>
              <w:rPr>
                <w:rFonts w:ascii="Times New Roman" w:hAnsi="Times New Roman"/>
                <w:color w:val="000000"/>
                <w:sz w:val="24"/>
                <w:szCs w:val="24"/>
                <w:lang w:val="sk-SK"/>
              </w:rPr>
            </w:pPr>
            <w:r w:rsidRPr="00E65DF5">
              <w:rPr>
                <w:rFonts w:ascii="Times New Roman" w:hAnsi="Times New Roman"/>
                <w:color w:val="000000"/>
                <w:sz w:val="24"/>
                <w:szCs w:val="24"/>
                <w:lang w:val="sk-SK"/>
              </w:rPr>
              <w:t> </w:t>
            </w:r>
          </w:p>
        </w:tc>
      </w:tr>
      <w:tr>
        <w:tblPrEx>
          <w:tblW w:w="5000" w:type="pct"/>
          <w:tblLayout w:type="fixed"/>
          <w:tblCellMar>
            <w:left w:w="70" w:type="dxa"/>
            <w:right w:w="70" w:type="dxa"/>
          </w:tblCellMar>
          <w:tblLook w:val="04A0"/>
        </w:tblPrEx>
        <w:trPr>
          <w:trHeight w:val="330"/>
        </w:trPr>
        <w:tc>
          <w:tcPr>
            <w:tcW w:w="1412" w:type="pct"/>
            <w:tcBorders>
              <w:top w:val="nil"/>
              <w:left w:val="single" w:sz="8" w:space="0" w:color="000000"/>
              <w:bottom w:val="single" w:sz="8" w:space="0" w:color="000000"/>
              <w:right w:val="single" w:sz="8" w:space="0" w:color="000000"/>
            </w:tcBorders>
            <w:shd w:val="clear" w:color="000000" w:fill="000000"/>
            <w:textDirection w:val="lrTb"/>
            <w:vAlign w:val="center"/>
            <w:hideMark/>
          </w:tcPr>
          <w:p w:rsidR="00094059" w:rsidRPr="00E65DF5" w:rsidP="00816AE4">
            <w:pPr>
              <w:bidi w:val="0"/>
              <w:rPr>
                <w:rFonts w:ascii="Times New Roman" w:hAnsi="Times New Roman"/>
                <w:b/>
                <w:bCs/>
                <w:color w:val="FFFFFF"/>
                <w:sz w:val="24"/>
                <w:szCs w:val="24"/>
                <w:lang w:val="sk-SK"/>
              </w:rPr>
            </w:pPr>
            <w:r w:rsidRPr="00E65DF5">
              <w:rPr>
                <w:rFonts w:ascii="Times New Roman" w:hAnsi="Times New Roman"/>
                <w:b/>
                <w:bCs/>
                <w:color w:val="FFFFFF"/>
                <w:sz w:val="24"/>
                <w:szCs w:val="24"/>
                <w:lang w:val="sk-SK"/>
              </w:rPr>
              <w:t>Dopad na príjmy verejnej správy celkom</w:t>
            </w:r>
          </w:p>
        </w:tc>
        <w:tc>
          <w:tcPr>
            <w:tcW w:w="548"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2F2F2"/>
                <w:sz w:val="24"/>
                <w:szCs w:val="24"/>
                <w:lang w:val="sk-SK"/>
              </w:rPr>
            </w:pPr>
            <w:r w:rsidRPr="00E65DF5">
              <w:rPr>
                <w:rFonts w:ascii="Times New Roman" w:hAnsi="Times New Roman"/>
                <w:b/>
                <w:bCs/>
                <w:color w:val="F2F2F2"/>
                <w:sz w:val="24"/>
                <w:szCs w:val="24"/>
                <w:lang w:val="sk-SK"/>
              </w:rPr>
              <w:t> </w:t>
            </w:r>
          </w:p>
        </w:tc>
        <w:tc>
          <w:tcPr>
            <w:tcW w:w="771"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2F2F2"/>
                <w:sz w:val="24"/>
                <w:szCs w:val="24"/>
                <w:lang w:val="sk-SK"/>
              </w:rPr>
            </w:pPr>
            <w:r w:rsidRPr="00E65DF5">
              <w:rPr>
                <w:rFonts w:ascii="Times New Roman" w:hAnsi="Times New Roman"/>
                <w:b/>
                <w:bCs/>
                <w:color w:val="F2F2F2"/>
                <w:sz w:val="24"/>
                <w:szCs w:val="24"/>
                <w:lang w:val="sk-SK"/>
              </w:rPr>
              <w:t>-20 110 000</w:t>
            </w:r>
          </w:p>
        </w:tc>
        <w:tc>
          <w:tcPr>
            <w:tcW w:w="769"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2F2F2"/>
                <w:sz w:val="24"/>
                <w:szCs w:val="24"/>
                <w:lang w:val="sk-SK"/>
              </w:rPr>
            </w:pPr>
            <w:r w:rsidRPr="00E65DF5">
              <w:rPr>
                <w:rFonts w:ascii="Times New Roman" w:hAnsi="Times New Roman"/>
                <w:b/>
                <w:bCs/>
                <w:color w:val="F2F2F2"/>
                <w:sz w:val="24"/>
                <w:szCs w:val="24"/>
                <w:lang w:val="sk-SK"/>
              </w:rPr>
              <w:t>-20 089 723</w:t>
            </w:r>
          </w:p>
        </w:tc>
        <w:tc>
          <w:tcPr>
            <w:tcW w:w="770"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jc w:val="center"/>
              <w:rPr>
                <w:rFonts w:ascii="Times New Roman" w:hAnsi="Times New Roman"/>
                <w:b/>
                <w:bCs/>
                <w:color w:val="F2F2F2"/>
                <w:sz w:val="24"/>
                <w:szCs w:val="24"/>
                <w:lang w:val="sk-SK"/>
              </w:rPr>
            </w:pPr>
            <w:r w:rsidRPr="00E65DF5">
              <w:rPr>
                <w:rFonts w:ascii="Times New Roman" w:hAnsi="Times New Roman"/>
                <w:b/>
                <w:bCs/>
                <w:color w:val="F2F2F2"/>
                <w:sz w:val="24"/>
                <w:szCs w:val="24"/>
                <w:lang w:val="sk-SK"/>
              </w:rPr>
              <w:t>-20 071 358</w:t>
            </w:r>
          </w:p>
        </w:tc>
        <w:tc>
          <w:tcPr>
            <w:tcW w:w="730" w:type="pct"/>
            <w:tcBorders>
              <w:top w:val="nil"/>
              <w:left w:val="nil"/>
              <w:bottom w:val="single" w:sz="8" w:space="0" w:color="000000"/>
              <w:right w:val="single" w:sz="8" w:space="0" w:color="000000"/>
            </w:tcBorders>
            <w:shd w:val="clear" w:color="000000" w:fill="000000"/>
            <w:textDirection w:val="lrTb"/>
            <w:vAlign w:val="center"/>
            <w:hideMark/>
          </w:tcPr>
          <w:p w:rsidR="00094059" w:rsidRPr="00E65DF5" w:rsidP="00816AE4">
            <w:pPr>
              <w:bidi w:val="0"/>
              <w:rPr>
                <w:rFonts w:ascii="Times New Roman" w:hAnsi="Times New Roman"/>
                <w:color w:val="FFFFFF"/>
                <w:sz w:val="24"/>
                <w:szCs w:val="24"/>
                <w:lang w:val="sk-SK"/>
              </w:rPr>
            </w:pPr>
            <w:r w:rsidRPr="00E65DF5">
              <w:rPr>
                <w:rFonts w:ascii="Times New Roman" w:hAnsi="Times New Roman"/>
                <w:color w:val="FFFFFF"/>
                <w:sz w:val="24"/>
                <w:szCs w:val="24"/>
                <w:lang w:val="sk-SK"/>
              </w:rPr>
              <w:t> </w:t>
            </w:r>
          </w:p>
        </w:tc>
      </w:tr>
    </w:tbl>
    <w:p w:rsidR="00094059" w:rsidRPr="00E65DF5" w:rsidP="00094059">
      <w:pPr>
        <w:bidi w:val="0"/>
        <w:rPr>
          <w:rFonts w:ascii="Times New Roman" w:hAnsi="Times New Roman"/>
          <w:b/>
          <w:sz w:val="24"/>
          <w:szCs w:val="24"/>
          <w:lang w:val="sk-SK"/>
        </w:rPr>
      </w:pPr>
    </w:p>
    <w:p w:rsidR="00E65DF5" w:rsidRPr="00E65DF5" w:rsidP="00E13160">
      <w:pPr>
        <w:bidi w:val="0"/>
        <w:spacing w:after="0" w:line="240" w:lineRule="auto"/>
        <w:rPr>
          <w:rFonts w:ascii="Times New Roman" w:hAnsi="Times New Roman"/>
          <w:b/>
          <w:sz w:val="24"/>
          <w:szCs w:val="24"/>
          <w:lang w:val="sk-SK"/>
        </w:rPr>
      </w:pPr>
    </w:p>
    <w:p w:rsidR="00094059" w:rsidRPr="00E65DF5" w:rsidP="00E13160">
      <w:pPr>
        <w:bidi w:val="0"/>
        <w:spacing w:after="0" w:line="240" w:lineRule="auto"/>
        <w:rPr>
          <w:rFonts w:ascii="Times New Roman" w:hAnsi="Times New Roman"/>
          <w:b/>
          <w:sz w:val="24"/>
          <w:szCs w:val="24"/>
          <w:lang w:val="sk-SK"/>
        </w:rPr>
      </w:pPr>
      <w:r w:rsidRPr="00E65DF5">
        <w:rPr>
          <w:rFonts w:ascii="Times New Roman" w:hAnsi="Times New Roman"/>
          <w:b/>
          <w:sz w:val="24"/>
          <w:szCs w:val="24"/>
          <w:lang w:val="sk-SK"/>
        </w:rPr>
        <w:t>3. Vplyvy na podnikateľské prostredie:</w:t>
      </w:r>
    </w:p>
    <w:p w:rsidR="00094059" w:rsidRPr="00E65DF5" w:rsidP="0060639F">
      <w:pPr>
        <w:bidi w:val="0"/>
        <w:spacing w:after="0" w:line="240" w:lineRule="auto"/>
        <w:ind w:left="5664" w:firstLine="709"/>
        <w:jc w:val="center"/>
        <w:rPr>
          <w:rFonts w:ascii="Times New Roman" w:hAnsi="Times New Roman"/>
          <w:sz w:val="24"/>
          <w:szCs w:val="24"/>
          <w:lang w:val="sk-SK"/>
        </w:rPr>
      </w:pPr>
      <w:r w:rsidRPr="00E65DF5">
        <w:rPr>
          <w:rFonts w:ascii="Times New Roman" w:hAnsi="Times New Roman"/>
          <w:sz w:val="24"/>
          <w:szCs w:val="24"/>
          <w:lang w:val="sk-SK"/>
        </w:rPr>
        <w:t>Príloha č. 3</w:t>
      </w:r>
    </w:p>
    <w:p w:rsidR="00094059" w:rsidRPr="00E65DF5" w:rsidP="00E13160">
      <w:pPr>
        <w:bidi w:val="0"/>
        <w:spacing w:after="0" w:line="240" w:lineRule="auto"/>
        <w:jc w:val="right"/>
        <w:rPr>
          <w:rFonts w:ascii="Times New Roman" w:hAnsi="Times New Roman"/>
          <w:sz w:val="24"/>
          <w:szCs w:val="24"/>
          <w:lang w:val="sk-SK"/>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12" w:type="dxa"/>
            <w:gridSpan w:val="2"/>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094059" w:rsidRPr="00E65DF5" w:rsidP="00E13160">
            <w:pPr>
              <w:autoSpaceDE w:val="0"/>
              <w:autoSpaceDN w:val="0"/>
              <w:bidi w:val="0"/>
              <w:spacing w:after="0" w:line="240" w:lineRule="auto"/>
              <w:jc w:val="center"/>
              <w:rPr>
                <w:rFonts w:ascii="Times New Roman" w:hAnsi="Times New Roman"/>
                <w:sz w:val="24"/>
                <w:szCs w:val="24"/>
                <w:lang w:val="sk-SK"/>
              </w:rPr>
            </w:pPr>
          </w:p>
          <w:p w:rsidR="00094059" w:rsidRPr="00E65DF5" w:rsidP="00E13160">
            <w:pPr>
              <w:autoSpaceDE w:val="0"/>
              <w:autoSpaceDN w:val="0"/>
              <w:bidi w:val="0"/>
              <w:spacing w:after="0" w:line="240" w:lineRule="auto"/>
              <w:jc w:val="center"/>
              <w:rPr>
                <w:rFonts w:ascii="Times New Roman" w:hAnsi="Times New Roman"/>
                <w:sz w:val="24"/>
                <w:szCs w:val="24"/>
                <w:lang w:val="sk-SK"/>
              </w:rPr>
            </w:pPr>
            <w:r w:rsidRPr="00E65DF5">
              <w:rPr>
                <w:rFonts w:ascii="Times New Roman" w:hAnsi="Times New Roman"/>
                <w:sz w:val="24"/>
                <w:szCs w:val="24"/>
                <w:lang w:val="sk-SK"/>
              </w:rPr>
              <w:t>Vplyvy na podnikateľské prostredie</w:t>
            </w:r>
          </w:p>
          <w:p w:rsidR="00094059" w:rsidRPr="00E65DF5" w:rsidP="00E13160">
            <w:pPr>
              <w:autoSpaceDE w:val="0"/>
              <w:autoSpaceDN w:val="0"/>
              <w:bidi w:val="0"/>
              <w:spacing w:after="0" w:line="240" w:lineRule="auto"/>
              <w:jc w:val="center"/>
              <w:rPr>
                <w:rFonts w:ascii="Times New Roman" w:hAnsi="Times New Roman"/>
                <w:sz w:val="24"/>
                <w:szCs w:val="24"/>
                <w:lang w:val="sk-SK"/>
              </w:rPr>
            </w:pP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3.1. Ktoré podnikateľské subjekty budú predkladaným návrhom ovplyvnené a aký je ich počet?</w:t>
            </w:r>
          </w:p>
          <w:p w:rsidR="00094059" w:rsidRPr="00E65DF5" w:rsidP="00E65DF5">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Podnikateľské subjekty, ktoré využívajú motorové vozidlá na podnikanie. Dochádza k zavedeniu odstupňovaných percentuálnych zliav z ročných sadzieb daní po dobu 9 rokov. Používanie vozidiel starších ako 12 je zaťažené zvýšenou ročnou sadzbou dane. Zároveň sa zavádza zdaňovanie motorových vozidiel kategórie L určených na podnikateľské účely a možnosť zdanenia jazdnej súpravy nižšou sadzbou dane len pre jednu návesovú jazdnú súpravu iba raz.</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3.2. Aký je predpokladaný charakter a rozsah nákladov a prínosov?</w:t>
            </w:r>
          </w:p>
          <w:p w:rsidR="00094059" w:rsidRPr="00E65DF5" w:rsidP="00E65DF5">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Pozitívny dopad: na podnikateľov, ktorí používajú na podnikanie ekologické vozidlá, hybridné motorové alebo hybridné elektrické vozidlá, vozidlá s pohonom CNG, LNG vodík a vozidlá mladšie ako 9 rokov, a to vo forme 50 % zníženia sadzby dane pre hybridné motorové alebo hybridné elektrické vozidlá, vozidlá s pohonom CNG, LNG a vodík a zníženie 25% z ročnej sadzby dane počas prvých troch rokov od dátumu prvej evidencie vozidla, 20% pre vozidlá nad tri roky do šiestich rokov a 15% pre vozidlá od šesť do deväť rokov od prvej evidencie vozidla.</w:t>
            </w:r>
          </w:p>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 xml:space="preserve">Negatívny dopad: na podnikateľov, ktorí na podnikanie používajú staršie vozidlá. Zvýšenie ročnej sadzby dane o 10% pre vozidlá staršie ako 12 rokov a zvýšenie ročnej sadzby dane o 20% pre vozidlá nad 13 rokov od prvej evidencie vozidla. </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3.3. Aká je predpokladaná výška administratívnych nákladov, ktoré podniky vynaložia v súvislosti s implementáciou návrhu?</w:t>
            </w:r>
          </w:p>
          <w:p w:rsidR="00094059" w:rsidRPr="00E65DF5" w:rsidP="00E65DF5">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Nepredpokladá sa.</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3.4. Aké sú dôsledky pripravovaného návrhu pre fungovanie podnikateľských subjektov na slovenskom trhu (ako sa zmenia operácie na trhu?)</w:t>
            </w: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Neovplyvní fungovanie podnikateľských subjektov.</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3.5. Aké sú predpokladané spoločensko-ekonomické dôsledky pripravovaných regulácií?</w:t>
            </w:r>
          </w:p>
          <w:p w:rsidR="00094059" w:rsidRPr="00E65DF5" w:rsidP="00E65DF5">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094059" w:rsidRPr="00E65DF5" w:rsidP="00E65DF5">
            <w:pPr>
              <w:autoSpaceDE w:val="0"/>
              <w:autoSpaceDN w:val="0"/>
              <w:bidi w:val="0"/>
              <w:spacing w:after="0" w:line="240" w:lineRule="auto"/>
              <w:jc w:val="both"/>
              <w:rPr>
                <w:rFonts w:ascii="Times New Roman" w:hAnsi="Times New Roman"/>
                <w:sz w:val="24"/>
                <w:szCs w:val="24"/>
                <w:lang w:val="sk-SK"/>
              </w:rPr>
            </w:pPr>
            <w:r w:rsidRPr="00E65DF5">
              <w:rPr>
                <w:rFonts w:ascii="Times New Roman" w:hAnsi="Times New Roman"/>
                <w:sz w:val="24"/>
                <w:szCs w:val="24"/>
                <w:lang w:val="sk-SK"/>
              </w:rPr>
              <w:t xml:space="preserve"> Nie je možné presne určiť.</w:t>
            </w:r>
          </w:p>
        </w:tc>
      </w:tr>
    </w:tbl>
    <w:p w:rsidR="00094059" w:rsidRPr="00094059" w:rsidP="00094059">
      <w:pPr>
        <w:autoSpaceDE w:val="0"/>
        <w:autoSpaceDN w:val="0"/>
        <w:bidi w:val="0"/>
        <w:jc w:val="both"/>
        <w:rPr>
          <w:rFonts w:ascii="Times New Roman" w:hAnsi="Times New Roman"/>
          <w:sz w:val="24"/>
          <w:szCs w:val="24"/>
        </w:rPr>
      </w:pPr>
    </w:p>
    <w:p w:rsidR="00CF0A3A" w:rsidRPr="00CF0A3A" w:rsidP="00010C9D">
      <w:pPr>
        <w:bidi w:val="0"/>
        <w:spacing w:after="0" w:line="240" w:lineRule="auto"/>
        <w:jc w:val="both"/>
        <w:rPr>
          <w:rFonts w:ascii="Times New Roman" w:hAnsi="Times New Roman"/>
          <w:sz w:val="24"/>
          <w:szCs w:val="24"/>
          <w:lang w:val="sk-SK"/>
        </w:rPr>
      </w:pPr>
    </w:p>
    <w:p w:rsidR="00CF0A3A" w:rsidRPr="009C2F33" w:rsidP="00CF0A3A">
      <w:pPr>
        <w:bidi w:val="0"/>
        <w:spacing w:after="0" w:line="240" w:lineRule="auto"/>
        <w:rPr>
          <w:rFonts w:ascii="Times New Roman" w:hAnsi="Times New Roman"/>
          <w:sz w:val="24"/>
          <w:szCs w:val="24"/>
          <w:lang w:val="sk-SK"/>
        </w:rPr>
      </w:pPr>
      <w:r w:rsidRPr="009C2F33">
        <w:rPr>
          <w:rFonts w:ascii="Times New Roman" w:hAnsi="Times New Roman"/>
          <w:sz w:val="24"/>
          <w:szCs w:val="24"/>
          <w:lang w:val="sk-SK"/>
        </w:rPr>
        <w:t>II. Osobitná časť</w:t>
      </w:r>
    </w:p>
    <w:p w:rsidR="00CF0A3A" w:rsidP="00CF0A3A">
      <w:pPr>
        <w:bidi w:val="0"/>
        <w:spacing w:after="0" w:line="240" w:lineRule="auto"/>
        <w:rPr>
          <w:rFonts w:ascii="Times New Roman" w:hAnsi="Times New Roman"/>
          <w:sz w:val="24"/>
          <w:szCs w:val="24"/>
          <w:lang w:val="sk-SK"/>
        </w:rPr>
      </w:pPr>
    </w:p>
    <w:p w:rsidR="00010C9D" w:rsidRPr="009C2F33" w:rsidP="00CF0A3A">
      <w:pPr>
        <w:bidi w:val="0"/>
        <w:spacing w:after="0" w:line="240" w:lineRule="auto"/>
        <w:rPr>
          <w:rFonts w:ascii="Times New Roman" w:hAnsi="Times New Roman"/>
          <w:sz w:val="24"/>
          <w:szCs w:val="24"/>
          <w:lang w:val="sk-SK"/>
        </w:rPr>
      </w:pPr>
    </w:p>
    <w:p w:rsidR="00CF0A3A" w:rsidRPr="009C2F33" w:rsidP="00CF0A3A">
      <w:pPr>
        <w:bidi w:val="0"/>
        <w:spacing w:after="0" w:line="240" w:lineRule="auto"/>
        <w:rPr>
          <w:rFonts w:ascii="Times New Roman" w:hAnsi="Times New Roman"/>
          <w:sz w:val="24"/>
          <w:szCs w:val="24"/>
          <w:lang w:val="sk-SK"/>
        </w:rPr>
      </w:pPr>
      <w:r w:rsidRPr="009C2F33">
        <w:rPr>
          <w:rFonts w:ascii="Times New Roman" w:hAnsi="Times New Roman"/>
          <w:sz w:val="24"/>
          <w:szCs w:val="24"/>
          <w:lang w:val="sk-SK"/>
        </w:rPr>
        <w:t>Čl. I</w:t>
      </w:r>
    </w:p>
    <w:p w:rsidR="00CF0A3A" w:rsidRPr="0060639F" w:rsidP="00CF0A3A">
      <w:pPr>
        <w:bidi w:val="0"/>
        <w:spacing w:after="0" w:line="240" w:lineRule="auto"/>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K § 1</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Vymedzuje sa predmet úpravy zákona. Podľa predloženého návrhu zákona budú zdaňované kategórie vozidiel L (motorové vozidlá s menej ako štyrmi kolesami a štvorkolky), kategórie vozidiel M (vozidlá určené na prepravu osôb), kategórie vozidiel N (vozidlá určené na dopravu nákladov) a kategórie vozidiel O (prípojné vozidlá).</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K § 2</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 xml:space="preserve">Vymedzuje sa predmet dane, ktorým je vozidlo evidované v Slovenskej republike a používané na podnikanie, ktorého definíciu upravuje Obchodný zákonník ako sústavnú činnosť vykonávanú samostatne podnikateľom vo vlastnom mene a na vlastnú zodpovednosť za účelom dosiahnutia zisku alebo na inú samostatne zárobkovú činnosť v zdaňovacom období. </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 xml:space="preserve">Súčasne sa negatívne vymedzuje predmet dane, ktorým je vozidlo používané na skúšobné účely a má pridelené zvláštne evidenčné číslo a špeciálne vozidlo, ktoré je určené na vykonávanie špeciálnych činností. </w:t>
      </w:r>
    </w:p>
    <w:p w:rsidR="0060639F" w:rsidRPr="0060639F"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 xml:space="preserve">K § 3    </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Upravuje sa definícia daňovníka, ktorým je v zásade okrem držiteľa zapísaného v osvedčení o evidencii časť I a osvedčení o evidencii časť II aj užívateľ vozidla a aj zamestnávateľ. Nový zákon už nerozlišuje tuzemského a zahraničného daňovníka. Organizačná zložka sa už podľa navrhovaného znenia nepovažuje za samostatného daňovníka.</w:t>
      </w:r>
    </w:p>
    <w:p w:rsidR="0060639F" w:rsidRPr="0060639F"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 xml:space="preserve">K § 4    </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V navrhovanom ustanovení sú taxatívne vymedzené tie vozidlá, ktoré sú oslobodené od dane, pričom toto oslobodenie daňovník uplatňuje v  daňovom priznaní, okrem oslobodenia vzťahujúceho sa na vozidlá diplomatických misií a konzulárnych úradov.</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 xml:space="preserve">K § 5    </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Predmetným ustanovením sa vymedzuje základ dane samostatne pre vozidlo, ktorého jediným zdrojom energie je elektrina (elektromobil) a to v závislosti od výkonu motora v kW, a zároveň sa zavádza základ dane pre osobné vozidlo na základe zdvihového objemu valcov motora v cm</w:t>
      </w:r>
      <w:r w:rsidRPr="0060639F">
        <w:rPr>
          <w:rFonts w:ascii="Times New Roman" w:hAnsi="Times New Roman"/>
          <w:sz w:val="24"/>
          <w:szCs w:val="24"/>
          <w:vertAlign w:val="superscript"/>
          <w:lang w:val="sk-SK"/>
        </w:rPr>
        <w:t xml:space="preserve">3 </w:t>
      </w:r>
      <w:r w:rsidRPr="0060639F">
        <w:rPr>
          <w:rFonts w:ascii="Times New Roman" w:hAnsi="Times New Roman"/>
          <w:sz w:val="24"/>
          <w:szCs w:val="24"/>
          <w:lang w:val="sk-SK"/>
        </w:rPr>
        <w:t>a pre úžitkové vozidlo a autobus podľa počtu náprav a hmotnosti vozidla. Na účely dane z motorových vozidiel sa súčasne zavádza pojem osobné vozidlo a úžitkové vozidlo a definuje sa  celková hmotnosť jazdných súprav.</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 xml:space="preserve">K § 6    </w:t>
      </w: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ab/>
        <w:t>Podľa navrhovaného ustanovenia sa ročné sadzby dane upravujú v prílohe č. 1 jednotne pre celé územie Slovenskej republiky. Spresňuje sa spôsob zníženia sadzby pre vozidlo používané v rámci návesovej jazdnej súpravy.</w:t>
      </w:r>
    </w:p>
    <w:p w:rsidR="0060639F" w:rsidRPr="0060639F"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 xml:space="preserve">K § 7    </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 xml:space="preserve">Určuje sa zníženie ročných sadzieb dane odstupňované v závislosti od mesiaca prvej evidencie vozidla (vrátane tohto mesiaca), ktorý zohľadňuje ekologické kritériá, najviac po dobu 108 kalendárnych mesiacov. Po uplynutí tejto doby sa navrhuje vozidlá zdaniť „základnou“ ročnou sadzbou uvedenou v prílohe zákona najviac po dobu 36 kalendárnych mesiacov. Po uplynutí celkovej doby 144 kalendárnych mesiacov počnúc mesiacom prvej evidencie vozidla sa navrhuje zvýšiť ročné sadzby dane uvedené v prílohe tohto zákona o 10 % po dobu 12 kalendárnych mesiacov a o 20 % pre vozidlá staršie ako 156 kalendárnych mesiacov. V prípade hybridných motorových vozidiel alebo hybridných elektrických vozidiel, motorových vozidiel s pohonom na stlačený zemný plyn (CNG) alebo skvapalnený zemný plyn (LNG) alebo na vodíkový pohon sa navrhuje znížiť ročnú sadzbu dane alebo upravenú ročnú sadzbu dane o 50 %. Ustanovuje sa aj daňové zvýhodnenie pre vozidlá používané v rámci kombinovanej dopravy. </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 xml:space="preserve">K § 8    </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 xml:space="preserve">V navrhovanom ustanovení sa definuje kombinovaná doprava a precizuje sa povinnosť daňovníka preukázať na účely zníženia ročnej sadzby dane použitie vozidla v rámci kombinovanej dopravy. </w:t>
      </w:r>
    </w:p>
    <w:p w:rsidR="0060639F" w:rsidRPr="0060639F"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 xml:space="preserve">K § 9    </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Navrhuje sa upraviť vznik daňovej povinnosti na prvý deň mesiaca, v ktorom sa vozidlo stalo predmetom dane okrem použitia vozidla právnym nástupcom daňovníka, ktorý bol zrušený bez likvidácie ako aj v prípade zmeny daňovníka k jednému predmetu dane v priebehu jedného kalendárneho mesiaca. Zánik daňovej povinnosti sa navrhuje viazať k poslednému dňu mesiaca, v ktorom došlo k vyradeniu alebo dočasnému vyradeniu vozidla z evidencie vozidiel, ukončeniu alebo prerušeniu podnikania, zániku daňovníka bez likvidácie, zmene držiteľa vozidla alebo ukončeniu použitia vozidla, v dokladoch ktorého je ako držiteľ zapísaná osoba, ktorá zomrela, zanikla, bola zrušená alebo nepoužíva vozidlo na podnikanie. V súvislosti s precizovaním vzniku a zániku daňovej povinnosti sa osobitne uvádza posúdenie vzniku a zániku daňovej povinnosti v prípade zmeny daňovníka pri tom istom vozidle počas zdaňovacieho obdobia. Pôvodnému daňovníkovi zanikne daňová povinnosť posledným dňom mesiaca, v ktorom došlo k zmene  daňovníka a novému daňovníkovi daňová povinnosť vzniká prvým dňom mesiaca nasledujúceho po mesiaci, v ktorom k uvedenej zmene došlo, čím sa zamedzí duplicitnému zdaneniu toho istého vozidla v jednom mesiaci. Zavádza sa oznamovacia povinnosť daňovníka v súvislosti s oznámením skutočnosti, že sa vozidlo nestalo v zdaňovacom období predmetom dane a ani o tomto vozidle nebolo účtované. Lehota na oznámenie tejto skutočnosti je do 31. januára po uplynutí zdaňovacieho obdobia.</w:t>
      </w: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ab/>
      </w: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K § 10</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 xml:space="preserve">V navrhovanom ustanovení sa ustanovuje zdaňovacie obdobie, ktorým je kalendárny rok s výnimkou u tých daňovníkov, ktorí sa zrušujú bez likvidácie, s likvidáciou, vstúpili do konkurzu, ukončili podnikanie resp. zomreli. Ustanovuje sa povinnosť podať daňové priznanie do konca januára po uplynutí zdaňovacieho obdobia správcovi dane. Miestna príslušnosť správcu dane sa riadi zákonom č. 563/2009 Z. z. o správe daní (daňový poriadok) a o zmene a doplnení niektorých zákonov v znení neskorších predpisov, t. j. pre fyzickú osobu podľa jej trvalého pobytu a pre právnickú osobu podľa jej sídla. Ustanovuje sa povinnosť vyplniť v daňovom priznaní aj identifikačné údaje daňovníka. </w:t>
      </w:r>
    </w:p>
    <w:p w:rsidR="0060639F" w:rsidRPr="0060639F" w:rsidP="00756DA8">
      <w:pPr>
        <w:bidi w:val="0"/>
        <w:spacing w:after="0" w:line="240" w:lineRule="auto"/>
        <w:rPr>
          <w:rFonts w:ascii="Times New Roman" w:hAnsi="Times New Roman"/>
          <w:sz w:val="24"/>
          <w:szCs w:val="24"/>
          <w:lang w:val="sk-SK"/>
        </w:rPr>
      </w:pPr>
    </w:p>
    <w:p w:rsidR="0060639F" w:rsidRPr="0060639F" w:rsidP="00756DA8">
      <w:pPr>
        <w:bidi w:val="0"/>
        <w:spacing w:after="0" w:line="240" w:lineRule="auto"/>
        <w:rPr>
          <w:rFonts w:ascii="Times New Roman" w:hAnsi="Times New Roman"/>
          <w:sz w:val="24"/>
          <w:szCs w:val="24"/>
          <w:lang w:val="sk-SK"/>
        </w:rPr>
      </w:pPr>
      <w:r w:rsidRPr="0060639F">
        <w:rPr>
          <w:rFonts w:ascii="Times New Roman" w:hAnsi="Times New Roman"/>
          <w:sz w:val="24"/>
          <w:szCs w:val="24"/>
          <w:lang w:val="sk-SK"/>
        </w:rPr>
        <w:t>K § 11</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Vymedzuje sa pojem preddavku na daň ako povinnej platby počas zdaňovacieho obdobia. Upravuje sa definícia a výpočet predpokladanej dane vzťahujúcej sa na vozidlá, ktoré sú predmetom dane k 1. januáru bežného zdaňovacieho obdobia. Súčasne sa určuje výška predpokladanej dane, ktorá zakladá povinnosť platenia preddavkov na daň. Preddavky na daň sa platia štvrťročne a to v prípade, ak predpokladaná daň je v rozmedzí od 700 eur do 8 300 eur alebo mesačne, ak predpokladaná daň je vyššia ako 8 300 eur. Zároveň sa ustanovuje termín na zaplatenie dane, ktorý je zhodný s termínom podania daňového priznania. V záujme zabezpečenia jednotného výkladu sa navrhuje spresniť, kedy daňovník preddavky na daň z motorových vozidiel neplatí. Povinnosť platiť preddavky môže zmeniť správca dane sám alebo na základe žiadosti daňovníka. Povinnosť platiť preddavky na daň zaniká daňovníkovi, ktorý sa zrušuje bez likvidácie, s likvidáciou, vstúpil do konkurzu, ukončil podnikanie resp. zomrel, a to od povinnej platby preddavku splatného po dni, v ktorom došlo k tejto rozhodujúcej skutočnosti. Výpočet pomernej časti dane nadväzne na skutočnosť, že v priebehu zdaňovacieho obdobia vznikla a zanikla daňová povinnosť sa viaže k počtu mesiacov, v ktorých vozidlo bolo predmetom dane. Pre vozidlá používané mimo výkonu vo verejnom záujme sa pomerná časť dane vypočítava ako súčin jednej tristošesťdesiatpätiny ročnej sadzby dane a počtu dní, v ktorých sa vozidlo použilo na podnikanie. Ustanovuje sa povinnosť doplatiť rozdiel dane v prípade zaplatenia preddavkov v nižšej sume ako je následne vypočítaná daň za zdaňovacie obdobie, naopak v prípade, ak boli preddavky zaplatené vo vyššej sume ako je vypočítaná daň, vzniknutý preplatok sa použije podľa daňového poriadku.</w:t>
      </w:r>
    </w:p>
    <w:p w:rsidR="0060639F" w:rsidRPr="0060639F" w:rsidP="00756DA8">
      <w:pPr>
        <w:bidi w:val="0"/>
        <w:spacing w:after="0" w:line="240" w:lineRule="auto"/>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K § 12</w:t>
      </w: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ab/>
        <w:t>V predmetnom ustanovení sa upravuje prednosť medzinárodnej zmluvy pred ustanoveniami predmetného zákona.</w:t>
      </w:r>
    </w:p>
    <w:p w:rsidR="0060639F" w:rsidRPr="0060639F" w:rsidP="00756DA8">
      <w:pPr>
        <w:bidi w:val="0"/>
        <w:spacing w:after="0" w:line="240" w:lineRule="auto"/>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K § 13</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 xml:space="preserve">Ustanovuje sa zaokrúhľovanie dane a preddavkov na daň a to na eurocenty nadol. </w:t>
      </w:r>
    </w:p>
    <w:p w:rsidR="0060639F" w:rsidRPr="0060639F" w:rsidP="00756DA8">
      <w:pPr>
        <w:bidi w:val="0"/>
        <w:spacing w:after="0" w:line="240" w:lineRule="auto"/>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K § 14</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V predmetnom zákone sa osobitne vymedzuje výkon správy dane a použitie daňového poriadku na správu dane.</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K § 15</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V tomto ustanovení sa preberajú právne akty Európskej únie.</w:t>
      </w:r>
    </w:p>
    <w:p w:rsidR="0060639F" w:rsidRPr="0060639F"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K § 16</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Navrhuje sa upraviť prechodné ustanovenie účinné od 1. januára 2015, ak daňová povinnosť a oznamovacia povinnosť vznikne do 31. decembra 2014. Súčasne sa navrhuje od 1. januára 2015 úprava postupu výkonu správy dane na zdaňovacie obdobia, ktoré skončili najneskôr do 31. decembra 2014. Upravuje sa aj rozpočtové určenie výnosu dane z motorových vozidiel týkajúcich sa obdobia počnúc decembrom 2014; daňové úrady odvedú preddavok na daň, daň vrátane pokuty a úroku z omeškania vyšším územným celkov poslednýkrát za mesiac november 2014.</w:t>
      </w:r>
    </w:p>
    <w:p w:rsidR="0060639F" w:rsidRPr="0060639F"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Čl. II</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pStyle w:val="BodyText2"/>
        <w:bidi w:val="0"/>
        <w:spacing w:after="0" w:line="240" w:lineRule="auto"/>
        <w:rPr>
          <w:rFonts w:ascii="Times New Roman" w:hAnsi="Times New Roman"/>
          <w:bCs/>
        </w:rPr>
      </w:pPr>
      <w:r w:rsidRPr="0060639F">
        <w:rPr>
          <w:rFonts w:ascii="Times New Roman" w:hAnsi="Times New Roman"/>
          <w:bCs/>
        </w:rPr>
        <w:t>K bodu 1</w:t>
      </w:r>
    </w:p>
    <w:p w:rsidR="0060639F" w:rsidRPr="0060639F" w:rsidP="00756DA8">
      <w:pPr>
        <w:pStyle w:val="BodyText2"/>
        <w:bidi w:val="0"/>
        <w:spacing w:after="0" w:line="240" w:lineRule="auto"/>
        <w:rPr>
          <w:rFonts w:ascii="Times New Roman" w:hAnsi="Times New Roman"/>
          <w:bCs/>
        </w:rPr>
      </w:pPr>
    </w:p>
    <w:p w:rsidR="0060639F" w:rsidRPr="0060639F" w:rsidP="00756DA8">
      <w:pPr>
        <w:pStyle w:val="ListParagraph"/>
        <w:bidi w:val="0"/>
        <w:spacing w:after="0" w:line="240" w:lineRule="auto"/>
        <w:ind w:left="0" w:firstLine="360"/>
        <w:jc w:val="both"/>
        <w:rPr>
          <w:rFonts w:ascii="Times New Roman" w:hAnsi="Times New Roman"/>
          <w:sz w:val="24"/>
          <w:szCs w:val="24"/>
        </w:rPr>
      </w:pPr>
      <w:r w:rsidRPr="0060639F">
        <w:rPr>
          <w:rFonts w:ascii="Times New Roman" w:hAnsi="Times New Roman"/>
          <w:sz w:val="24"/>
          <w:szCs w:val="24"/>
        </w:rPr>
        <w:t>V § 3 sa upravuje podiel VÚC na výnose dane z príjmov fyzických od roku 2015 z dôvodu navrhovanej zmeny rozpočtového určenia dane z motorových vozidiel. Technicky sa jedná o kompenzáciu výpadku príjmov z dane z motorových vozidiel z vyššie uvedených dôvodov prostredníctvom zodpovedajúceho navýšenia podielu DPFO.</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pStyle w:val="BodyText2"/>
        <w:bidi w:val="0"/>
        <w:spacing w:after="0" w:line="240" w:lineRule="auto"/>
        <w:rPr>
          <w:rFonts w:ascii="Times New Roman" w:hAnsi="Times New Roman"/>
          <w:bCs/>
        </w:rPr>
      </w:pPr>
      <w:r w:rsidRPr="0060639F">
        <w:rPr>
          <w:rFonts w:ascii="Times New Roman" w:hAnsi="Times New Roman"/>
          <w:bCs/>
        </w:rPr>
        <w:t>K bodu 2</w:t>
      </w:r>
    </w:p>
    <w:p w:rsidR="0060639F" w:rsidRPr="0060639F" w:rsidP="00756DA8">
      <w:pPr>
        <w:pStyle w:val="ListParagraph"/>
        <w:bidi w:val="0"/>
        <w:spacing w:after="0" w:line="240" w:lineRule="auto"/>
        <w:ind w:left="0" w:firstLine="360"/>
        <w:jc w:val="both"/>
        <w:rPr>
          <w:rFonts w:ascii="Times New Roman" w:hAnsi="Times New Roman"/>
          <w:sz w:val="24"/>
          <w:szCs w:val="24"/>
        </w:rPr>
      </w:pPr>
    </w:p>
    <w:p w:rsidR="0060639F" w:rsidRPr="0060639F" w:rsidP="00756DA8">
      <w:pPr>
        <w:pStyle w:val="ListParagraph"/>
        <w:bidi w:val="0"/>
        <w:spacing w:after="0" w:line="240" w:lineRule="auto"/>
        <w:ind w:left="0" w:firstLine="360"/>
        <w:jc w:val="both"/>
        <w:rPr>
          <w:rFonts w:ascii="Times New Roman" w:hAnsi="Times New Roman"/>
          <w:sz w:val="24"/>
          <w:szCs w:val="24"/>
        </w:rPr>
      </w:pPr>
      <w:r w:rsidRPr="0060639F">
        <w:rPr>
          <w:rFonts w:ascii="Times New Roman" w:hAnsi="Times New Roman"/>
          <w:sz w:val="24"/>
          <w:szCs w:val="24"/>
        </w:rPr>
        <w:t>Uvedený § predstavuje prechodné ustanovenie pre zabezpečenie plynulého nábehu na novostanovené % pre VÚC. Upresňuje termín kedy sa uvedená zmena prvýkrát uplatní pri výpočte prevodu podielu VÚC na výnose tejto dane.</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Čl. III</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 xml:space="preserve">K bodom 1 až 11 </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Ustanovenia o zdaňovaní motorových vozidiel upravených v zákone č. 582/2004 Z. z. o miestnych daniach a miestnom poplatku za komunálne odpady a drobné stavebné odpady v znení neskorších predpisov sa vypúšťajú nadväzne na predkladaný nový zákon. Súčasne sa upravuje prechodné ustanovenie viažuce sa k smerovaniu výnosu dane z motorových vozidiel.</w:t>
      </w:r>
    </w:p>
    <w:p w:rsidR="0060639F" w:rsidP="00756DA8">
      <w:pPr>
        <w:bidi w:val="0"/>
        <w:spacing w:after="0" w:line="240" w:lineRule="auto"/>
        <w:ind w:firstLine="708"/>
        <w:jc w:val="both"/>
        <w:rPr>
          <w:rFonts w:ascii="Times New Roman" w:hAnsi="Times New Roman"/>
          <w:sz w:val="24"/>
          <w:szCs w:val="24"/>
          <w:lang w:val="sk-SK"/>
        </w:rPr>
      </w:pPr>
    </w:p>
    <w:p w:rsidR="00756DA8"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Čl. IV</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 xml:space="preserve">V súvislosti s navrhovaným zákonom o dani z motorových vozidiel sa upravuje aj ustanovenie zákona o rozpočtových pravidlách územnej samosprávy. </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P="00756DA8">
      <w:pPr>
        <w:bidi w:val="0"/>
        <w:spacing w:after="0" w:line="240" w:lineRule="auto"/>
        <w:ind w:firstLine="708"/>
        <w:jc w:val="both"/>
        <w:rPr>
          <w:rFonts w:ascii="Times New Roman" w:hAnsi="Times New Roman"/>
          <w:sz w:val="24"/>
          <w:szCs w:val="24"/>
          <w:lang w:val="sk-SK"/>
        </w:rPr>
      </w:pPr>
    </w:p>
    <w:p w:rsidR="00756DA8" w:rsidP="00756DA8">
      <w:pPr>
        <w:bidi w:val="0"/>
        <w:spacing w:after="0" w:line="240" w:lineRule="auto"/>
        <w:jc w:val="both"/>
        <w:rPr>
          <w:rFonts w:ascii="Times New Roman" w:hAnsi="Times New Roman"/>
          <w:sz w:val="24"/>
          <w:szCs w:val="24"/>
          <w:lang w:val="sk-SK"/>
        </w:rPr>
      </w:pPr>
    </w:p>
    <w:p w:rsidR="00756DA8"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Čl. V</w:t>
      </w:r>
    </w:p>
    <w:p w:rsidR="0060639F" w:rsidRPr="0060639F" w:rsidP="00756DA8">
      <w:pPr>
        <w:bidi w:val="0"/>
        <w:spacing w:after="0" w:line="240" w:lineRule="auto"/>
        <w:jc w:val="both"/>
        <w:rPr>
          <w:rFonts w:ascii="Times New Roman" w:hAnsi="Times New Roman"/>
          <w:sz w:val="24"/>
          <w:szCs w:val="24"/>
          <w:lang w:val="sk-SK"/>
        </w:rPr>
      </w:pP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Nadväzne na nový zákon o dani z motorových vozidiel sa upravujú v procesnom predpise poznámky pod čiarou, ktoré sa týkajú tohto zákona. Navrhovanou úpravou sa spresňuje platné znenie ustanovenia, podľa ktorého môže daňovú kontrolu u daňového subjektu vykonať ktorýkoľvek správca dane.</w:t>
      </w: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ind w:firstLine="708"/>
        <w:jc w:val="both"/>
        <w:rPr>
          <w:rFonts w:ascii="Times New Roman" w:hAnsi="Times New Roman"/>
          <w:sz w:val="24"/>
          <w:szCs w:val="24"/>
          <w:lang w:val="sk-SK"/>
        </w:rPr>
      </w:pPr>
    </w:p>
    <w:p w:rsidR="0060639F" w:rsidRPr="0060639F" w:rsidP="00756DA8">
      <w:pPr>
        <w:bidi w:val="0"/>
        <w:spacing w:after="0" w:line="240" w:lineRule="auto"/>
        <w:jc w:val="both"/>
        <w:rPr>
          <w:rFonts w:ascii="Times New Roman" w:hAnsi="Times New Roman"/>
          <w:sz w:val="24"/>
          <w:szCs w:val="24"/>
          <w:lang w:val="sk-SK"/>
        </w:rPr>
      </w:pPr>
      <w:r w:rsidRPr="0060639F">
        <w:rPr>
          <w:rFonts w:ascii="Times New Roman" w:hAnsi="Times New Roman"/>
          <w:sz w:val="24"/>
          <w:szCs w:val="24"/>
          <w:lang w:val="sk-SK"/>
        </w:rPr>
        <w:t>Čl. VI</w:t>
      </w:r>
    </w:p>
    <w:p w:rsidR="0060639F" w:rsidRPr="0060639F" w:rsidP="00756DA8">
      <w:pPr>
        <w:bidi w:val="0"/>
        <w:spacing w:after="0" w:line="240" w:lineRule="auto"/>
        <w:ind w:firstLine="708"/>
        <w:jc w:val="both"/>
        <w:rPr>
          <w:rFonts w:ascii="Times New Roman" w:hAnsi="Times New Roman"/>
          <w:sz w:val="24"/>
          <w:szCs w:val="24"/>
          <w:lang w:val="sk-SK"/>
        </w:rPr>
      </w:pPr>
      <w:r w:rsidRPr="0060639F">
        <w:rPr>
          <w:rFonts w:ascii="Times New Roman" w:hAnsi="Times New Roman"/>
          <w:sz w:val="24"/>
          <w:szCs w:val="24"/>
          <w:lang w:val="sk-SK"/>
        </w:rPr>
        <w:t>Upravuje sa účinnosť zákona.</w:t>
      </w:r>
    </w:p>
    <w:p w:rsidR="00756DA8" w:rsidP="009C2F33">
      <w:pPr>
        <w:tabs>
          <w:tab w:val="left" w:pos="142"/>
        </w:tabs>
        <w:bidi w:val="0"/>
        <w:spacing w:after="0" w:line="240" w:lineRule="auto"/>
        <w:ind w:firstLine="708"/>
        <w:rPr>
          <w:rFonts w:ascii="Times New Roman" w:hAnsi="Times New Roman"/>
          <w:sz w:val="24"/>
          <w:szCs w:val="24"/>
          <w:lang w:val="sk-SK"/>
        </w:rPr>
      </w:pPr>
    </w:p>
    <w:p w:rsidR="00756DA8" w:rsidP="009C2F33">
      <w:pPr>
        <w:tabs>
          <w:tab w:val="left" w:pos="142"/>
        </w:tabs>
        <w:bidi w:val="0"/>
        <w:spacing w:after="0" w:line="240" w:lineRule="auto"/>
        <w:ind w:firstLine="708"/>
        <w:rPr>
          <w:rFonts w:ascii="Times New Roman" w:hAnsi="Times New Roman"/>
          <w:sz w:val="24"/>
          <w:szCs w:val="24"/>
          <w:lang w:val="sk-SK"/>
        </w:rPr>
      </w:pPr>
    </w:p>
    <w:p w:rsidR="009C2F33" w:rsidRPr="0099440F" w:rsidP="009C2F33">
      <w:pPr>
        <w:tabs>
          <w:tab w:val="left" w:pos="142"/>
        </w:tabs>
        <w:bidi w:val="0"/>
        <w:spacing w:after="0" w:line="240" w:lineRule="auto"/>
        <w:ind w:firstLine="708"/>
        <w:rPr>
          <w:rFonts w:ascii="Times New Roman" w:hAnsi="Times New Roman"/>
          <w:sz w:val="24"/>
          <w:szCs w:val="24"/>
          <w:lang w:val="sk-SK"/>
        </w:rPr>
      </w:pPr>
      <w:r w:rsidRPr="0099440F">
        <w:rPr>
          <w:rFonts w:ascii="Times New Roman" w:hAnsi="Times New Roman"/>
          <w:sz w:val="24"/>
          <w:szCs w:val="24"/>
          <w:lang w:val="sk-SK"/>
        </w:rPr>
        <w:t xml:space="preserve">Schválené na rokovaní vlády Slovenskej republiky dňa </w:t>
      </w:r>
      <w:r w:rsidR="0060639F">
        <w:rPr>
          <w:rFonts w:ascii="Times New Roman" w:hAnsi="Times New Roman"/>
          <w:sz w:val="24"/>
          <w:szCs w:val="24"/>
          <w:lang w:val="sk-SK"/>
        </w:rPr>
        <w:t>20</w:t>
      </w:r>
      <w:r w:rsidRPr="0099440F">
        <w:rPr>
          <w:rFonts w:ascii="Times New Roman" w:hAnsi="Times New Roman"/>
          <w:sz w:val="24"/>
          <w:szCs w:val="24"/>
          <w:lang w:val="sk-SK"/>
        </w:rPr>
        <w:t xml:space="preserve">. </w:t>
      </w:r>
      <w:r w:rsidR="0060639F">
        <w:rPr>
          <w:rFonts w:ascii="Times New Roman" w:hAnsi="Times New Roman"/>
          <w:sz w:val="24"/>
          <w:szCs w:val="24"/>
          <w:lang w:val="sk-SK"/>
        </w:rPr>
        <w:t>augusta</w:t>
      </w:r>
      <w:r w:rsidRPr="0099440F">
        <w:rPr>
          <w:rFonts w:ascii="Times New Roman" w:hAnsi="Times New Roman"/>
          <w:sz w:val="24"/>
          <w:szCs w:val="24"/>
          <w:lang w:val="sk-SK"/>
        </w:rPr>
        <w:t xml:space="preserve"> 201</w:t>
      </w:r>
      <w:r w:rsidR="0060639F">
        <w:rPr>
          <w:rFonts w:ascii="Times New Roman" w:hAnsi="Times New Roman"/>
          <w:sz w:val="24"/>
          <w:szCs w:val="24"/>
          <w:lang w:val="sk-SK"/>
        </w:rPr>
        <w:t>4</w:t>
      </w:r>
      <w:r w:rsidRPr="0099440F">
        <w:rPr>
          <w:rFonts w:ascii="Times New Roman" w:hAnsi="Times New Roman"/>
          <w:sz w:val="24"/>
          <w:szCs w:val="24"/>
          <w:lang w:val="sk-SK"/>
        </w:rPr>
        <w:t>.</w:t>
      </w:r>
    </w:p>
    <w:p w:rsidR="00CF0A3A" w:rsidRPr="009C2F33" w:rsidP="00CF0A3A">
      <w:pPr>
        <w:bidi w:val="0"/>
        <w:spacing w:after="0" w:line="240" w:lineRule="auto"/>
        <w:ind w:firstLine="360"/>
        <w:jc w:val="both"/>
        <w:rPr>
          <w:rFonts w:ascii="Times New Roman" w:hAnsi="Times New Roman"/>
          <w:sz w:val="24"/>
          <w:szCs w:val="24"/>
          <w:lang w:val="sk-SK"/>
        </w:rPr>
      </w:pPr>
    </w:p>
    <w:p w:rsidR="00CF0A3A" w:rsidP="00CF0A3A">
      <w:pPr>
        <w:bidi w:val="0"/>
        <w:spacing w:after="0" w:line="240" w:lineRule="auto"/>
        <w:ind w:firstLine="360"/>
        <w:jc w:val="both"/>
        <w:rPr>
          <w:rFonts w:ascii="Times New Roman" w:hAnsi="Times New Roman"/>
          <w:sz w:val="24"/>
          <w:szCs w:val="24"/>
          <w:lang w:val="sk-SK"/>
        </w:rPr>
      </w:pPr>
    </w:p>
    <w:p w:rsidR="009C2F33" w:rsidRPr="009C2F33" w:rsidP="00CF0A3A">
      <w:pPr>
        <w:bidi w:val="0"/>
        <w:spacing w:after="0" w:line="240" w:lineRule="auto"/>
        <w:ind w:firstLine="360"/>
        <w:jc w:val="both"/>
        <w:rPr>
          <w:rFonts w:ascii="Times New Roman" w:hAnsi="Times New Roman"/>
          <w:sz w:val="24"/>
          <w:szCs w:val="24"/>
          <w:lang w:val="sk-SK"/>
        </w:rPr>
      </w:pPr>
    </w:p>
    <w:p w:rsidR="00EB636A" w:rsidRPr="0099440F" w:rsidP="00EB636A">
      <w:pPr>
        <w:pStyle w:val="BodyTextIndent3"/>
        <w:tabs>
          <w:tab w:val="left" w:pos="142"/>
        </w:tabs>
        <w:bidi w:val="0"/>
        <w:spacing w:after="0" w:line="240" w:lineRule="auto"/>
        <w:ind w:left="0"/>
        <w:jc w:val="center"/>
        <w:rPr>
          <w:rFonts w:ascii="Times New Roman" w:hAnsi="Times New Roman"/>
          <w:b/>
          <w:bCs/>
          <w:sz w:val="24"/>
          <w:szCs w:val="24"/>
          <w:lang w:val="sk-SK"/>
        </w:rPr>
      </w:pPr>
      <w:r w:rsidRPr="0099440F" w:rsidR="009C2F33">
        <w:rPr>
          <w:rFonts w:ascii="Times New Roman" w:hAnsi="Times New Roman"/>
          <w:b/>
          <w:bCs/>
          <w:sz w:val="24"/>
          <w:szCs w:val="24"/>
          <w:lang w:val="sk-SK"/>
        </w:rPr>
        <w:t>Peter Kažimír</w:t>
      </w:r>
      <w:r>
        <w:rPr>
          <w:rFonts w:ascii="Times New Roman" w:hAnsi="Times New Roman"/>
          <w:b/>
          <w:bCs/>
          <w:sz w:val="24"/>
          <w:szCs w:val="24"/>
          <w:lang w:val="sk-SK"/>
        </w:rPr>
        <w:t>, v. r.</w:t>
      </w:r>
    </w:p>
    <w:p w:rsidR="009C2F33" w:rsidRPr="0099440F" w:rsidP="009C2F33">
      <w:pPr>
        <w:pStyle w:val="BodyTextIndent3"/>
        <w:tabs>
          <w:tab w:val="left" w:pos="142"/>
        </w:tabs>
        <w:bidi w:val="0"/>
        <w:spacing w:after="0" w:line="240" w:lineRule="auto"/>
        <w:ind w:left="0"/>
        <w:jc w:val="center"/>
        <w:rPr>
          <w:rFonts w:ascii="Times New Roman" w:hAnsi="Times New Roman"/>
          <w:b/>
          <w:bCs/>
          <w:sz w:val="24"/>
          <w:szCs w:val="24"/>
          <w:lang w:val="sk-SK"/>
        </w:rPr>
      </w:pPr>
      <w:r w:rsidRPr="0099440F">
        <w:rPr>
          <w:rFonts w:ascii="Times New Roman" w:hAnsi="Times New Roman"/>
          <w:b/>
          <w:bCs/>
          <w:sz w:val="24"/>
          <w:szCs w:val="24"/>
          <w:lang w:val="sk-SK"/>
        </w:rPr>
        <w:t>podpredseda vlády a</w:t>
      </w:r>
    </w:p>
    <w:p w:rsidR="009C2F33" w:rsidRPr="0099440F" w:rsidP="009C2F33">
      <w:pPr>
        <w:pStyle w:val="BodyTextIndent3"/>
        <w:tabs>
          <w:tab w:val="left" w:pos="142"/>
        </w:tabs>
        <w:bidi w:val="0"/>
        <w:spacing w:after="0" w:line="240" w:lineRule="auto"/>
        <w:ind w:left="0"/>
        <w:jc w:val="center"/>
        <w:rPr>
          <w:rFonts w:ascii="Times New Roman" w:hAnsi="Times New Roman"/>
          <w:b/>
          <w:bCs/>
          <w:sz w:val="24"/>
          <w:szCs w:val="24"/>
          <w:lang w:val="sk-SK"/>
        </w:rPr>
      </w:pPr>
      <w:r w:rsidRPr="0099440F">
        <w:rPr>
          <w:rFonts w:ascii="Times New Roman" w:hAnsi="Times New Roman"/>
          <w:b/>
          <w:bCs/>
          <w:sz w:val="24"/>
          <w:szCs w:val="24"/>
          <w:lang w:val="sk-SK"/>
        </w:rPr>
        <w:t>minister financií Slovenskej republiky</w:t>
      </w:r>
    </w:p>
    <w:p w:rsidR="009C2F33" w:rsidP="00010C9D">
      <w:pPr>
        <w:pStyle w:val="BodyTextIndent3"/>
        <w:tabs>
          <w:tab w:val="left" w:pos="142"/>
        </w:tabs>
        <w:bidi w:val="0"/>
        <w:spacing w:after="0" w:line="240" w:lineRule="auto"/>
        <w:ind w:left="0"/>
        <w:rPr>
          <w:rFonts w:ascii="Times New Roman" w:hAnsi="Times New Roman"/>
          <w:b/>
          <w:bCs/>
          <w:sz w:val="24"/>
          <w:szCs w:val="24"/>
          <w:lang w:val="sk-SK"/>
        </w:rPr>
      </w:pPr>
    </w:p>
    <w:p w:rsidR="00010C9D" w:rsidP="00010C9D">
      <w:pPr>
        <w:pStyle w:val="BodyTextIndent3"/>
        <w:tabs>
          <w:tab w:val="left" w:pos="142"/>
        </w:tabs>
        <w:bidi w:val="0"/>
        <w:spacing w:after="0" w:line="240" w:lineRule="auto"/>
        <w:ind w:left="0"/>
        <w:rPr>
          <w:rFonts w:ascii="Times New Roman" w:hAnsi="Times New Roman"/>
          <w:b/>
          <w:bCs/>
          <w:sz w:val="24"/>
          <w:szCs w:val="24"/>
          <w:lang w:val="sk-SK"/>
        </w:rPr>
      </w:pPr>
    </w:p>
    <w:p w:rsidR="00010C9D" w:rsidP="00010C9D">
      <w:pPr>
        <w:pStyle w:val="BodyTextIndent3"/>
        <w:tabs>
          <w:tab w:val="left" w:pos="142"/>
        </w:tabs>
        <w:bidi w:val="0"/>
        <w:spacing w:after="0" w:line="240" w:lineRule="auto"/>
        <w:ind w:left="0"/>
        <w:rPr>
          <w:rFonts w:ascii="Times New Roman" w:hAnsi="Times New Roman"/>
          <w:b/>
          <w:bCs/>
          <w:sz w:val="24"/>
          <w:szCs w:val="24"/>
          <w:lang w:val="sk-SK"/>
        </w:rPr>
      </w:pPr>
    </w:p>
    <w:p w:rsidR="00010C9D" w:rsidP="00010C9D">
      <w:pPr>
        <w:pStyle w:val="BodyTextIndent3"/>
        <w:tabs>
          <w:tab w:val="left" w:pos="142"/>
        </w:tabs>
        <w:bidi w:val="0"/>
        <w:spacing w:after="0" w:line="240" w:lineRule="auto"/>
        <w:ind w:left="0"/>
        <w:rPr>
          <w:rFonts w:ascii="Times New Roman" w:hAnsi="Times New Roman"/>
          <w:b/>
          <w:bCs/>
          <w:sz w:val="24"/>
          <w:szCs w:val="24"/>
          <w:lang w:val="sk-SK"/>
        </w:rPr>
      </w:pPr>
    </w:p>
    <w:p w:rsidR="00010C9D" w:rsidP="00010C9D">
      <w:pPr>
        <w:pStyle w:val="BodyTextIndent3"/>
        <w:tabs>
          <w:tab w:val="left" w:pos="142"/>
        </w:tabs>
        <w:bidi w:val="0"/>
        <w:spacing w:after="0" w:line="240" w:lineRule="auto"/>
        <w:ind w:left="0"/>
        <w:rPr>
          <w:rFonts w:ascii="Times New Roman" w:hAnsi="Times New Roman"/>
          <w:b/>
          <w:bCs/>
          <w:sz w:val="24"/>
          <w:szCs w:val="24"/>
          <w:lang w:val="sk-SK"/>
        </w:rPr>
      </w:pPr>
    </w:p>
    <w:p w:rsidR="00010C9D" w:rsidRPr="0099440F" w:rsidP="00010C9D">
      <w:pPr>
        <w:pStyle w:val="BodyTextIndent3"/>
        <w:tabs>
          <w:tab w:val="left" w:pos="142"/>
        </w:tabs>
        <w:bidi w:val="0"/>
        <w:spacing w:after="0" w:line="240" w:lineRule="auto"/>
        <w:ind w:left="0"/>
        <w:rPr>
          <w:rFonts w:ascii="Times New Roman" w:hAnsi="Times New Roman"/>
          <w:b/>
          <w:bCs/>
          <w:sz w:val="24"/>
          <w:szCs w:val="24"/>
          <w:lang w:val="sk-SK"/>
        </w:rPr>
      </w:pPr>
    </w:p>
    <w:p w:rsidR="00EB636A" w:rsidRPr="0099440F" w:rsidP="00EB636A">
      <w:pPr>
        <w:pStyle w:val="BodyTextIndent3"/>
        <w:tabs>
          <w:tab w:val="left" w:pos="142"/>
        </w:tabs>
        <w:bidi w:val="0"/>
        <w:spacing w:after="0" w:line="240" w:lineRule="auto"/>
        <w:ind w:left="0"/>
        <w:jc w:val="center"/>
        <w:rPr>
          <w:rFonts w:ascii="Times New Roman" w:hAnsi="Times New Roman"/>
          <w:b/>
          <w:bCs/>
          <w:sz w:val="24"/>
          <w:szCs w:val="24"/>
          <w:lang w:val="sk-SK"/>
        </w:rPr>
      </w:pPr>
      <w:r w:rsidRPr="0099440F" w:rsidR="009C2F33">
        <w:rPr>
          <w:rFonts w:ascii="Times New Roman" w:hAnsi="Times New Roman"/>
          <w:b/>
          <w:bCs/>
          <w:sz w:val="24"/>
          <w:szCs w:val="24"/>
          <w:lang w:val="sk-SK"/>
        </w:rPr>
        <w:t>Robert Fico</w:t>
      </w:r>
      <w:r>
        <w:rPr>
          <w:rFonts w:ascii="Times New Roman" w:hAnsi="Times New Roman"/>
          <w:b/>
          <w:bCs/>
          <w:sz w:val="24"/>
          <w:szCs w:val="24"/>
          <w:lang w:val="sk-SK"/>
        </w:rPr>
        <w:t>, v. r.</w:t>
      </w:r>
    </w:p>
    <w:p w:rsidR="009C2F33" w:rsidRPr="0099440F" w:rsidP="009C2F33">
      <w:pPr>
        <w:bidi w:val="0"/>
        <w:spacing w:after="0" w:line="240" w:lineRule="auto"/>
        <w:ind w:left="2124" w:firstLine="708"/>
        <w:jc w:val="both"/>
        <w:rPr>
          <w:rFonts w:ascii="Times New Roman" w:hAnsi="Times New Roman"/>
          <w:b/>
          <w:bCs/>
          <w:color w:val="000000"/>
          <w:sz w:val="24"/>
          <w:szCs w:val="24"/>
          <w:lang w:val="sk-SK"/>
        </w:rPr>
      </w:pPr>
      <w:r w:rsidR="00EB636A">
        <w:rPr>
          <w:rFonts w:ascii="Times New Roman" w:hAnsi="Times New Roman"/>
          <w:b/>
          <w:bCs/>
          <w:sz w:val="24"/>
          <w:szCs w:val="24"/>
          <w:lang w:val="sk-SK"/>
        </w:rPr>
        <w:t xml:space="preserve">   </w:t>
      </w:r>
      <w:r w:rsidR="00BF5638">
        <w:rPr>
          <w:rFonts w:ascii="Times New Roman" w:hAnsi="Times New Roman"/>
          <w:b/>
          <w:bCs/>
          <w:sz w:val="24"/>
          <w:szCs w:val="24"/>
          <w:lang w:val="sk-SK"/>
        </w:rPr>
        <w:t xml:space="preserve">    </w:t>
      </w:r>
      <w:r w:rsidRPr="0099440F">
        <w:rPr>
          <w:rFonts w:ascii="Times New Roman" w:hAnsi="Times New Roman"/>
          <w:b/>
          <w:bCs/>
          <w:sz w:val="24"/>
          <w:szCs w:val="24"/>
          <w:lang w:val="sk-SK"/>
        </w:rPr>
        <w:t>predseda vlády Slovenskej republiky</w:t>
      </w:r>
    </w:p>
    <w:p w:rsidR="00CF0A3A" w:rsidRPr="009C2F33" w:rsidP="00CF0A3A">
      <w:pPr>
        <w:bidi w:val="0"/>
        <w:spacing w:after="0" w:line="240" w:lineRule="auto"/>
        <w:ind w:firstLine="360"/>
        <w:jc w:val="both"/>
        <w:rPr>
          <w:rFonts w:ascii="Times New Roman" w:hAnsi="Times New Roman"/>
          <w:sz w:val="24"/>
          <w:szCs w:val="24"/>
          <w:lang w:val="sk-SK"/>
        </w:rPr>
      </w:pPr>
    </w:p>
    <w:p w:rsidR="00CF0A3A" w:rsidRPr="009C2F33" w:rsidP="00CF0A3A">
      <w:pPr>
        <w:bidi w:val="0"/>
        <w:spacing w:after="0" w:line="240" w:lineRule="auto"/>
        <w:ind w:firstLine="360"/>
        <w:jc w:val="both"/>
        <w:rPr>
          <w:rFonts w:ascii="Times New Roman" w:hAnsi="Times New Roman"/>
          <w:sz w:val="24"/>
          <w:szCs w:val="24"/>
          <w:lang w:val="sk-SK"/>
        </w:rPr>
      </w:pPr>
    </w:p>
    <w:p w:rsidR="00CF0A3A" w:rsidRPr="00CF0A3A" w:rsidP="00CF0A3A">
      <w:pPr>
        <w:bidi w:val="0"/>
        <w:spacing w:after="0" w:line="240" w:lineRule="auto"/>
        <w:ind w:firstLine="360"/>
        <w:jc w:val="both"/>
        <w:rPr>
          <w:rFonts w:ascii="Times New Roman" w:hAnsi="Times New Roman"/>
          <w:sz w:val="24"/>
          <w:szCs w:val="24"/>
          <w:lang w:val="sk-SK"/>
        </w:rPr>
      </w:pPr>
    </w:p>
    <w:sectPr w:rsidSect="00C96668">
      <w:footerReference w:type="default" r:id="rId5"/>
      <w:pgSz w:w="11906" w:h="16838"/>
      <w:pgMar w:top="720" w:right="720" w:bottom="720" w:left="720"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C9D" w:rsidRPr="00010C9D">
    <w:pPr>
      <w:pStyle w:val="Footer"/>
      <w:bidi w:val="0"/>
      <w:jc w:val="center"/>
      <w:rPr>
        <w:rFonts w:ascii="Times New Roman" w:hAnsi="Times New Roman"/>
        <w:sz w:val="20"/>
        <w:szCs w:val="20"/>
      </w:rPr>
    </w:pPr>
    <w:r w:rsidRPr="00010C9D">
      <w:rPr>
        <w:rFonts w:ascii="Times New Roman" w:hAnsi="Times New Roman"/>
        <w:sz w:val="20"/>
        <w:szCs w:val="20"/>
      </w:rPr>
      <w:fldChar w:fldCharType="begin"/>
    </w:r>
    <w:r w:rsidRPr="00010C9D">
      <w:rPr>
        <w:rFonts w:ascii="Times New Roman" w:hAnsi="Times New Roman"/>
        <w:sz w:val="20"/>
        <w:szCs w:val="20"/>
      </w:rPr>
      <w:instrText>PAGE   \* MERGEFORMAT</w:instrText>
    </w:r>
    <w:r w:rsidRPr="00010C9D">
      <w:rPr>
        <w:rFonts w:ascii="Times New Roman" w:hAnsi="Times New Roman"/>
        <w:sz w:val="20"/>
        <w:szCs w:val="20"/>
      </w:rPr>
      <w:fldChar w:fldCharType="separate"/>
    </w:r>
    <w:r w:rsidRPr="00EB636A" w:rsidR="00EB636A">
      <w:rPr>
        <w:rFonts w:ascii="Times New Roman" w:hAnsi="Times New Roman"/>
        <w:noProof/>
        <w:sz w:val="20"/>
        <w:szCs w:val="20"/>
        <w:lang w:val="sk-SK"/>
      </w:rPr>
      <w:t>15</w:t>
    </w:r>
    <w:r w:rsidRPr="00010C9D">
      <w:rPr>
        <w:rFonts w:ascii="Times New Roman" w:hAnsi="Times New Roman"/>
        <w:sz w:val="20"/>
        <w:szCs w:val="20"/>
      </w:rPr>
      <w:fldChar w:fldCharType="end"/>
    </w:r>
  </w:p>
  <w:p w:rsidR="00010C9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5E1"/>
    <w:multiLevelType w:val="hybridMultilevel"/>
    <w:tmpl w:val="E6282E16"/>
    <w:lvl w:ilvl="0">
      <w:start w:val="2"/>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FA1458F"/>
    <w:multiLevelType w:val="hybridMultilevel"/>
    <w:tmpl w:val="B20AD7E8"/>
    <w:lvl w:ilvl="0">
      <w:start w:val="1"/>
      <w:numFmt w:val="upperRoman"/>
      <w:lvlText w:val="%1."/>
      <w:lvlJc w:val="left"/>
      <w:pPr>
        <w:ind w:left="1004" w:hanging="72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BC84CD3"/>
    <w:multiLevelType w:val="hybridMultilevel"/>
    <w:tmpl w:val="1462613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40BB08A6"/>
    <w:multiLevelType w:val="hybridMultilevel"/>
    <w:tmpl w:val="97620AF0"/>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lowerLetter"/>
      <w:lvlText w:val="%2)"/>
      <w:lvlJc w:val="left"/>
      <w:pPr>
        <w:tabs>
          <w:tab w:val="num" w:pos="1620"/>
        </w:tabs>
        <w:ind w:left="16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7">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8">
    <w:nsid w:val="6BF03261"/>
    <w:multiLevelType w:val="hybridMultilevel"/>
    <w:tmpl w:val="69926042"/>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552299F"/>
    <w:multiLevelType w:val="hybridMultilevel"/>
    <w:tmpl w:val="0F208BBA"/>
    <w:lvl w:ilvl="0">
      <w:start w:val="1"/>
      <w:numFmt w:val="bullet"/>
      <w:lvlText w:val="o"/>
      <w:lvlJc w:val="left"/>
      <w:pPr>
        <w:ind w:left="1428" w:hanging="360"/>
      </w:pPr>
      <w:rPr>
        <w:rFonts w:ascii="Courier New" w:hAnsi="Courier Ne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3"/>
  </w:num>
  <w:num w:numId="2">
    <w:abstractNumId w:val="7"/>
    <w:lvlOverride w:ilvl="0">
      <w:startOverride w:val="2"/>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4"/>
  </w:num>
  <w:num w:numId="7">
    <w:abstractNumId w:val="2"/>
  </w:num>
  <w:num w:numId="8">
    <w:abstractNumId w:val="0"/>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A46D89"/>
    <w:rsid w:val="00010C9D"/>
    <w:rsid w:val="00094059"/>
    <w:rsid w:val="000A097D"/>
    <w:rsid w:val="00141089"/>
    <w:rsid w:val="001676DF"/>
    <w:rsid w:val="004676F7"/>
    <w:rsid w:val="004702CB"/>
    <w:rsid w:val="005B4511"/>
    <w:rsid w:val="005F2424"/>
    <w:rsid w:val="0060639F"/>
    <w:rsid w:val="00622D0E"/>
    <w:rsid w:val="006C4B17"/>
    <w:rsid w:val="007545FE"/>
    <w:rsid w:val="00756DA8"/>
    <w:rsid w:val="00766B89"/>
    <w:rsid w:val="00816AE4"/>
    <w:rsid w:val="0099440F"/>
    <w:rsid w:val="009C2F33"/>
    <w:rsid w:val="00A46D89"/>
    <w:rsid w:val="00A8025E"/>
    <w:rsid w:val="00B410BF"/>
    <w:rsid w:val="00BE5571"/>
    <w:rsid w:val="00BF5638"/>
    <w:rsid w:val="00C11040"/>
    <w:rsid w:val="00C13E6A"/>
    <w:rsid w:val="00C96668"/>
    <w:rsid w:val="00CB1C65"/>
    <w:rsid w:val="00CF0A3A"/>
    <w:rsid w:val="00D3362A"/>
    <w:rsid w:val="00E13160"/>
    <w:rsid w:val="00E65DF5"/>
    <w:rsid w:val="00E70F04"/>
    <w:rsid w:val="00EB636A"/>
    <w:rsid w:val="00F706E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3A"/>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CF0A3A"/>
    <w:pPr>
      <w:widowControl/>
      <w:adjustRightInd/>
      <w:ind w:left="720"/>
      <w:contextualSpacing/>
      <w:jc w:val="left"/>
    </w:pPr>
    <w:rPr>
      <w:rFonts w:ascii="Arial Narrow" w:hAnsi="Arial Narrow"/>
      <w:szCs w:val="36"/>
      <w:lang w:val="sk-SK"/>
    </w:rPr>
  </w:style>
  <w:style w:type="paragraph" w:customStyle="1" w:styleId="Zkladntext">
    <w:name w:val="Základní text"/>
    <w:aliases w:val="Základný text Char Char"/>
    <w:rsid w:val="00CF0A3A"/>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styleId="BodyTextIndent">
    <w:name w:val="Body Text Indent"/>
    <w:basedOn w:val="Normal"/>
    <w:link w:val="ZarkazkladnhotextuChar"/>
    <w:uiPriority w:val="99"/>
    <w:semiHidden/>
    <w:unhideWhenUsed/>
    <w:rsid w:val="00CF0A3A"/>
    <w:pPr>
      <w:widowControl/>
      <w:adjustRightInd/>
      <w:spacing w:after="120" w:line="240" w:lineRule="auto"/>
      <w:ind w:left="283"/>
      <w:jc w:val="left"/>
    </w:pPr>
    <w:rPr>
      <w:rFonts w:ascii="Times New Roman" w:hAnsi="Times New Roman"/>
      <w:sz w:val="20"/>
      <w:szCs w:val="20"/>
      <w:lang w:val="cs-CZ" w:eastAsia="cs-CZ"/>
    </w:rPr>
  </w:style>
  <w:style w:type="character" w:customStyle="1" w:styleId="ZarkazkladnhotextuChar">
    <w:name w:val="Zarážka základného textu Char"/>
    <w:basedOn w:val="DefaultParagraphFont"/>
    <w:link w:val="BodyTextIndent"/>
    <w:uiPriority w:val="99"/>
    <w:semiHidden/>
    <w:locked/>
    <w:rsid w:val="00CF0A3A"/>
    <w:rPr>
      <w:rFonts w:ascii="Times New Roman" w:hAnsi="Times New Roman" w:cs="Times New Roman"/>
      <w:sz w:val="20"/>
      <w:szCs w:val="20"/>
      <w:rtl w:val="0"/>
      <w:cs w:val="0"/>
      <w:lang w:val="cs-CZ" w:eastAsia="cs-CZ"/>
    </w:rPr>
  </w:style>
  <w:style w:type="paragraph" w:styleId="Title">
    <w:name w:val="Title"/>
    <w:basedOn w:val="Normal"/>
    <w:link w:val="NzovChar"/>
    <w:uiPriority w:val="10"/>
    <w:qFormat/>
    <w:rsid w:val="00CF0A3A"/>
    <w:pPr>
      <w:widowControl/>
      <w:pBdr>
        <w:bottom w:val="single" w:sz="4" w:space="1" w:color="auto"/>
      </w:pBdr>
      <w:autoSpaceDE w:val="0"/>
      <w:autoSpaceDN w:val="0"/>
      <w:adjustRightInd/>
      <w:spacing w:after="0" w:line="240" w:lineRule="auto"/>
      <w:jc w:val="center"/>
    </w:pPr>
    <w:rPr>
      <w:rFonts w:ascii="Times New Roman" w:hAnsi="Times New Roman"/>
      <w:b/>
      <w:bCs/>
      <w:sz w:val="24"/>
      <w:szCs w:val="24"/>
      <w:lang w:val="sk-SK" w:eastAsia="sk-SK"/>
    </w:rPr>
  </w:style>
  <w:style w:type="character" w:customStyle="1" w:styleId="NzovChar">
    <w:name w:val="Názov Char"/>
    <w:basedOn w:val="DefaultParagraphFont"/>
    <w:link w:val="Title"/>
    <w:uiPriority w:val="10"/>
    <w:locked/>
    <w:rsid w:val="00CF0A3A"/>
    <w:rPr>
      <w:rFonts w:ascii="Times New Roman" w:hAnsi="Times New Roman" w:cs="Times New Roman"/>
      <w:b/>
      <w:bCs/>
      <w:sz w:val="24"/>
      <w:szCs w:val="24"/>
      <w:rtl w:val="0"/>
      <w:cs w:val="0"/>
      <w:lang w:val="x-none" w:eastAsia="sk-SK"/>
    </w:rPr>
  </w:style>
  <w:style w:type="paragraph" w:customStyle="1" w:styleId="Zkladntext0">
    <w:name w:val="Zkladn text"/>
    <w:rsid w:val="00CF0A3A"/>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basedOn w:val="DefaultParagraphFont"/>
    <w:rsid w:val="00CF0A3A"/>
    <w:rPr>
      <w:rFonts w:cs="Times New Roman"/>
      <w:b/>
      <w:bCs/>
      <w:sz w:val="24"/>
      <w:szCs w:val="24"/>
      <w:rtl w:val="0"/>
      <w:cs w:val="0"/>
      <w:lang w:val="sk-SK" w:eastAsia="sk-SK" w:bidi="ar-SA"/>
    </w:rPr>
  </w:style>
  <w:style w:type="paragraph" w:styleId="NormalWeb">
    <w:name w:val="Normal (Web)"/>
    <w:aliases w:val="webb"/>
    <w:basedOn w:val="Normal"/>
    <w:uiPriority w:val="99"/>
    <w:rsid w:val="00CF0A3A"/>
    <w:pPr>
      <w:widowControl/>
      <w:adjustRightInd/>
      <w:spacing w:before="100" w:beforeAutospacing="1" w:after="100" w:afterAutospacing="1" w:line="240" w:lineRule="auto"/>
      <w:jc w:val="left"/>
    </w:pPr>
    <w:rPr>
      <w:rFonts w:ascii="Times New Roman" w:hAnsi="Times New Roman"/>
      <w:sz w:val="24"/>
      <w:szCs w:val="24"/>
      <w:lang w:val="sk-SK" w:eastAsia="sk-SK"/>
    </w:rPr>
  </w:style>
  <w:style w:type="paragraph" w:styleId="BodyTextIndent3">
    <w:name w:val="Body Text Indent 3"/>
    <w:basedOn w:val="Normal"/>
    <w:link w:val="Zarkazkladnhotextu3Char"/>
    <w:uiPriority w:val="99"/>
    <w:semiHidden/>
    <w:unhideWhenUsed/>
    <w:rsid w:val="009C2F33"/>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9C2F33"/>
    <w:rPr>
      <w:rFonts w:ascii="Calibri" w:hAnsi="Calibri" w:cs="Times New Roman"/>
      <w:sz w:val="16"/>
      <w:szCs w:val="16"/>
      <w:rtl w:val="0"/>
      <w:cs w:val="0"/>
      <w:lang w:val="en-US" w:eastAsia="x-none"/>
    </w:rPr>
  </w:style>
  <w:style w:type="paragraph" w:styleId="Header">
    <w:name w:val="header"/>
    <w:basedOn w:val="Normal"/>
    <w:link w:val="HlavikaChar"/>
    <w:uiPriority w:val="99"/>
    <w:unhideWhenUsed/>
    <w:rsid w:val="00010C9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10C9D"/>
    <w:rPr>
      <w:rFonts w:ascii="Calibri" w:hAnsi="Calibri" w:cs="Times New Roman"/>
      <w:rtl w:val="0"/>
      <w:cs w:val="0"/>
      <w:lang w:val="en-US" w:eastAsia="x-none"/>
    </w:rPr>
  </w:style>
  <w:style w:type="paragraph" w:styleId="Footer">
    <w:name w:val="footer"/>
    <w:basedOn w:val="Normal"/>
    <w:link w:val="PtaChar"/>
    <w:uiPriority w:val="99"/>
    <w:unhideWhenUsed/>
    <w:rsid w:val="00010C9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10C9D"/>
    <w:rPr>
      <w:rFonts w:ascii="Calibri" w:hAnsi="Calibri" w:cs="Times New Roman"/>
      <w:rtl w:val="0"/>
      <w:cs w:val="0"/>
      <w:lang w:val="en-US" w:eastAsia="x-none"/>
    </w:rPr>
  </w:style>
  <w:style w:type="paragraph" w:styleId="BodyText">
    <w:name w:val="Body Text"/>
    <w:basedOn w:val="Normal"/>
    <w:link w:val="ZkladntextChar"/>
    <w:uiPriority w:val="99"/>
    <w:rsid w:val="00094059"/>
    <w:pPr>
      <w:widowControl/>
      <w:adjustRightInd/>
      <w:spacing w:after="120" w:line="240" w:lineRule="auto"/>
      <w:jc w:val="left"/>
    </w:pPr>
    <w:rPr>
      <w:rFonts w:ascii="Times New Roman" w:hAnsi="Times New Roman"/>
      <w:sz w:val="24"/>
      <w:szCs w:val="24"/>
      <w:lang w:val="sk-SK"/>
    </w:rPr>
  </w:style>
  <w:style w:type="character" w:customStyle="1" w:styleId="ZkladntextChar">
    <w:name w:val="Základný text Char"/>
    <w:basedOn w:val="DefaultParagraphFont"/>
    <w:link w:val="BodyText"/>
    <w:uiPriority w:val="99"/>
    <w:locked/>
    <w:rsid w:val="00094059"/>
    <w:rPr>
      <w:rFonts w:ascii="Times New Roman" w:hAnsi="Times New Roman" w:cs="Times New Roman"/>
      <w:sz w:val="24"/>
      <w:szCs w:val="24"/>
      <w:rtl w:val="0"/>
      <w:cs w:val="0"/>
    </w:rPr>
  </w:style>
  <w:style w:type="character" w:styleId="Emphasis">
    <w:name w:val="Emphasis"/>
    <w:basedOn w:val="DefaultParagraphFont"/>
    <w:uiPriority w:val="20"/>
    <w:qFormat/>
    <w:rsid w:val="00094059"/>
    <w:rPr>
      <w:rFonts w:cs="Times New Roman"/>
      <w:i/>
      <w:rtl w:val="0"/>
      <w:cs w:val="0"/>
    </w:rPr>
  </w:style>
  <w:style w:type="paragraph" w:customStyle="1" w:styleId="c02alineaalta">
    <w:name w:val="c02alineaalta"/>
    <w:basedOn w:val="Normal"/>
    <w:rsid w:val="00094059"/>
    <w:pPr>
      <w:widowControl/>
      <w:adjustRightInd/>
      <w:spacing w:after="240" w:line="240" w:lineRule="auto"/>
      <w:ind w:left="567"/>
      <w:jc w:val="both"/>
    </w:pPr>
    <w:rPr>
      <w:rFonts w:ascii="Arial" w:hAnsi="Arial" w:cs="Arial"/>
      <w:lang w:val="sk-SK" w:eastAsia="sk-SK"/>
    </w:rPr>
  </w:style>
  <w:style w:type="paragraph" w:styleId="BodyText2">
    <w:name w:val="Body Text 2"/>
    <w:basedOn w:val="Normal"/>
    <w:link w:val="Zkladntext2Char"/>
    <w:uiPriority w:val="99"/>
    <w:rsid w:val="0060639F"/>
    <w:pPr>
      <w:widowControl/>
      <w:adjustRightInd/>
      <w:spacing w:after="120" w:line="480" w:lineRule="auto"/>
      <w:jc w:val="left"/>
    </w:pPr>
    <w:rPr>
      <w:rFonts w:ascii="Times New Roman" w:hAnsi="Times New Roman"/>
      <w:sz w:val="24"/>
      <w:szCs w:val="24"/>
      <w:lang w:val="sk-SK" w:eastAsia="sk-SK"/>
    </w:rPr>
  </w:style>
  <w:style w:type="character" w:customStyle="1" w:styleId="Zkladntext2Char">
    <w:name w:val="Základný text 2 Char"/>
    <w:basedOn w:val="DefaultParagraphFont"/>
    <w:link w:val="BodyText2"/>
    <w:uiPriority w:val="99"/>
    <w:locked/>
    <w:rsid w:val="0060639F"/>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D12AE-6575-4714-8552-F2B660F7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125</TotalTime>
  <Pages>15</Pages>
  <Words>4003</Words>
  <Characters>22819</Characters>
  <Application>Microsoft Office Word</Application>
  <DocSecurity>0</DocSecurity>
  <Lines>0</Lines>
  <Paragraphs>0</Paragraphs>
  <ScaleCrop>false</ScaleCrop>
  <Company/>
  <LinksUpToDate>false</LinksUpToDate>
  <CharactersWithSpaces>26769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Fulopova Jana</dc:creator>
  <cp:lastModifiedBy>Fulopova Jana</cp:lastModifiedBy>
  <cp:revision>6</cp:revision>
  <cp:lastPrinted>2014-08-20T13:42:00Z</cp:lastPrinted>
  <dcterms:created xsi:type="dcterms:W3CDTF">2014-08-13T13:00:00Z</dcterms:created>
  <dcterms:modified xsi:type="dcterms:W3CDTF">2014-08-20T14:02:00Z</dcterms:modified>
</cp:coreProperties>
</file>