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EB5" w:rsidRPr="006A72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b/>
          <w:bCs/>
        </w:rPr>
        <w:t> </w:t>
      </w:r>
    </w:p>
    <w:p w:rsidR="00596EB5" w:rsidRPr="00DC0C93" w:rsidP="00482EFC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DC0C93">
        <w:rPr>
          <w:rFonts w:ascii="Times New Roman" w:hAnsi="Times New Roman"/>
          <w:b/>
          <w:bCs/>
          <w:sz w:val="26"/>
          <w:szCs w:val="26"/>
        </w:rPr>
        <w:t>Vplyvy na rozpočet verejnej správy,</w:t>
      </w:r>
    </w:p>
    <w:p w:rsidR="00596EB5" w:rsidRPr="00DC0C93" w:rsidP="00482EFC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DC0C93">
        <w:rPr>
          <w:rFonts w:ascii="Times New Roman" w:hAnsi="Times New Roman"/>
          <w:b/>
          <w:bCs/>
          <w:sz w:val="26"/>
          <w:szCs w:val="26"/>
        </w:rPr>
        <w:t>na zamestnanosť vo verejnej správe a financovanie návrhu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20C9F" w:rsidP="00482EFC">
      <w:pPr>
        <w:bidi w:val="0"/>
        <w:rPr>
          <w:rFonts w:ascii="Times New Roman" w:hAnsi="Times New Roman"/>
          <w:b/>
          <w:bCs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2.1. Zhrnutie vplyvov na rozpočet verejnej správy v</w:t>
      </w:r>
      <w:r>
        <w:rPr>
          <w:rFonts w:ascii="Times New Roman" w:hAnsi="Times New Roman"/>
          <w:b/>
          <w:bCs/>
        </w:rPr>
        <w:t> </w:t>
      </w:r>
      <w:r w:rsidRPr="004161A1">
        <w:rPr>
          <w:rFonts w:ascii="Times New Roman" w:hAnsi="Times New Roman"/>
          <w:b/>
          <w:bCs/>
        </w:rPr>
        <w:t>návrhu</w:t>
      </w:r>
    </w:p>
    <w:p w:rsidR="00596EB5" w:rsidP="00482EFC">
      <w:pPr>
        <w:bidi w:val="0"/>
        <w:rPr>
          <w:rFonts w:ascii="Times New Roman" w:hAnsi="Times New Roman"/>
        </w:rPr>
      </w:pPr>
    </w:p>
    <w:p w:rsidR="00420C9F" w:rsidP="00482EFC">
      <w:pPr>
        <w:bidi w:val="0"/>
        <w:jc w:val="both"/>
        <w:rPr>
          <w:rFonts w:ascii="Times New Roman" w:hAnsi="Times New Roman"/>
        </w:rPr>
      </w:pPr>
    </w:p>
    <w:p w:rsidR="00596EB5" w:rsidP="00482E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Vplyvy </w:t>
      </w:r>
      <w:r w:rsidR="00D27690">
        <w:rPr>
          <w:rFonts w:ascii="Times New Roman" w:hAnsi="Times New Roman"/>
        </w:rPr>
        <w:t xml:space="preserve">vládneho </w:t>
      </w:r>
      <w:r w:rsidR="00F332B0">
        <w:rPr>
          <w:rFonts w:ascii="Times New Roman" w:hAnsi="Times New Roman"/>
          <w:bCs/>
        </w:rPr>
        <w:t>n</w:t>
      </w:r>
      <w:r w:rsidRPr="006F6A35">
        <w:rPr>
          <w:rFonts w:ascii="Times New Roman" w:hAnsi="Times New Roman"/>
          <w:bCs/>
        </w:rPr>
        <w:t>ávrh</w:t>
      </w:r>
      <w:r>
        <w:rPr>
          <w:rFonts w:ascii="Times New Roman" w:hAnsi="Times New Roman"/>
          <w:bCs/>
        </w:rPr>
        <w:t>u</w:t>
      </w:r>
      <w:r w:rsidRPr="006F6A35">
        <w:rPr>
          <w:rFonts w:ascii="Times New Roman" w:hAnsi="Times New Roman"/>
          <w:bCs/>
        </w:rPr>
        <w:t xml:space="preserve"> zákona, ktorým sa mení a dopĺňa zákon č. 592/2006 Z. z. o poskytovaní vianočného príspevku niektorým poberateľom dôchodku a o doplnení niektorých zákonov v znení neskorších predpisov </w:t>
      </w:r>
      <w:r w:rsidRPr="001D179C" w:rsidR="001D179C">
        <w:rPr>
          <w:rFonts w:ascii="Times New Roman" w:hAnsi="Times New Roman"/>
          <w:bCs/>
        </w:rPr>
        <w:t>a ktorým sa mení a dopĺňa zákon č. 461/2003 Z. z. o sociálnom poistení v znení neskorších predpisov</w:t>
      </w:r>
      <w:r w:rsidR="001D179C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</w:rPr>
        <w:t xml:space="preserve">sa porovnávajú so schváleným rozpočtom kapitoly Ministerstva práce, sociálnych vecí a rodiny </w:t>
      </w:r>
      <w:r w:rsidR="00AB6C0B">
        <w:rPr>
          <w:rFonts w:ascii="Times New Roman" w:hAnsi="Times New Roman"/>
        </w:rPr>
        <w:t xml:space="preserve">Slovenskej republiky </w:t>
      </w:r>
      <w:r>
        <w:rPr>
          <w:rFonts w:ascii="Times New Roman" w:hAnsi="Times New Roman"/>
        </w:rPr>
        <w:t>na rok 2014</w:t>
      </w:r>
      <w:r w:rsidR="00F8676A">
        <w:rPr>
          <w:rFonts w:ascii="Times New Roman" w:hAnsi="Times New Roman"/>
        </w:rPr>
        <w:t>.</w:t>
      </w:r>
    </w:p>
    <w:p w:rsidR="00596EB5" w:rsidP="00482EFC">
      <w:pPr>
        <w:bidi w:val="0"/>
        <w:jc w:val="both"/>
        <w:rPr>
          <w:rFonts w:ascii="Times New Roman" w:hAnsi="Times New Roman"/>
        </w:rPr>
      </w:pPr>
    </w:p>
    <w:p w:rsidR="00420C9F" w:rsidP="00482EFC">
      <w:pPr>
        <w:bidi w:val="0"/>
        <w:jc w:val="both"/>
        <w:rPr>
          <w:rFonts w:ascii="Times New Roman" w:hAnsi="Times New Roman"/>
        </w:rPr>
      </w:pPr>
    </w:p>
    <w:p w:rsidR="00420C9F" w:rsidP="00482EFC">
      <w:pPr>
        <w:bidi w:val="0"/>
        <w:jc w:val="both"/>
        <w:rPr>
          <w:rFonts w:ascii="Times New Roman" w:hAnsi="Times New Roman"/>
        </w:rPr>
      </w:pPr>
    </w:p>
    <w:p w:rsidR="00596EB5" w:rsidRPr="00E854CD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4161A1">
        <w:rPr>
          <w:rFonts w:ascii="Times New Roman" w:hAnsi="Times New Roman"/>
          <w:sz w:val="20"/>
          <w:szCs w:val="20"/>
        </w:rPr>
        <w:t>Tabuľka č. 1</w:t>
      </w:r>
    </w:p>
    <w:tbl>
      <w:tblPr>
        <w:tblStyle w:val="TableNormal"/>
        <w:tblW w:w="9255" w:type="dxa"/>
        <w:tblInd w:w="55" w:type="dxa"/>
        <w:tblCellMar>
          <w:left w:w="70" w:type="dxa"/>
          <w:right w:w="70" w:type="dxa"/>
        </w:tblCellMar>
      </w:tblPr>
      <w:tblGrid>
        <w:gridCol w:w="3800"/>
        <w:gridCol w:w="1375"/>
        <w:gridCol w:w="1320"/>
        <w:gridCol w:w="1320"/>
        <w:gridCol w:w="1440"/>
      </w:tblGrid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bookmarkStart w:id="0" w:name="OLE_LINK1"/>
            <w:bookmarkEnd w:id="0"/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(v eur)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Štátny rozpočet (VPS)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F8676A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</w:rPr>
              <w:t>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EF4B3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Štátny rozpočet (MPSVR SR, podprogram 07C07 „Vianočný príspevok dôchodcom“)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EF4B3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10</w:t>
            </w:r>
            <w:r w:rsidRPr="006E7B70">
              <w:rPr>
                <w:rFonts w:ascii="Times New Roman" w:hAnsi="Times New Roman"/>
                <w:bCs/>
                <w:color w:val="000000"/>
              </w:rPr>
              <w:t> </w:t>
            </w: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  <w:r w:rsidRPr="006E7B70">
              <w:rPr>
                <w:rFonts w:ascii="Times New Roman" w:hAnsi="Times New Roman"/>
                <w:bCs/>
                <w:color w:val="000000"/>
              </w:rPr>
              <w:t>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F8676A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i/>
                <w:color w:val="000000"/>
              </w:rPr>
              <w:t>10 0</w:t>
            </w:r>
            <w:r w:rsidRPr="006E7B70">
              <w:rPr>
                <w:rFonts w:ascii="Times New Roman" w:hAnsi="Times New Roman"/>
                <w:b/>
                <w:bCs/>
                <w:i/>
                <w:color w:val="000000"/>
              </w:rPr>
              <w:t>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EF4B3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i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i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EF4B3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i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</w:tr>
    </w:tbl>
    <w:p w:rsidR="00596EB5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</w:rPr>
      </w:pPr>
    </w:p>
    <w:p w:rsidR="00420C9F" w:rsidP="00482EFC">
      <w:pPr>
        <w:bidi w:val="0"/>
        <w:rPr>
          <w:rFonts w:ascii="Times New Roman" w:hAnsi="Times New Roman"/>
        </w:rPr>
      </w:pPr>
    </w:p>
    <w:p w:rsidR="00420C9F" w:rsidP="00482EFC">
      <w:pPr>
        <w:bidi w:val="0"/>
        <w:rPr>
          <w:rFonts w:ascii="Times New Roman" w:hAnsi="Times New Roman"/>
        </w:rPr>
      </w:pPr>
    </w:p>
    <w:p w:rsidR="00420C9F" w:rsidP="00482EFC">
      <w:pPr>
        <w:bidi w:val="0"/>
        <w:rPr>
          <w:rFonts w:ascii="Times New Roman" w:hAnsi="Times New Roman"/>
        </w:rPr>
      </w:pPr>
    </w:p>
    <w:p w:rsidR="00420C9F" w:rsidP="00482EFC">
      <w:pPr>
        <w:bidi w:val="0"/>
        <w:rPr>
          <w:rFonts w:ascii="Times New Roman" w:hAnsi="Times New Roman"/>
        </w:rPr>
      </w:pPr>
    </w:p>
    <w:p w:rsidR="00420C9F" w:rsidP="00482EFC">
      <w:pPr>
        <w:bidi w:val="0"/>
        <w:rPr>
          <w:rFonts w:ascii="Times New Roman" w:hAnsi="Times New Roman"/>
        </w:rPr>
      </w:pPr>
    </w:p>
    <w:p w:rsidR="00420C9F" w:rsidP="00482EFC">
      <w:pPr>
        <w:bidi w:val="0"/>
        <w:rPr>
          <w:rFonts w:ascii="Times New Roman" w:hAnsi="Times New Roman"/>
        </w:rPr>
      </w:pPr>
    </w:p>
    <w:p w:rsidR="00420C9F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4161A1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255" w:type="dxa"/>
        <w:tblInd w:w="55" w:type="dxa"/>
        <w:tblCellMar>
          <w:left w:w="70" w:type="dxa"/>
          <w:right w:w="70" w:type="dxa"/>
        </w:tblCellMar>
      </w:tblPr>
      <w:tblGrid>
        <w:gridCol w:w="3820"/>
        <w:gridCol w:w="1355"/>
        <w:gridCol w:w="1320"/>
        <w:gridCol w:w="1320"/>
        <w:gridCol w:w="1440"/>
      </w:tblGrid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Financovanie (v eur)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Celkový vplyv na rozpočet verejnej správy (- príjmy, + výdavky)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10 0</w:t>
            </w:r>
            <w:r w:rsidRPr="00EF4B39">
              <w:rPr>
                <w:rFonts w:ascii="Times New Roman" w:hAnsi="Times New Roman"/>
                <w:b/>
                <w:bCs/>
                <w:color w:val="000000"/>
              </w:rPr>
              <w:t>00 000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AB6C0B">
            <w:pPr>
              <w:bidi w:val="0"/>
              <w:ind w:firstLine="48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 toho vplyv na ŠR (MPSVR SR, podprogram 07C07 „Vianočný príspevok dôchodcom“)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10 0</w:t>
            </w:r>
            <w:r w:rsidRPr="00EF4B39">
              <w:rPr>
                <w:rFonts w:ascii="Times New Roman" w:hAnsi="Times New Roman"/>
                <w:bCs/>
                <w:color w:val="000000"/>
              </w:rPr>
              <w:t>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financovanie zabezpečené v rozpočte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8C0D86">
              <w:rPr>
                <w:rFonts w:ascii="Times New Roman" w:hAnsi="Times New Roman"/>
                <w:color w:val="000000"/>
              </w:rPr>
              <w:t>10 000 00</w:t>
            </w:r>
            <w:r w:rsidR="00F8676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ostatné zdroje financovania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F8676A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8C0D8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 úspora má znamienko (-)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596EB5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</w:t>
      </w:r>
      <w:r>
        <w:rPr>
          <w:rFonts w:ascii="Times New Roman" w:hAnsi="Times New Roman"/>
          <w:b/>
          <w:bCs/>
        </w:rPr>
        <w:t> rozpoč</w:t>
      </w:r>
      <w:r w:rsidRPr="004161A1">
        <w:rPr>
          <w:rFonts w:ascii="Times New Roman" w:hAnsi="Times New Roman"/>
          <w:b/>
          <w:bCs/>
        </w:rPr>
        <w:t>tových pravidlách verejnej správy:</w:t>
      </w:r>
    </w:p>
    <w:p w:rsidR="00596EB5" w:rsidRPr="00456164" w:rsidP="006053F5">
      <w:pPr>
        <w:bidi w:val="0"/>
        <w:jc w:val="both"/>
        <w:rPr>
          <w:rFonts w:ascii="Times New Roman" w:hAnsi="Times New Roman"/>
          <w:b/>
          <w:bCs/>
        </w:rPr>
      </w:pPr>
    </w:p>
    <w:p w:rsidR="00F8676A" w:rsidP="006053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Zvýšené výdavky vyplývajúce z jednorazového zvýšenia sumy vianočného príspevku budú finančne kryté v rámci schválených limitov štátneho rozpočtu na rok 2014.</w:t>
      </w:r>
    </w:p>
    <w:p w:rsidR="00596EB5" w:rsidP="00482E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</w:p>
    <w:p w:rsidR="00596EB5" w:rsidP="00482EF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96EB5" w:rsidP="00482EFC">
      <w:pPr>
        <w:bidi w:val="0"/>
        <w:jc w:val="both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596EB5" w:rsidP="00482EFC">
      <w:pPr>
        <w:bidi w:val="0"/>
        <w:jc w:val="both"/>
        <w:rPr>
          <w:rFonts w:ascii="Times New Roman" w:hAnsi="Times New Roman"/>
        </w:rPr>
      </w:pPr>
    </w:p>
    <w:p w:rsidR="00596EB5" w:rsidP="00482EFC">
      <w:pPr>
        <w:bidi w:val="0"/>
        <w:jc w:val="both"/>
        <w:rPr>
          <w:rFonts w:ascii="Times New Roman" w:hAnsi="Times New Roman"/>
          <w:bCs/>
        </w:rPr>
      </w:pPr>
      <w:r w:rsidR="00D27690">
        <w:rPr>
          <w:rFonts w:ascii="Times New Roman" w:hAnsi="Times New Roman"/>
          <w:bCs/>
        </w:rPr>
        <w:t>Vládny n</w:t>
      </w:r>
      <w:r w:rsidRPr="006F6A35">
        <w:rPr>
          <w:rFonts w:ascii="Times New Roman" w:hAnsi="Times New Roman"/>
          <w:bCs/>
        </w:rPr>
        <w:t>ávrh zákona, ktorým sa mení a dopĺňa zákon č. 592/2006 Z. z. o poskytovaní vianočného príspevku niektorým poberateľom dôchodku a o doplnení niektorých zákonov v znení neskorších predpisov</w:t>
      </w:r>
      <w:r>
        <w:rPr>
          <w:rFonts w:ascii="Times New Roman" w:hAnsi="Times New Roman"/>
          <w:bCs/>
        </w:rPr>
        <w:t xml:space="preserve"> </w:t>
      </w:r>
      <w:r w:rsidRPr="00E140E5" w:rsidR="00E140E5">
        <w:rPr>
          <w:rFonts w:ascii="Times New Roman" w:hAnsi="Times New Roman"/>
          <w:bCs/>
        </w:rPr>
        <w:t>a ktorým sa mení a dopĺňa zákon č. 461/2003 Z. z. o sociálnom poistení v znení neskorších predpisov</w:t>
      </w:r>
      <w:r w:rsidR="00E140E5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</w:rPr>
        <w:t>navrhuje nasledovn</w:t>
      </w:r>
      <w:r w:rsidR="00A72C52">
        <w:rPr>
          <w:rFonts w:ascii="Times New Roman" w:hAnsi="Times New Roman"/>
          <w:bCs/>
        </w:rPr>
        <w:t>á</w:t>
      </w:r>
      <w:r w:rsidR="00F8676A">
        <w:rPr>
          <w:rFonts w:ascii="Times New Roman" w:hAnsi="Times New Roman"/>
          <w:bCs/>
        </w:rPr>
        <w:t xml:space="preserve"> zmen</w:t>
      </w:r>
      <w:r w:rsidR="00A72C52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:</w:t>
      </w:r>
    </w:p>
    <w:p w:rsidR="00596EB5" w:rsidP="00482EFC">
      <w:pPr>
        <w:pStyle w:val="ListParagraph"/>
        <w:numPr>
          <w:numId w:val="3"/>
        </w:numPr>
        <w:bidi w:val="0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jednorazové zvýšenie sumy vianočného príspevku v roku 2014 o 12,74 eura pre poberateľov vianočného príspevku s dôchodkom, resp. úhrnom súm dôchodk</w:t>
      </w:r>
      <w:r w:rsidR="00C7728D">
        <w:rPr>
          <w:rFonts w:ascii="Times New Roman" w:hAnsi="Times New Roman"/>
          <w:b/>
          <w:bCs/>
        </w:rPr>
        <w:t>ov</w:t>
      </w:r>
      <w:r>
        <w:rPr>
          <w:rFonts w:ascii="Times New Roman" w:hAnsi="Times New Roman"/>
          <w:b/>
          <w:bCs/>
        </w:rPr>
        <w:t xml:space="preserve"> do výšky (vrátane) 2 násobku sumy životného minima pre jednu plnoletú fyzickú osobu.</w:t>
      </w:r>
    </w:p>
    <w:p w:rsidR="00596EB5" w:rsidP="00482EFC">
      <w:pPr>
        <w:bidi w:val="0"/>
        <w:jc w:val="both"/>
        <w:rPr>
          <w:rFonts w:ascii="Times New Roman" w:hAnsi="Times New Roman"/>
          <w:bCs/>
        </w:rPr>
      </w:pPr>
    </w:p>
    <w:p w:rsidR="00596EB5" w:rsidP="00482EF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2.3.2. Charakteristika náv</w:t>
      </w:r>
      <w:r>
        <w:rPr>
          <w:rFonts w:ascii="Times New Roman" w:hAnsi="Times New Roman"/>
          <w:b/>
          <w:bCs/>
        </w:rPr>
        <w:t>rhu podľa bodu 2.3.2. Metodiky</w:t>
      </w:r>
      <w:r w:rsidRPr="004161A1">
        <w:rPr>
          <w:rFonts w:ascii="Times New Roman" w:hAnsi="Times New Roman"/>
          <w:b/>
          <w:bCs/>
        </w:rPr>
        <w:t>: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96EB5" w:rsidRPr="00DD4F96" w:rsidP="00482EF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bdr w:val="single" w:sz="4" w:space="0" w:color="000000" w:frame="1"/>
        </w:rPr>
        <w:t>  </w:t>
      </w:r>
      <w:r>
        <w:rPr>
          <w:rFonts w:ascii="Times New Roman" w:hAnsi="Times New Roman"/>
          <w:b/>
          <w:bCs/>
          <w:bdr w:val="single" w:sz="4" w:space="0" w:color="000000" w:frame="1"/>
        </w:rPr>
        <w:t xml:space="preserve"> </w:t>
      </w:r>
      <w:r w:rsidRPr="004161A1">
        <w:rPr>
          <w:rFonts w:ascii="Times New Roman" w:hAnsi="Times New Roman"/>
          <w:b/>
          <w:bCs/>
          <w:bdr w:val="single" w:sz="4" w:space="0" w:color="000000" w:frame="1"/>
        </w:rPr>
        <w:t xml:space="preserve">  </w:t>
      </w:r>
      <w:r w:rsidRPr="004161A1">
        <w:rPr>
          <w:rFonts w:ascii="Times New Roman" w:hAnsi="Times New Roman"/>
          <w:b/>
          <w:bCs/>
        </w:rPr>
        <w:t xml:space="preserve">  </w:t>
      </w:r>
      <w:r w:rsidRPr="00DD4F96">
        <w:rPr>
          <w:rFonts w:ascii="Times New Roman" w:hAnsi="Times New Roman"/>
        </w:rPr>
        <w:t>zmena sadzby</w:t>
      </w:r>
    </w:p>
    <w:p w:rsidR="00596EB5" w:rsidP="00482EFC">
      <w:pPr>
        <w:bidi w:val="0"/>
        <w:rPr>
          <w:rFonts w:ascii="Times New Roman" w:hAnsi="Times New Roman"/>
        </w:rPr>
      </w:pPr>
      <w:r w:rsidR="00A72C52">
        <w:rPr>
          <w:rFonts w:ascii="Times New Roman" w:hAnsi="Times New Roman"/>
          <w:bdr w:val="single" w:sz="4" w:space="0" w:color="000000" w:frame="1"/>
        </w:rPr>
        <w:t xml:space="preserve"> X</w:t>
      </w:r>
      <w:r>
        <w:rPr>
          <w:rFonts w:ascii="Times New Roman" w:hAnsi="Times New Roman"/>
          <w:bdr w:val="single" w:sz="4" w:space="0" w:color="000000" w:frame="1"/>
        </w:rPr>
        <w:t> </w:t>
      </w:r>
      <w:r w:rsidRPr="00DD4F96">
        <w:rPr>
          <w:rFonts w:ascii="Times New Roman" w:hAnsi="Times New Roman"/>
        </w:rPr>
        <w:t>  zmena v nároku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> </w:t>
      </w:r>
      <w:r w:rsidR="00A72C52">
        <w:rPr>
          <w:rFonts w:ascii="Times New Roman" w:hAnsi="Times New Roman"/>
          <w:bdr w:val="single" w:sz="4" w:space="0" w:color="000000" w:frame="1"/>
        </w:rPr>
        <w:t xml:space="preserve">    </w:t>
      </w:r>
      <w:r>
        <w:rPr>
          <w:rFonts w:ascii="Times New Roman" w:hAnsi="Times New Roman"/>
        </w:rPr>
        <w:t>  nová služba alebo nariadenie (alebo ich zrušenie)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> </w:t>
      </w:r>
      <w:r w:rsidR="00F8676A">
        <w:rPr>
          <w:rFonts w:ascii="Times New Roman" w:hAnsi="Times New Roman"/>
          <w:bdr w:val="single" w:sz="4" w:space="0" w:color="000000" w:frame="1"/>
        </w:rPr>
        <w:t xml:space="preserve">   </w:t>
      </w:r>
      <w:r>
        <w:rPr>
          <w:rFonts w:ascii="Times New Roman" w:hAnsi="Times New Roman"/>
          <w:bdr w:val="single" w:sz="4" w:space="0" w:color="000000" w:frame="1"/>
        </w:rPr>
        <w:t> </w:t>
      </w:r>
      <w:r>
        <w:rPr>
          <w:rFonts w:ascii="Times New Roman" w:hAnsi="Times New Roman"/>
        </w:rPr>
        <w:t>  kombinovaný návrh (zmena sadzieb, zmena vymeriavacích základov a zmena nároku)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 xml:space="preserve">  iné </w:t>
      </w:r>
    </w:p>
    <w:p w:rsidR="00596EB5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596EB5" w:rsidP="00482EFC">
      <w:pPr>
        <w:bidi w:val="0"/>
        <w:rPr>
          <w:rFonts w:ascii="Times New Roman" w:hAnsi="Times New Roman"/>
        </w:rPr>
      </w:pPr>
    </w:p>
    <w:p w:rsidR="00596EB5" w:rsidRPr="006053F5" w:rsidP="00482EFC">
      <w:pPr>
        <w:bidi w:val="0"/>
        <w:jc w:val="both"/>
        <w:rPr>
          <w:rFonts w:ascii="Times New Roman" w:hAnsi="Times New Roman"/>
          <w:color w:val="000000"/>
        </w:rPr>
      </w:pPr>
      <w:r w:rsidRPr="006053F5">
        <w:rPr>
          <w:rFonts w:ascii="Times New Roman" w:hAnsi="Times New Roman"/>
          <w:color w:val="000000"/>
        </w:rPr>
        <w:t xml:space="preserve">Navrhované zmeny si vyžiadajú zmenu informačného systému Sociálnej poisťovne, ktorá ich zabezpečí vlastnými riešiteľskými kapacitami. </w:t>
      </w:r>
    </w:p>
    <w:p w:rsidR="00596EB5" w:rsidP="00482EFC">
      <w:pPr>
        <w:bidi w:val="0"/>
        <w:jc w:val="both"/>
        <w:rPr>
          <w:rFonts w:ascii="Times New Roman" w:hAnsi="Times New Roman"/>
        </w:rPr>
      </w:pPr>
    </w:p>
    <w:p w:rsidR="00420C9F" w:rsidP="00482EFC">
      <w:pPr>
        <w:bidi w:val="0"/>
        <w:jc w:val="both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596EB5" w:rsidP="00482EFC">
      <w:pPr>
        <w:bidi w:val="0"/>
        <w:jc w:val="both"/>
        <w:rPr>
          <w:rFonts w:ascii="Times New Roman" w:hAnsi="Times New Roman"/>
          <w:b/>
        </w:rPr>
      </w:pPr>
      <w:r w:rsidR="00D27690">
        <w:rPr>
          <w:rFonts w:ascii="Times New Roman" w:hAnsi="Times New Roman"/>
          <w:bCs/>
        </w:rPr>
        <w:t>Vládny n</w:t>
      </w:r>
      <w:r w:rsidRPr="006F6A35">
        <w:rPr>
          <w:rFonts w:ascii="Times New Roman" w:hAnsi="Times New Roman"/>
          <w:bCs/>
        </w:rPr>
        <w:t>ávrh zákona, ktorým sa mení a dopĺňa zákon č. 592/2006 Z. z. o poskytovaní vianočného príspevku niektorým poberateľom dôchodku a o doplnení niektorých zákonov v znení neskorších predpisov</w:t>
      </w:r>
      <w:r w:rsidR="005949E3">
        <w:rPr>
          <w:rFonts w:ascii="Times New Roman" w:hAnsi="Times New Roman"/>
          <w:bCs/>
        </w:rPr>
        <w:t xml:space="preserve"> </w:t>
      </w:r>
      <w:r w:rsidRPr="005949E3" w:rsidR="005949E3">
        <w:rPr>
          <w:rFonts w:ascii="Times New Roman" w:hAnsi="Times New Roman"/>
          <w:bCs/>
        </w:rPr>
        <w:t>a ktorým sa mení a dopĺňa zákon č. 461/2003 Z. z. o sociálnom poistení v znení neskorších predpisov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má priamy vplyv na štátny rozpočet v roku 2014</w:t>
      </w:r>
      <w:r w:rsidR="000E4DF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Jednorazové zvýšenie sumy vianočného príspevku sa bude týkať približne 784 790 dôchodcov. </w:t>
      </w:r>
      <w:r w:rsidRPr="00D27690" w:rsidR="00D27690">
        <w:rPr>
          <w:rFonts w:ascii="Times New Roman" w:hAnsi="Times New Roman"/>
          <w:b/>
        </w:rPr>
        <w:t>Vládny n</w:t>
      </w:r>
      <w:r w:rsidRPr="001F152A">
        <w:rPr>
          <w:rFonts w:ascii="Times New Roman" w:hAnsi="Times New Roman"/>
          <w:b/>
          <w:bCs/>
        </w:rPr>
        <w:t>ávrh zákona, ktorým sa mení a dopĺňa zákon č. 592/2006 Z. z. o poskytovaní vianočného príspevku niektorým poberateľom dôchodku a o doplnení niektorých zákonov v znení neskorších predpisov</w:t>
      </w:r>
      <w:r w:rsidR="00C7728D">
        <w:rPr>
          <w:rFonts w:ascii="Times New Roman" w:hAnsi="Times New Roman"/>
          <w:b/>
          <w:bCs/>
        </w:rPr>
        <w:t xml:space="preserve"> </w:t>
      </w:r>
      <w:r w:rsidRPr="00C7728D" w:rsidR="00C7728D">
        <w:rPr>
          <w:rFonts w:ascii="Times New Roman" w:hAnsi="Times New Roman"/>
          <w:b/>
          <w:bCs/>
        </w:rPr>
        <w:t>a ktorým sa mení a dopĺňa zákon č. 461/2003 Z. z. o sociálnom poistení v znení neskorších predpisov</w:t>
      </w:r>
      <w:r>
        <w:rPr>
          <w:rFonts w:ascii="Times New Roman" w:hAnsi="Times New Roman"/>
          <w:b/>
        </w:rPr>
        <w:t xml:space="preserve"> predpokladá výdavky štátneho rozpočtu v roku 2014 </w:t>
      </w:r>
      <w:r w:rsidR="00BF7A91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>objeme </w:t>
      </w:r>
      <w:r w:rsidRPr="001E0EBC">
        <w:rPr>
          <w:rFonts w:ascii="Times New Roman" w:hAnsi="Times New Roman"/>
          <w:b/>
        </w:rPr>
        <w:t xml:space="preserve">cca </w:t>
      </w:r>
      <w:r>
        <w:rPr>
          <w:rFonts w:ascii="Times New Roman" w:hAnsi="Times New Roman"/>
          <w:b/>
        </w:rPr>
        <w:t>1</w:t>
      </w:r>
      <w:r w:rsidR="000E4DF4">
        <w:rPr>
          <w:rFonts w:ascii="Times New Roman" w:hAnsi="Times New Roman"/>
          <w:b/>
        </w:rPr>
        <w:t>0</w:t>
      </w:r>
      <w:r w:rsidRPr="001E0EBC">
        <w:rPr>
          <w:rFonts w:ascii="Times New Roman" w:hAnsi="Times New Roman"/>
          <w:b/>
        </w:rPr>
        <w:t xml:space="preserve"> mil. eur</w:t>
      </w:r>
      <w:r w:rsidR="000E4DF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 </w:t>
      </w:r>
      <w:r w:rsidR="000E4DF4">
        <w:rPr>
          <w:rFonts w:ascii="Times New Roman" w:hAnsi="Times New Roman"/>
          <w:b/>
        </w:rPr>
        <w:t>Zvýšené výdavky vyplývajúce z návrhu zákona týkajúce sa jednorazového zvýšenia sumy vianočného príspevku budú finančne kryté v rámci schválených limitov štátneho rozpočtu na rok 2014.</w:t>
      </w:r>
    </w:p>
    <w:p w:rsidR="00596EB5" w:rsidP="00482EFC">
      <w:pPr>
        <w:bidi w:val="0"/>
        <w:jc w:val="both"/>
        <w:rPr>
          <w:rFonts w:ascii="Times New Roman" w:hAnsi="Times New Roman"/>
          <w:b/>
        </w:rPr>
      </w:pPr>
    </w:p>
    <w:p w:rsidR="00596EB5" w:rsidRPr="0058320D" w:rsidP="00482EFC">
      <w:pPr>
        <w:bidi w:val="0"/>
        <w:jc w:val="both"/>
        <w:rPr>
          <w:rFonts w:ascii="Times New Roman" w:hAnsi="Times New Roman"/>
        </w:rPr>
      </w:pPr>
      <w:r w:rsidRPr="0058320D">
        <w:rPr>
          <w:rFonts w:ascii="Times New Roman" w:hAnsi="Times New Roman"/>
        </w:rPr>
        <w:t>Predmetný</w:t>
      </w:r>
      <w:r w:rsidR="00D27690">
        <w:rPr>
          <w:rFonts w:ascii="Times New Roman" w:hAnsi="Times New Roman"/>
        </w:rPr>
        <w:t xml:space="preserve"> vládny</w:t>
      </w:r>
      <w:r w:rsidRPr="0058320D">
        <w:rPr>
          <w:rFonts w:ascii="Times New Roman" w:hAnsi="Times New Roman"/>
        </w:rPr>
        <w:t xml:space="preserve"> </w:t>
      </w:r>
      <w:r w:rsidR="00BF7A91">
        <w:rPr>
          <w:rFonts w:ascii="Times New Roman" w:hAnsi="Times New Roman"/>
        </w:rPr>
        <w:t>n</w:t>
      </w:r>
      <w:r w:rsidRPr="006F6A35">
        <w:rPr>
          <w:rFonts w:ascii="Times New Roman" w:hAnsi="Times New Roman"/>
          <w:bCs/>
        </w:rPr>
        <w:t>ávrh zákona, ktorým sa mení a dopĺňa zákon č. 592/2006 Z. z. o poskytovaní vianočného príspevku niektorým poberateľom dôchodku a o doplnení niektorých zákonov v znení neskorších predpisov</w:t>
      </w:r>
      <w:r>
        <w:rPr>
          <w:rFonts w:ascii="Times New Roman" w:hAnsi="Times New Roman"/>
          <w:bCs/>
        </w:rPr>
        <w:t xml:space="preserve"> </w:t>
      </w:r>
      <w:r w:rsidRPr="005949E3" w:rsidR="005949E3">
        <w:rPr>
          <w:rFonts w:ascii="Times New Roman" w:hAnsi="Times New Roman"/>
          <w:bCs/>
        </w:rPr>
        <w:t>a ktorým sa mení a dopĺňa zákon č. 461/2003 Z. z. o sociálnom poistení v znení neskorších predpisov</w:t>
      </w:r>
      <w:r w:rsidR="005949E3">
        <w:rPr>
          <w:rFonts w:ascii="Times New Roman" w:hAnsi="Times New Roman"/>
          <w:bCs/>
          <w:i/>
        </w:rPr>
        <w:t xml:space="preserve"> </w:t>
      </w:r>
      <w:r w:rsidRPr="00474688">
        <w:rPr>
          <w:rFonts w:ascii="Times New Roman" w:hAnsi="Times New Roman"/>
        </w:rPr>
        <w:t>nemá</w:t>
      </w:r>
      <w:r w:rsidRPr="0058320D">
        <w:rPr>
          <w:rFonts w:ascii="Times New Roman" w:hAnsi="Times New Roman"/>
        </w:rPr>
        <w:t xml:space="preserve"> vplyv na rozpočet Sociálnej poisťovne.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596EB5" w:rsidRPr="00904741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904741">
        <w:rPr>
          <w:rFonts w:ascii="Times New Roman" w:hAnsi="Times New Roman"/>
          <w:b/>
          <w:szCs w:val="22"/>
        </w:rPr>
        <w:t>Kvantifikácia príjmov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596EB5" w:rsidRPr="00266103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Predmetný </w:t>
      </w:r>
      <w:r w:rsidR="00D27690">
        <w:rPr>
          <w:rFonts w:ascii="Times New Roman" w:hAnsi="Times New Roman"/>
          <w:szCs w:val="22"/>
        </w:rPr>
        <w:t xml:space="preserve">vládny </w:t>
      </w:r>
      <w:r w:rsidR="00BF7A91">
        <w:rPr>
          <w:rFonts w:ascii="Times New Roman" w:hAnsi="Times New Roman"/>
          <w:bCs/>
        </w:rPr>
        <w:t>n</w:t>
      </w:r>
      <w:r w:rsidRPr="006F6A35">
        <w:rPr>
          <w:rFonts w:ascii="Times New Roman" w:hAnsi="Times New Roman"/>
          <w:bCs/>
        </w:rPr>
        <w:t>ávrh zákona, ktorým sa mení a dopĺňa zákon č. 592/2006 Z. z. o poskytovaní vianočného príspevku niektorým poberateľom dôchodku a o doplnení niektorých zákonov v znení neskorších predpisov</w:t>
      </w:r>
      <w:r>
        <w:rPr>
          <w:rFonts w:ascii="Times New Roman" w:hAnsi="Times New Roman"/>
          <w:szCs w:val="22"/>
        </w:rPr>
        <w:t xml:space="preserve"> </w:t>
      </w:r>
      <w:r w:rsidRPr="005949E3" w:rsidR="005949E3">
        <w:rPr>
          <w:rFonts w:ascii="Times New Roman" w:hAnsi="Times New Roman"/>
          <w:bCs/>
        </w:rPr>
        <w:t>a ktorým sa mení a dopĺňa zákon č. 461/2003 Z. z. o sociálnom poistení v znení neskorších predpisov</w:t>
      </w:r>
      <w:r w:rsidR="005949E3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szCs w:val="22"/>
        </w:rPr>
        <w:t>nemá vplyv na príjmy Sociálnej poisťovne, ani na príjmy štátneho rozpočtu (nezvyšuje ich, ale ani ich neznižuje).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596EB5" w:rsidRPr="00472DEB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DB3322">
        <w:rPr>
          <w:rFonts w:ascii="Times New Roman" w:hAnsi="Times New Roman"/>
          <w:b/>
          <w:szCs w:val="22"/>
        </w:rPr>
        <w:t>Kvantifikácia výdavkov</w:t>
      </w:r>
    </w:p>
    <w:p w:rsidR="00596EB5" w:rsidP="00482EFC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szCs w:val="22"/>
        </w:rPr>
      </w:pPr>
    </w:p>
    <w:p w:rsidR="00596EB5" w:rsidP="00482E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 kvantifikácii výdavkov za poberateľov dôchodkov vyplácaných Sociálnou poisťovňou boli použité údaje o počtoch a výškach relevantných druhov </w:t>
      </w:r>
      <w:r w:rsidRPr="0058320D">
        <w:rPr>
          <w:rFonts w:ascii="Times New Roman" w:hAnsi="Times New Roman"/>
        </w:rPr>
        <w:t>d</w:t>
      </w:r>
      <w:r>
        <w:rPr>
          <w:rFonts w:ascii="Times New Roman" w:hAnsi="Times New Roman"/>
        </w:rPr>
        <w:t>ôchodkov k  30. júnu 2014</w:t>
      </w:r>
      <w:r w:rsidR="00BF7A91">
        <w:rPr>
          <w:rFonts w:ascii="Times New Roman" w:hAnsi="Times New Roman"/>
        </w:rPr>
        <w:t>. Počet osôb dotknutých jednorazovým zvýšením sumy vianočného príspevku bo</w:t>
      </w:r>
      <w:r>
        <w:rPr>
          <w:rFonts w:ascii="Times New Roman" w:hAnsi="Times New Roman"/>
        </w:rPr>
        <w:t>l zvýšený o 2 % na približne 784 790 dôchodcov</w:t>
      </w:r>
      <w:r w:rsidR="00BF7A91">
        <w:rPr>
          <w:rFonts w:ascii="Times New Roman" w:hAnsi="Times New Roman"/>
        </w:rPr>
        <w:t xml:space="preserve"> z dôvodu predpokladaného nárastu počtu dôchodcov do konca roka</w:t>
      </w:r>
      <w:r>
        <w:rPr>
          <w:rFonts w:ascii="Times New Roman" w:hAnsi="Times New Roman"/>
        </w:rPr>
        <w:t xml:space="preserve">. 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596EB5" w:rsidRPr="009519E1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9519E1">
        <w:rPr>
          <w:rFonts w:ascii="Times New Roman" w:hAnsi="Times New Roman"/>
          <w:b/>
          <w:szCs w:val="22"/>
        </w:rPr>
        <w:t>Vplyv na</w:t>
      </w:r>
      <w:r>
        <w:rPr>
          <w:rFonts w:ascii="Times New Roman" w:hAnsi="Times New Roman"/>
          <w:b/>
          <w:szCs w:val="22"/>
        </w:rPr>
        <w:t xml:space="preserve"> jednotlivé</w:t>
      </w:r>
      <w:r w:rsidRPr="009519E1">
        <w:rPr>
          <w:rFonts w:ascii="Times New Roman" w:hAnsi="Times New Roman"/>
          <w:b/>
          <w:szCs w:val="22"/>
        </w:rPr>
        <w:t xml:space="preserve"> kateg</w:t>
      </w:r>
      <w:r>
        <w:rPr>
          <w:rFonts w:ascii="Times New Roman" w:hAnsi="Times New Roman"/>
          <w:b/>
          <w:szCs w:val="22"/>
        </w:rPr>
        <w:t>ór</w:t>
      </w:r>
      <w:r w:rsidRPr="009519E1">
        <w:rPr>
          <w:rFonts w:ascii="Times New Roman" w:hAnsi="Times New Roman"/>
          <w:b/>
          <w:szCs w:val="22"/>
        </w:rPr>
        <w:t>ie príjmov a výdavkov rozpočtu ver</w:t>
      </w:r>
      <w:r>
        <w:rPr>
          <w:rFonts w:ascii="Times New Roman" w:hAnsi="Times New Roman"/>
          <w:b/>
          <w:szCs w:val="22"/>
        </w:rPr>
        <w:t>e</w:t>
      </w:r>
      <w:r w:rsidRPr="009519E1">
        <w:rPr>
          <w:rFonts w:ascii="Times New Roman" w:hAnsi="Times New Roman"/>
          <w:b/>
          <w:szCs w:val="22"/>
        </w:rPr>
        <w:t>jn</w:t>
      </w:r>
      <w:r>
        <w:rPr>
          <w:rFonts w:ascii="Times New Roman" w:hAnsi="Times New Roman"/>
          <w:b/>
          <w:szCs w:val="22"/>
        </w:rPr>
        <w:t>e</w:t>
      </w:r>
      <w:r w:rsidRPr="009519E1">
        <w:rPr>
          <w:rFonts w:ascii="Times New Roman" w:hAnsi="Times New Roman"/>
          <w:b/>
          <w:szCs w:val="22"/>
        </w:rPr>
        <w:t>j</w:t>
      </w:r>
      <w:r>
        <w:rPr>
          <w:rFonts w:ascii="Times New Roman" w:hAnsi="Times New Roman"/>
          <w:b/>
          <w:szCs w:val="22"/>
        </w:rPr>
        <w:t xml:space="preserve"> </w:t>
      </w:r>
      <w:r w:rsidRPr="009519E1">
        <w:rPr>
          <w:rFonts w:ascii="Times New Roman" w:hAnsi="Times New Roman"/>
          <w:b/>
          <w:szCs w:val="22"/>
        </w:rPr>
        <w:t>správy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0067FC">
        <w:rPr>
          <w:rFonts w:ascii="Times New Roman" w:hAnsi="Times New Roman"/>
          <w:i/>
          <w:szCs w:val="22"/>
        </w:rPr>
        <w:t>Výdavky štátneho rozpočtu</w:t>
      </w:r>
      <w:r w:rsidRPr="000067FC">
        <w:rPr>
          <w:rFonts w:ascii="Times New Roman" w:hAnsi="Times New Roman"/>
          <w:b/>
          <w:szCs w:val="22"/>
        </w:rPr>
        <w:t xml:space="preserve"> </w:t>
      </w:r>
      <w:r w:rsidRPr="001E0EBC">
        <w:rPr>
          <w:rFonts w:ascii="Times New Roman" w:hAnsi="Times New Roman"/>
          <w:szCs w:val="22"/>
        </w:rPr>
        <w:t xml:space="preserve">– </w:t>
      </w:r>
      <w:r>
        <w:rPr>
          <w:rFonts w:ascii="Times New Roman" w:hAnsi="Times New Roman"/>
          <w:szCs w:val="22"/>
        </w:rPr>
        <w:t>negatívny</w:t>
      </w:r>
      <w:r w:rsidRPr="001E0EBC">
        <w:rPr>
          <w:rFonts w:ascii="Times New Roman" w:hAnsi="Times New Roman"/>
          <w:szCs w:val="22"/>
        </w:rPr>
        <w:t xml:space="preserve"> vplyv na</w:t>
      </w:r>
      <w:r w:rsidRPr="00DD4F96">
        <w:rPr>
          <w:rFonts w:ascii="Times New Roman" w:hAnsi="Times New Roman"/>
          <w:szCs w:val="22"/>
        </w:rPr>
        <w:t xml:space="preserve"> rozpočtovú kapitolu Ministerstva práce, sociálnych vecí a rodiny S</w:t>
      </w:r>
      <w:r>
        <w:rPr>
          <w:rFonts w:ascii="Times New Roman" w:hAnsi="Times New Roman"/>
          <w:szCs w:val="22"/>
        </w:rPr>
        <w:t xml:space="preserve">lovenskej republiky </w:t>
      </w:r>
      <w:r w:rsidR="00A72C52">
        <w:rPr>
          <w:rFonts w:ascii="Times New Roman" w:hAnsi="Times New Roman"/>
          <w:szCs w:val="22"/>
        </w:rPr>
        <w:t xml:space="preserve">v roku 2014 </w:t>
      </w:r>
      <w:r w:rsidRPr="00DD4F96">
        <w:rPr>
          <w:rFonts w:ascii="Times New Roman" w:hAnsi="Times New Roman"/>
          <w:szCs w:val="22"/>
        </w:rPr>
        <w:t>v porovnaní so schváleným rozpočtom príslušnej kapitoly</w:t>
      </w:r>
      <w:r w:rsidR="00A72C52">
        <w:rPr>
          <w:rFonts w:ascii="Times New Roman" w:hAnsi="Times New Roman"/>
          <w:szCs w:val="22"/>
        </w:rPr>
        <w:t xml:space="preserve"> na rok 2014</w:t>
      </w:r>
      <w:r w:rsidRPr="00DD4F96">
        <w:rPr>
          <w:rFonts w:ascii="Times New Roman" w:hAnsi="Times New Roman"/>
          <w:szCs w:val="22"/>
        </w:rPr>
        <w:t>.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B2003B">
        <w:rPr>
          <w:rFonts w:ascii="Times New Roman" w:hAnsi="Times New Roman"/>
          <w:i/>
          <w:szCs w:val="22"/>
        </w:rPr>
        <w:t>Výdavky Sociálnej poisťovne</w:t>
      </w:r>
      <w:r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– </w:t>
      </w:r>
      <w:r w:rsidR="00D27690">
        <w:rPr>
          <w:rFonts w:ascii="Times New Roman" w:hAnsi="Times New Roman"/>
          <w:szCs w:val="22"/>
        </w:rPr>
        <w:t xml:space="preserve">vládny </w:t>
      </w:r>
      <w:r w:rsidR="00BF7A91">
        <w:rPr>
          <w:rFonts w:ascii="Times New Roman" w:hAnsi="Times New Roman"/>
          <w:bCs/>
        </w:rPr>
        <w:t>n</w:t>
      </w:r>
      <w:r w:rsidRPr="006F6A35">
        <w:rPr>
          <w:rFonts w:ascii="Times New Roman" w:hAnsi="Times New Roman"/>
          <w:bCs/>
        </w:rPr>
        <w:t>ávrh zákona, ktorým sa mení a dopĺňa zákon č. 592/2006 Z. z. o poskytovaní vianočného príspevku niektorým poberateľom dôchodku a o doplnení niektorých zákonov v znení neskorších predpisov</w:t>
      </w:r>
      <w:r w:rsidR="005949E3">
        <w:rPr>
          <w:rFonts w:ascii="Times New Roman" w:hAnsi="Times New Roman"/>
          <w:bCs/>
        </w:rPr>
        <w:t xml:space="preserve"> </w:t>
      </w:r>
      <w:r w:rsidRPr="005949E3" w:rsidR="005949E3">
        <w:rPr>
          <w:rFonts w:ascii="Times New Roman" w:hAnsi="Times New Roman"/>
          <w:bCs/>
        </w:rPr>
        <w:t>a ktorým sa mení a dopĺňa zákon č. 461/2003 Z. z. o sociálnom poistení v znení neskorších predpisov</w:t>
      </w:r>
      <w:r>
        <w:rPr>
          <w:rFonts w:ascii="Times New Roman" w:hAnsi="Times New Roman"/>
          <w:szCs w:val="22"/>
        </w:rPr>
        <w:t xml:space="preserve"> </w:t>
      </w:r>
      <w:r w:rsidRPr="00474688">
        <w:rPr>
          <w:rFonts w:ascii="Times New Roman" w:hAnsi="Times New Roman"/>
          <w:szCs w:val="22"/>
        </w:rPr>
        <w:t>nemá</w:t>
      </w:r>
      <w:r>
        <w:rPr>
          <w:rFonts w:ascii="Times New Roman" w:hAnsi="Times New Roman"/>
          <w:szCs w:val="22"/>
        </w:rPr>
        <w:t xml:space="preserve"> vplyv na rozpočet Sociálnej poisťovne.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420C9F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420C9F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420C9F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420C9F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Tabuľky č. 3</w:t>
      </w:r>
    </w:p>
    <w:tbl>
      <w:tblPr>
        <w:tblStyle w:val="TableNormal"/>
        <w:tblW w:w="0" w:type="auto"/>
        <w:tblInd w:w="55" w:type="dxa"/>
        <w:tblLayout w:type="fixed"/>
        <w:tblCellMar>
          <w:left w:w="70" w:type="dxa"/>
          <w:right w:w="70" w:type="dxa"/>
        </w:tblCellMar>
      </w:tblPr>
      <w:tblGrid>
        <w:gridCol w:w="866"/>
        <w:gridCol w:w="3544"/>
        <w:gridCol w:w="1275"/>
        <w:gridCol w:w="1134"/>
        <w:gridCol w:w="1134"/>
        <w:gridCol w:w="1202"/>
      </w:tblGrid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7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štátny rozpočet (cash)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Štátny rozpočet (MPSVR SR) - výdavky (v eur)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6B7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6B6B7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Bežné výdavky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0E4DF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D63EA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D63EA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D80C3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 w:rsidRPr="00D80C3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Bežné transfery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0E4DF4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10 0</w:t>
            </w:r>
            <w:r w:rsidRPr="00D80C31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0E0EE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Transfery jednotlivcom a neziskovým právnickým osobám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0E4DF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</w:t>
            </w: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</w:tbl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EF6906" w:rsidP="00EF6906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Tabuľky č. </w:t>
      </w:r>
      <w:r w:rsidR="00C20A4D">
        <w:rPr>
          <w:rFonts w:ascii="Times New Roman" w:hAnsi="Times New Roman"/>
          <w:sz w:val="20"/>
          <w:szCs w:val="20"/>
        </w:rPr>
        <w:t>4</w:t>
      </w:r>
    </w:p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9135" w:type="dxa"/>
        <w:tblInd w:w="55" w:type="dxa"/>
        <w:tblLayout w:type="fixed"/>
        <w:tblCellMar>
          <w:left w:w="70" w:type="dxa"/>
          <w:right w:w="70" w:type="dxa"/>
        </w:tblCellMar>
      </w:tblPr>
      <w:tblGrid>
        <w:gridCol w:w="866"/>
        <w:gridCol w:w="3544"/>
        <w:gridCol w:w="1275"/>
        <w:gridCol w:w="1134"/>
        <w:gridCol w:w="1134"/>
        <w:gridCol w:w="102"/>
        <w:gridCol w:w="1080"/>
      </w:tblGrid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 (cash)</w:t>
            </w:r>
          </w:p>
        </w:tc>
      </w:tr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verejnej správy - výdavky (v eur)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</w:tr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6B7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6B6B7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Bežné výdavky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10 0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D80C3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 w:rsidRPr="00D80C3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Bežné transfery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0E4DF4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D80C31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0</w:t>
            </w:r>
            <w:r w:rsidRPr="00D80C31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6B6B76">
              <w:rPr>
                <w:rFonts w:ascii="Times New Roman" w:hAnsi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Transfery jednotlivcom a neziskovým právnickým osobám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0E4DF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</w:tbl>
    <w:p w:rsidR="00596EB5" w:rsidP="00482EFC">
      <w:pPr>
        <w:bidi w:val="0"/>
        <w:rPr>
          <w:rFonts w:ascii="Times New Roman" w:hAnsi="Times New Roman"/>
          <w:sz w:val="20"/>
          <w:szCs w:val="20"/>
        </w:rPr>
      </w:pPr>
    </w:p>
    <w:p w:rsidR="00596EB5" w:rsidP="00067B6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596EB5" w:rsidP="00067B6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EF6906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EF6906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EF6906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EF6906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EF6906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p w:rsidR="00C7728D" w:rsidP="00482EFC">
      <w:pPr>
        <w:bidi w:val="0"/>
        <w:rPr>
          <w:rFonts w:ascii="Times New Roman" w:hAnsi="Times New Roman"/>
          <w:b/>
          <w:sz w:val="28"/>
          <w:szCs w:val="28"/>
        </w:rPr>
      </w:pPr>
    </w:p>
    <w:sectPr w:rsidSect="00FA33C8">
      <w:headerReference w:type="default" r:id="rId4"/>
      <w:pgSz w:w="11906" w:h="16838"/>
      <w:pgMar w:top="680" w:right="1417" w:bottom="1417" w:left="1417" w:header="426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2D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DC3788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5EEE136F"/>
    <w:multiLevelType w:val="hybridMultilevel"/>
    <w:tmpl w:val="747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67FC"/>
    <w:rsid w:val="00007390"/>
    <w:rsid w:val="00007944"/>
    <w:rsid w:val="00012287"/>
    <w:rsid w:val="00016A38"/>
    <w:rsid w:val="00017026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67B60"/>
    <w:rsid w:val="00071BF8"/>
    <w:rsid w:val="0007385D"/>
    <w:rsid w:val="000748F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09A3"/>
    <w:rsid w:val="000A2E2D"/>
    <w:rsid w:val="000A4C94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E0E"/>
    <w:rsid w:val="000D3EDB"/>
    <w:rsid w:val="000D412A"/>
    <w:rsid w:val="000D4ADC"/>
    <w:rsid w:val="000D70C9"/>
    <w:rsid w:val="000D7A6C"/>
    <w:rsid w:val="000E00FA"/>
    <w:rsid w:val="000E0EEC"/>
    <w:rsid w:val="000E4B19"/>
    <w:rsid w:val="000E4DF4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465C"/>
    <w:rsid w:val="0010497E"/>
    <w:rsid w:val="001072B2"/>
    <w:rsid w:val="001072B9"/>
    <w:rsid w:val="0010766E"/>
    <w:rsid w:val="001113E9"/>
    <w:rsid w:val="001113FA"/>
    <w:rsid w:val="00111539"/>
    <w:rsid w:val="00111D86"/>
    <w:rsid w:val="0012053A"/>
    <w:rsid w:val="00122243"/>
    <w:rsid w:val="0012230A"/>
    <w:rsid w:val="00123DCC"/>
    <w:rsid w:val="00123EE7"/>
    <w:rsid w:val="00124B8B"/>
    <w:rsid w:val="00125F59"/>
    <w:rsid w:val="00137343"/>
    <w:rsid w:val="0014155B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0F2D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23B1"/>
    <w:rsid w:val="001B57EC"/>
    <w:rsid w:val="001C4CD7"/>
    <w:rsid w:val="001C561A"/>
    <w:rsid w:val="001D0486"/>
    <w:rsid w:val="001D179C"/>
    <w:rsid w:val="001D1DD8"/>
    <w:rsid w:val="001D2927"/>
    <w:rsid w:val="001D376D"/>
    <w:rsid w:val="001D4C67"/>
    <w:rsid w:val="001D6BD1"/>
    <w:rsid w:val="001E0EBC"/>
    <w:rsid w:val="001E1E7F"/>
    <w:rsid w:val="001E2B22"/>
    <w:rsid w:val="001E4F40"/>
    <w:rsid w:val="001E4FA1"/>
    <w:rsid w:val="001E5D46"/>
    <w:rsid w:val="001F0212"/>
    <w:rsid w:val="001F0C1D"/>
    <w:rsid w:val="001F152A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43B3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829"/>
    <w:rsid w:val="00245FA9"/>
    <w:rsid w:val="00246C1E"/>
    <w:rsid w:val="002532E5"/>
    <w:rsid w:val="002574A3"/>
    <w:rsid w:val="00257ABD"/>
    <w:rsid w:val="002607E8"/>
    <w:rsid w:val="00266103"/>
    <w:rsid w:val="0026653B"/>
    <w:rsid w:val="0027146B"/>
    <w:rsid w:val="00275D4F"/>
    <w:rsid w:val="00282E6B"/>
    <w:rsid w:val="00284095"/>
    <w:rsid w:val="00284647"/>
    <w:rsid w:val="00284C1D"/>
    <w:rsid w:val="0029143A"/>
    <w:rsid w:val="00291528"/>
    <w:rsid w:val="002928E4"/>
    <w:rsid w:val="0029544A"/>
    <w:rsid w:val="002961EA"/>
    <w:rsid w:val="00296B7F"/>
    <w:rsid w:val="002A643E"/>
    <w:rsid w:val="002A67FB"/>
    <w:rsid w:val="002A6BA2"/>
    <w:rsid w:val="002A7CB2"/>
    <w:rsid w:val="002B0F6B"/>
    <w:rsid w:val="002B5361"/>
    <w:rsid w:val="002C2145"/>
    <w:rsid w:val="002C2805"/>
    <w:rsid w:val="002C55F1"/>
    <w:rsid w:val="002C6AC9"/>
    <w:rsid w:val="002D0473"/>
    <w:rsid w:val="002D646B"/>
    <w:rsid w:val="002E0B02"/>
    <w:rsid w:val="002E40FB"/>
    <w:rsid w:val="002E4D4B"/>
    <w:rsid w:val="002E5846"/>
    <w:rsid w:val="002E6125"/>
    <w:rsid w:val="002E6729"/>
    <w:rsid w:val="002F1976"/>
    <w:rsid w:val="002F434C"/>
    <w:rsid w:val="002F5EC0"/>
    <w:rsid w:val="002F6FAF"/>
    <w:rsid w:val="002F78DF"/>
    <w:rsid w:val="0030643D"/>
    <w:rsid w:val="0030760B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17BB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47D39"/>
    <w:rsid w:val="00351D80"/>
    <w:rsid w:val="00352556"/>
    <w:rsid w:val="0035502A"/>
    <w:rsid w:val="003562FC"/>
    <w:rsid w:val="00357F38"/>
    <w:rsid w:val="003606E9"/>
    <w:rsid w:val="00362A9B"/>
    <w:rsid w:val="003636C0"/>
    <w:rsid w:val="0036409B"/>
    <w:rsid w:val="00366426"/>
    <w:rsid w:val="00366FF3"/>
    <w:rsid w:val="00376C16"/>
    <w:rsid w:val="003847BD"/>
    <w:rsid w:val="0038500A"/>
    <w:rsid w:val="003856E2"/>
    <w:rsid w:val="00385E91"/>
    <w:rsid w:val="00386DB0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2235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E52C3"/>
    <w:rsid w:val="003E66F8"/>
    <w:rsid w:val="003F0D47"/>
    <w:rsid w:val="003F1ADC"/>
    <w:rsid w:val="003F23E3"/>
    <w:rsid w:val="003F36F3"/>
    <w:rsid w:val="003F3F7A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61A1"/>
    <w:rsid w:val="00416B48"/>
    <w:rsid w:val="004207B8"/>
    <w:rsid w:val="00420C9F"/>
    <w:rsid w:val="00422ED4"/>
    <w:rsid w:val="00423C1E"/>
    <w:rsid w:val="00430749"/>
    <w:rsid w:val="00432A7E"/>
    <w:rsid w:val="00433EFE"/>
    <w:rsid w:val="0043509F"/>
    <w:rsid w:val="00436035"/>
    <w:rsid w:val="00437EE9"/>
    <w:rsid w:val="00440B26"/>
    <w:rsid w:val="00444FBF"/>
    <w:rsid w:val="00445D2F"/>
    <w:rsid w:val="004541DB"/>
    <w:rsid w:val="004554B0"/>
    <w:rsid w:val="00456164"/>
    <w:rsid w:val="004570D2"/>
    <w:rsid w:val="00457459"/>
    <w:rsid w:val="00457498"/>
    <w:rsid w:val="00457CFF"/>
    <w:rsid w:val="0046021A"/>
    <w:rsid w:val="00462A2F"/>
    <w:rsid w:val="00465B09"/>
    <w:rsid w:val="00466AB0"/>
    <w:rsid w:val="0046753D"/>
    <w:rsid w:val="00472137"/>
    <w:rsid w:val="00472DEB"/>
    <w:rsid w:val="00473CB5"/>
    <w:rsid w:val="00473F71"/>
    <w:rsid w:val="00474688"/>
    <w:rsid w:val="00476BC8"/>
    <w:rsid w:val="00477D01"/>
    <w:rsid w:val="0048027D"/>
    <w:rsid w:val="0048265B"/>
    <w:rsid w:val="00482D15"/>
    <w:rsid w:val="00482EFC"/>
    <w:rsid w:val="0048466E"/>
    <w:rsid w:val="004855B5"/>
    <w:rsid w:val="0048589A"/>
    <w:rsid w:val="00485E1C"/>
    <w:rsid w:val="00487C12"/>
    <w:rsid w:val="00492135"/>
    <w:rsid w:val="00495572"/>
    <w:rsid w:val="00495C60"/>
    <w:rsid w:val="004A03E9"/>
    <w:rsid w:val="004A0BC1"/>
    <w:rsid w:val="004A3564"/>
    <w:rsid w:val="004A3CB2"/>
    <w:rsid w:val="004A4217"/>
    <w:rsid w:val="004A6A2B"/>
    <w:rsid w:val="004A6C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5CA2"/>
    <w:rsid w:val="004C789B"/>
    <w:rsid w:val="004C7C9C"/>
    <w:rsid w:val="004D1916"/>
    <w:rsid w:val="004D3ADA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BD9"/>
    <w:rsid w:val="00511ED1"/>
    <w:rsid w:val="00512358"/>
    <w:rsid w:val="0051538F"/>
    <w:rsid w:val="00521E7E"/>
    <w:rsid w:val="00523E6E"/>
    <w:rsid w:val="00524565"/>
    <w:rsid w:val="0052486E"/>
    <w:rsid w:val="00524B03"/>
    <w:rsid w:val="0052539E"/>
    <w:rsid w:val="00526DCC"/>
    <w:rsid w:val="00530691"/>
    <w:rsid w:val="00531FE4"/>
    <w:rsid w:val="00533D74"/>
    <w:rsid w:val="0053410A"/>
    <w:rsid w:val="00535411"/>
    <w:rsid w:val="00535A79"/>
    <w:rsid w:val="00535B67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2A7D"/>
    <w:rsid w:val="00556846"/>
    <w:rsid w:val="00556AA6"/>
    <w:rsid w:val="005572DE"/>
    <w:rsid w:val="0055756C"/>
    <w:rsid w:val="0055799B"/>
    <w:rsid w:val="00560A9D"/>
    <w:rsid w:val="00561ABD"/>
    <w:rsid w:val="00564192"/>
    <w:rsid w:val="005652F5"/>
    <w:rsid w:val="00570482"/>
    <w:rsid w:val="00572E47"/>
    <w:rsid w:val="005738CA"/>
    <w:rsid w:val="00574338"/>
    <w:rsid w:val="00575A83"/>
    <w:rsid w:val="005760A5"/>
    <w:rsid w:val="00577551"/>
    <w:rsid w:val="00577A30"/>
    <w:rsid w:val="00581F1A"/>
    <w:rsid w:val="0058207A"/>
    <w:rsid w:val="0058320D"/>
    <w:rsid w:val="00583B02"/>
    <w:rsid w:val="005906C5"/>
    <w:rsid w:val="00590B43"/>
    <w:rsid w:val="00591017"/>
    <w:rsid w:val="005924B2"/>
    <w:rsid w:val="005925A8"/>
    <w:rsid w:val="0059354D"/>
    <w:rsid w:val="00593640"/>
    <w:rsid w:val="005949E3"/>
    <w:rsid w:val="005953E2"/>
    <w:rsid w:val="00596EB5"/>
    <w:rsid w:val="005A1884"/>
    <w:rsid w:val="005A4A17"/>
    <w:rsid w:val="005A4F8C"/>
    <w:rsid w:val="005B2622"/>
    <w:rsid w:val="005B2876"/>
    <w:rsid w:val="005B35B5"/>
    <w:rsid w:val="005B3C6E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E7A98"/>
    <w:rsid w:val="005F1A92"/>
    <w:rsid w:val="005F3DF8"/>
    <w:rsid w:val="005F664A"/>
    <w:rsid w:val="006031C2"/>
    <w:rsid w:val="006053F5"/>
    <w:rsid w:val="00605C59"/>
    <w:rsid w:val="006164BA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27F8"/>
    <w:rsid w:val="00656031"/>
    <w:rsid w:val="00664475"/>
    <w:rsid w:val="00664B75"/>
    <w:rsid w:val="00665BFA"/>
    <w:rsid w:val="00672384"/>
    <w:rsid w:val="006735BF"/>
    <w:rsid w:val="00675DAD"/>
    <w:rsid w:val="006767DD"/>
    <w:rsid w:val="00680A8B"/>
    <w:rsid w:val="00680B4D"/>
    <w:rsid w:val="00685D81"/>
    <w:rsid w:val="00691AFB"/>
    <w:rsid w:val="006931DA"/>
    <w:rsid w:val="00695C34"/>
    <w:rsid w:val="006964CA"/>
    <w:rsid w:val="006A1ECF"/>
    <w:rsid w:val="006A2626"/>
    <w:rsid w:val="006A527F"/>
    <w:rsid w:val="006A5861"/>
    <w:rsid w:val="006A5997"/>
    <w:rsid w:val="006A72E3"/>
    <w:rsid w:val="006B073B"/>
    <w:rsid w:val="006B231B"/>
    <w:rsid w:val="006B46CE"/>
    <w:rsid w:val="006B63E0"/>
    <w:rsid w:val="006B6B76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4A32"/>
    <w:rsid w:val="006E7B70"/>
    <w:rsid w:val="006F06E6"/>
    <w:rsid w:val="006F0CFB"/>
    <w:rsid w:val="006F177B"/>
    <w:rsid w:val="006F1BD0"/>
    <w:rsid w:val="006F42A3"/>
    <w:rsid w:val="006F46FE"/>
    <w:rsid w:val="006F6A35"/>
    <w:rsid w:val="00701402"/>
    <w:rsid w:val="00703D54"/>
    <w:rsid w:val="00703EBB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8F5"/>
    <w:rsid w:val="00731EF5"/>
    <w:rsid w:val="00732026"/>
    <w:rsid w:val="007440AA"/>
    <w:rsid w:val="0075242C"/>
    <w:rsid w:val="007542D5"/>
    <w:rsid w:val="0075662B"/>
    <w:rsid w:val="0075734D"/>
    <w:rsid w:val="0076023A"/>
    <w:rsid w:val="00760C82"/>
    <w:rsid w:val="007618DE"/>
    <w:rsid w:val="00762121"/>
    <w:rsid w:val="007626AC"/>
    <w:rsid w:val="00762DE1"/>
    <w:rsid w:val="0076767E"/>
    <w:rsid w:val="00771114"/>
    <w:rsid w:val="007722FA"/>
    <w:rsid w:val="00774741"/>
    <w:rsid w:val="00775F98"/>
    <w:rsid w:val="0077671B"/>
    <w:rsid w:val="0077799E"/>
    <w:rsid w:val="00777C54"/>
    <w:rsid w:val="00783D49"/>
    <w:rsid w:val="007850A3"/>
    <w:rsid w:val="00785A52"/>
    <w:rsid w:val="0078679A"/>
    <w:rsid w:val="00787DFE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29A0"/>
    <w:rsid w:val="007B3184"/>
    <w:rsid w:val="007B3B5F"/>
    <w:rsid w:val="007B4920"/>
    <w:rsid w:val="007B4A7D"/>
    <w:rsid w:val="007C119C"/>
    <w:rsid w:val="007C17DA"/>
    <w:rsid w:val="007C1E6F"/>
    <w:rsid w:val="007C1FE5"/>
    <w:rsid w:val="007C2CDD"/>
    <w:rsid w:val="007C320C"/>
    <w:rsid w:val="007C4FB8"/>
    <w:rsid w:val="007C68C8"/>
    <w:rsid w:val="007D1B49"/>
    <w:rsid w:val="007D32C0"/>
    <w:rsid w:val="007D3352"/>
    <w:rsid w:val="007D5A64"/>
    <w:rsid w:val="007D5D38"/>
    <w:rsid w:val="007D6878"/>
    <w:rsid w:val="007D693F"/>
    <w:rsid w:val="007D6D87"/>
    <w:rsid w:val="007E0FA6"/>
    <w:rsid w:val="007E2E89"/>
    <w:rsid w:val="007E37A0"/>
    <w:rsid w:val="007E37A8"/>
    <w:rsid w:val="007E45B0"/>
    <w:rsid w:val="007E5079"/>
    <w:rsid w:val="007E5C78"/>
    <w:rsid w:val="007E619D"/>
    <w:rsid w:val="007F2DD8"/>
    <w:rsid w:val="007F5688"/>
    <w:rsid w:val="007F5D4D"/>
    <w:rsid w:val="007F67B3"/>
    <w:rsid w:val="007F6BA3"/>
    <w:rsid w:val="007F6EBD"/>
    <w:rsid w:val="007F6FB5"/>
    <w:rsid w:val="00800C5C"/>
    <w:rsid w:val="008015A6"/>
    <w:rsid w:val="00802B2E"/>
    <w:rsid w:val="00804266"/>
    <w:rsid w:val="0080605E"/>
    <w:rsid w:val="0080656D"/>
    <w:rsid w:val="00806983"/>
    <w:rsid w:val="0081099A"/>
    <w:rsid w:val="00814827"/>
    <w:rsid w:val="00814E3E"/>
    <w:rsid w:val="008152AB"/>
    <w:rsid w:val="00816FAC"/>
    <w:rsid w:val="00821659"/>
    <w:rsid w:val="00822E28"/>
    <w:rsid w:val="00823142"/>
    <w:rsid w:val="00825171"/>
    <w:rsid w:val="00825E73"/>
    <w:rsid w:val="00826341"/>
    <w:rsid w:val="00831C1F"/>
    <w:rsid w:val="00834969"/>
    <w:rsid w:val="00835852"/>
    <w:rsid w:val="008412DC"/>
    <w:rsid w:val="0084172E"/>
    <w:rsid w:val="00844AEB"/>
    <w:rsid w:val="008459F9"/>
    <w:rsid w:val="0084740D"/>
    <w:rsid w:val="00847666"/>
    <w:rsid w:val="00850A55"/>
    <w:rsid w:val="00851B98"/>
    <w:rsid w:val="008557C5"/>
    <w:rsid w:val="0086170F"/>
    <w:rsid w:val="0086248A"/>
    <w:rsid w:val="008706B1"/>
    <w:rsid w:val="00872071"/>
    <w:rsid w:val="00872B40"/>
    <w:rsid w:val="00875AC7"/>
    <w:rsid w:val="00876747"/>
    <w:rsid w:val="008768D8"/>
    <w:rsid w:val="00876DE0"/>
    <w:rsid w:val="00877812"/>
    <w:rsid w:val="008804B9"/>
    <w:rsid w:val="008827AC"/>
    <w:rsid w:val="008840C2"/>
    <w:rsid w:val="00885BC4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62F5"/>
    <w:rsid w:val="008B1C37"/>
    <w:rsid w:val="008B4638"/>
    <w:rsid w:val="008C0D63"/>
    <w:rsid w:val="008C0D86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D6FDB"/>
    <w:rsid w:val="008E0A7F"/>
    <w:rsid w:val="008E65BD"/>
    <w:rsid w:val="008F0893"/>
    <w:rsid w:val="008F2B41"/>
    <w:rsid w:val="008F58DB"/>
    <w:rsid w:val="008F63A6"/>
    <w:rsid w:val="00904741"/>
    <w:rsid w:val="00906A48"/>
    <w:rsid w:val="0090789B"/>
    <w:rsid w:val="009141AD"/>
    <w:rsid w:val="009149BA"/>
    <w:rsid w:val="0091637A"/>
    <w:rsid w:val="00916CAE"/>
    <w:rsid w:val="0091758A"/>
    <w:rsid w:val="0092021B"/>
    <w:rsid w:val="00922120"/>
    <w:rsid w:val="0092262C"/>
    <w:rsid w:val="009243DF"/>
    <w:rsid w:val="0092785E"/>
    <w:rsid w:val="009278E5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0B90"/>
    <w:rsid w:val="009514DC"/>
    <w:rsid w:val="00951630"/>
    <w:rsid w:val="009519E1"/>
    <w:rsid w:val="00951B36"/>
    <w:rsid w:val="00952ACD"/>
    <w:rsid w:val="00961731"/>
    <w:rsid w:val="0096184D"/>
    <w:rsid w:val="009650F0"/>
    <w:rsid w:val="009654C6"/>
    <w:rsid w:val="00965970"/>
    <w:rsid w:val="0096653D"/>
    <w:rsid w:val="009668BE"/>
    <w:rsid w:val="00970054"/>
    <w:rsid w:val="009702BA"/>
    <w:rsid w:val="00973374"/>
    <w:rsid w:val="00975F77"/>
    <w:rsid w:val="00977836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53"/>
    <w:rsid w:val="009C28D4"/>
    <w:rsid w:val="009C591A"/>
    <w:rsid w:val="009D0434"/>
    <w:rsid w:val="009D0E1B"/>
    <w:rsid w:val="009D374A"/>
    <w:rsid w:val="009D53DB"/>
    <w:rsid w:val="009D6AE1"/>
    <w:rsid w:val="009E5740"/>
    <w:rsid w:val="009E5A06"/>
    <w:rsid w:val="009E5E68"/>
    <w:rsid w:val="009E71D7"/>
    <w:rsid w:val="009F1786"/>
    <w:rsid w:val="00A02B25"/>
    <w:rsid w:val="00A06AE8"/>
    <w:rsid w:val="00A12688"/>
    <w:rsid w:val="00A127B2"/>
    <w:rsid w:val="00A14BBE"/>
    <w:rsid w:val="00A15E45"/>
    <w:rsid w:val="00A217D6"/>
    <w:rsid w:val="00A24E99"/>
    <w:rsid w:val="00A259AB"/>
    <w:rsid w:val="00A25E3A"/>
    <w:rsid w:val="00A300E9"/>
    <w:rsid w:val="00A32A59"/>
    <w:rsid w:val="00A36CFF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57D19"/>
    <w:rsid w:val="00A60E3C"/>
    <w:rsid w:val="00A650CA"/>
    <w:rsid w:val="00A6621B"/>
    <w:rsid w:val="00A70D06"/>
    <w:rsid w:val="00A71048"/>
    <w:rsid w:val="00A715E2"/>
    <w:rsid w:val="00A71AD6"/>
    <w:rsid w:val="00A71FE6"/>
    <w:rsid w:val="00A72A8B"/>
    <w:rsid w:val="00A72C52"/>
    <w:rsid w:val="00A74246"/>
    <w:rsid w:val="00A76DEF"/>
    <w:rsid w:val="00A77DE1"/>
    <w:rsid w:val="00A77F39"/>
    <w:rsid w:val="00A77FD6"/>
    <w:rsid w:val="00A81D9D"/>
    <w:rsid w:val="00A83FF0"/>
    <w:rsid w:val="00A86688"/>
    <w:rsid w:val="00A87D49"/>
    <w:rsid w:val="00A92694"/>
    <w:rsid w:val="00A93B39"/>
    <w:rsid w:val="00A93CEC"/>
    <w:rsid w:val="00A93DF0"/>
    <w:rsid w:val="00A95A1E"/>
    <w:rsid w:val="00A96ED3"/>
    <w:rsid w:val="00A96F16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6C0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3BC0"/>
    <w:rsid w:val="00AD5977"/>
    <w:rsid w:val="00AD6A1C"/>
    <w:rsid w:val="00AD7255"/>
    <w:rsid w:val="00AE0EBD"/>
    <w:rsid w:val="00AE276C"/>
    <w:rsid w:val="00AE4A9F"/>
    <w:rsid w:val="00AF11D8"/>
    <w:rsid w:val="00AF283B"/>
    <w:rsid w:val="00AF4E37"/>
    <w:rsid w:val="00AF5784"/>
    <w:rsid w:val="00AF7427"/>
    <w:rsid w:val="00AF7728"/>
    <w:rsid w:val="00B02E5A"/>
    <w:rsid w:val="00B04B7F"/>
    <w:rsid w:val="00B05005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698"/>
    <w:rsid w:val="00B17F7D"/>
    <w:rsid w:val="00B2003B"/>
    <w:rsid w:val="00B2216E"/>
    <w:rsid w:val="00B227BC"/>
    <w:rsid w:val="00B2427B"/>
    <w:rsid w:val="00B2762D"/>
    <w:rsid w:val="00B33194"/>
    <w:rsid w:val="00B344BF"/>
    <w:rsid w:val="00B34687"/>
    <w:rsid w:val="00B34C8F"/>
    <w:rsid w:val="00B40AC5"/>
    <w:rsid w:val="00B4329C"/>
    <w:rsid w:val="00B46137"/>
    <w:rsid w:val="00B501B8"/>
    <w:rsid w:val="00B514FA"/>
    <w:rsid w:val="00B536A5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199D"/>
    <w:rsid w:val="00B73EF8"/>
    <w:rsid w:val="00B74991"/>
    <w:rsid w:val="00B76CA7"/>
    <w:rsid w:val="00B8197E"/>
    <w:rsid w:val="00B82E6F"/>
    <w:rsid w:val="00B83568"/>
    <w:rsid w:val="00B84DE0"/>
    <w:rsid w:val="00B902F6"/>
    <w:rsid w:val="00B946F4"/>
    <w:rsid w:val="00B95139"/>
    <w:rsid w:val="00B97824"/>
    <w:rsid w:val="00BA0A86"/>
    <w:rsid w:val="00BA333F"/>
    <w:rsid w:val="00BA3720"/>
    <w:rsid w:val="00BA380E"/>
    <w:rsid w:val="00BB1663"/>
    <w:rsid w:val="00BB2BCD"/>
    <w:rsid w:val="00BB2E4A"/>
    <w:rsid w:val="00BC073F"/>
    <w:rsid w:val="00BC4013"/>
    <w:rsid w:val="00BC681F"/>
    <w:rsid w:val="00BC6888"/>
    <w:rsid w:val="00BC6B75"/>
    <w:rsid w:val="00BD7A52"/>
    <w:rsid w:val="00BE20C1"/>
    <w:rsid w:val="00BE2566"/>
    <w:rsid w:val="00BE65C3"/>
    <w:rsid w:val="00BF2483"/>
    <w:rsid w:val="00BF311D"/>
    <w:rsid w:val="00BF3ADC"/>
    <w:rsid w:val="00BF5440"/>
    <w:rsid w:val="00BF7A91"/>
    <w:rsid w:val="00C01643"/>
    <w:rsid w:val="00C02377"/>
    <w:rsid w:val="00C03AE7"/>
    <w:rsid w:val="00C0435E"/>
    <w:rsid w:val="00C05EE0"/>
    <w:rsid w:val="00C071D0"/>
    <w:rsid w:val="00C1046D"/>
    <w:rsid w:val="00C10487"/>
    <w:rsid w:val="00C113C0"/>
    <w:rsid w:val="00C15928"/>
    <w:rsid w:val="00C16EE9"/>
    <w:rsid w:val="00C20A4D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68C8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7728D"/>
    <w:rsid w:val="00C83584"/>
    <w:rsid w:val="00C86FFC"/>
    <w:rsid w:val="00C908C9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2E9E"/>
    <w:rsid w:val="00CB47D5"/>
    <w:rsid w:val="00CB53B9"/>
    <w:rsid w:val="00CB6769"/>
    <w:rsid w:val="00CC24FC"/>
    <w:rsid w:val="00CC4020"/>
    <w:rsid w:val="00CC5B69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690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63EAC"/>
    <w:rsid w:val="00D7000E"/>
    <w:rsid w:val="00D72553"/>
    <w:rsid w:val="00D743B0"/>
    <w:rsid w:val="00D750E6"/>
    <w:rsid w:val="00D77750"/>
    <w:rsid w:val="00D80C31"/>
    <w:rsid w:val="00D8181E"/>
    <w:rsid w:val="00D82A34"/>
    <w:rsid w:val="00D84191"/>
    <w:rsid w:val="00D86DEF"/>
    <w:rsid w:val="00D874CB"/>
    <w:rsid w:val="00D91984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007E"/>
    <w:rsid w:val="00DB1490"/>
    <w:rsid w:val="00DB3322"/>
    <w:rsid w:val="00DB43AC"/>
    <w:rsid w:val="00DB55B9"/>
    <w:rsid w:val="00DB5B00"/>
    <w:rsid w:val="00DB73E3"/>
    <w:rsid w:val="00DC0C9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D4F96"/>
    <w:rsid w:val="00DD7B46"/>
    <w:rsid w:val="00DE4572"/>
    <w:rsid w:val="00DE4DF0"/>
    <w:rsid w:val="00DE559A"/>
    <w:rsid w:val="00DE74C4"/>
    <w:rsid w:val="00DF08A7"/>
    <w:rsid w:val="00DF176B"/>
    <w:rsid w:val="00DF3B08"/>
    <w:rsid w:val="00DF72CB"/>
    <w:rsid w:val="00E01674"/>
    <w:rsid w:val="00E04068"/>
    <w:rsid w:val="00E0622F"/>
    <w:rsid w:val="00E1193F"/>
    <w:rsid w:val="00E13930"/>
    <w:rsid w:val="00E140E5"/>
    <w:rsid w:val="00E14DD9"/>
    <w:rsid w:val="00E15121"/>
    <w:rsid w:val="00E15C10"/>
    <w:rsid w:val="00E16B52"/>
    <w:rsid w:val="00E23E93"/>
    <w:rsid w:val="00E240A1"/>
    <w:rsid w:val="00E251CB"/>
    <w:rsid w:val="00E26472"/>
    <w:rsid w:val="00E31FD8"/>
    <w:rsid w:val="00E3631E"/>
    <w:rsid w:val="00E363AC"/>
    <w:rsid w:val="00E36A11"/>
    <w:rsid w:val="00E40EB6"/>
    <w:rsid w:val="00E42B82"/>
    <w:rsid w:val="00E42E94"/>
    <w:rsid w:val="00E432ED"/>
    <w:rsid w:val="00E437CA"/>
    <w:rsid w:val="00E4542F"/>
    <w:rsid w:val="00E5046B"/>
    <w:rsid w:val="00E50907"/>
    <w:rsid w:val="00E54694"/>
    <w:rsid w:val="00E579E7"/>
    <w:rsid w:val="00E6073B"/>
    <w:rsid w:val="00E64414"/>
    <w:rsid w:val="00E83979"/>
    <w:rsid w:val="00E854CD"/>
    <w:rsid w:val="00E87224"/>
    <w:rsid w:val="00E87FDF"/>
    <w:rsid w:val="00E9095B"/>
    <w:rsid w:val="00E91C41"/>
    <w:rsid w:val="00E91CEE"/>
    <w:rsid w:val="00E9477B"/>
    <w:rsid w:val="00E95226"/>
    <w:rsid w:val="00E95325"/>
    <w:rsid w:val="00E95E9C"/>
    <w:rsid w:val="00E96BDD"/>
    <w:rsid w:val="00E96D4E"/>
    <w:rsid w:val="00E970F5"/>
    <w:rsid w:val="00EA28BA"/>
    <w:rsid w:val="00EA5EE0"/>
    <w:rsid w:val="00EB089E"/>
    <w:rsid w:val="00EB5E55"/>
    <w:rsid w:val="00EB7541"/>
    <w:rsid w:val="00EC026F"/>
    <w:rsid w:val="00EC0B53"/>
    <w:rsid w:val="00EC374F"/>
    <w:rsid w:val="00EC3A1D"/>
    <w:rsid w:val="00EC4518"/>
    <w:rsid w:val="00EC7638"/>
    <w:rsid w:val="00ED05D0"/>
    <w:rsid w:val="00ED3C5E"/>
    <w:rsid w:val="00ED687A"/>
    <w:rsid w:val="00ED69CC"/>
    <w:rsid w:val="00EE07B2"/>
    <w:rsid w:val="00EE62E7"/>
    <w:rsid w:val="00EE7B82"/>
    <w:rsid w:val="00EF0662"/>
    <w:rsid w:val="00EF11B7"/>
    <w:rsid w:val="00EF1C74"/>
    <w:rsid w:val="00EF21CF"/>
    <w:rsid w:val="00EF2876"/>
    <w:rsid w:val="00EF4B39"/>
    <w:rsid w:val="00EF656F"/>
    <w:rsid w:val="00EF6906"/>
    <w:rsid w:val="00EF7342"/>
    <w:rsid w:val="00F0322F"/>
    <w:rsid w:val="00F0333A"/>
    <w:rsid w:val="00F06C97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2632F"/>
    <w:rsid w:val="00F306FF"/>
    <w:rsid w:val="00F3170B"/>
    <w:rsid w:val="00F332B0"/>
    <w:rsid w:val="00F3396E"/>
    <w:rsid w:val="00F35FC7"/>
    <w:rsid w:val="00F36D2F"/>
    <w:rsid w:val="00F371DC"/>
    <w:rsid w:val="00F43E15"/>
    <w:rsid w:val="00F46C4E"/>
    <w:rsid w:val="00F507D7"/>
    <w:rsid w:val="00F5213E"/>
    <w:rsid w:val="00F530E4"/>
    <w:rsid w:val="00F548EB"/>
    <w:rsid w:val="00F57467"/>
    <w:rsid w:val="00F66819"/>
    <w:rsid w:val="00F67565"/>
    <w:rsid w:val="00F67E7C"/>
    <w:rsid w:val="00F704C6"/>
    <w:rsid w:val="00F73831"/>
    <w:rsid w:val="00F75283"/>
    <w:rsid w:val="00F75FF1"/>
    <w:rsid w:val="00F76A45"/>
    <w:rsid w:val="00F80786"/>
    <w:rsid w:val="00F81974"/>
    <w:rsid w:val="00F83322"/>
    <w:rsid w:val="00F8478F"/>
    <w:rsid w:val="00F86430"/>
    <w:rsid w:val="00F8676A"/>
    <w:rsid w:val="00F86AF9"/>
    <w:rsid w:val="00F94280"/>
    <w:rsid w:val="00F94B75"/>
    <w:rsid w:val="00F95AEC"/>
    <w:rsid w:val="00F9755D"/>
    <w:rsid w:val="00FA0463"/>
    <w:rsid w:val="00FA082A"/>
    <w:rsid w:val="00FA1DD2"/>
    <w:rsid w:val="00FA33C8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78A3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A217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1BD9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5925A8"/>
    <w:pPr>
      <w:ind w:left="708"/>
      <w:jc w:val="left"/>
    </w:pPr>
  </w:style>
  <w:style w:type="paragraph" w:customStyle="1" w:styleId="Default">
    <w:name w:val="Default"/>
    <w:uiPriority w:val="99"/>
    <w:rsid w:val="007C1FE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7C1F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11BD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7C1FE5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D5A6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5A6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11BD9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5A6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11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1031</Words>
  <Characters>5530</Characters>
  <Application>Microsoft Office Word</Application>
  <DocSecurity>0</DocSecurity>
  <Lines>0</Lines>
  <Paragraphs>0</Paragraphs>
  <ScaleCrop>false</ScaleCrop>
  <Company>MPSVR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mincak</dc:creator>
  <cp:lastModifiedBy>cebulakova</cp:lastModifiedBy>
  <cp:revision>3</cp:revision>
  <cp:lastPrinted>2014-07-08T13:35:00Z</cp:lastPrinted>
  <dcterms:created xsi:type="dcterms:W3CDTF">2014-08-21T06:30:00Z</dcterms:created>
  <dcterms:modified xsi:type="dcterms:W3CDTF">2014-08-21T07:43:00Z</dcterms:modified>
</cp:coreProperties>
</file>