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6494" w:rsidRPr="00FD26A9" w:rsidP="008115CD">
      <w:pPr>
        <w:bidi w:val="0"/>
        <w:spacing w:line="240" w:lineRule="auto"/>
        <w:jc w:val="center"/>
        <w:rPr>
          <w:rFonts w:ascii="Times New Roman" w:hAnsi="Times New Roman"/>
          <w:b/>
          <w:caps/>
          <w:color w:val="000000"/>
          <w:spacing w:val="30"/>
          <w:sz w:val="24"/>
          <w:szCs w:val="24"/>
        </w:rPr>
      </w:pPr>
      <w:r w:rsidRPr="00FD26A9">
        <w:rPr>
          <w:rFonts w:ascii="Times New Roman" w:hAnsi="Times New Roman"/>
          <w:b/>
          <w:caps/>
          <w:color w:val="000000"/>
          <w:spacing w:val="30"/>
          <w:sz w:val="24"/>
          <w:szCs w:val="24"/>
        </w:rPr>
        <w:t>Dôvodová správa</w:t>
      </w:r>
    </w:p>
    <w:p w:rsidR="003C6494" w:rsidRPr="00F44A1D" w:rsidP="008115CD">
      <w:pPr>
        <w:bidi w:val="0"/>
        <w:spacing w:line="240" w:lineRule="auto"/>
        <w:jc w:val="both"/>
        <w:rPr>
          <w:rFonts w:ascii="Times New Roman" w:hAnsi="Times New Roman"/>
          <w:sz w:val="24"/>
          <w:szCs w:val="24"/>
        </w:rPr>
      </w:pPr>
    </w:p>
    <w:p w:rsidR="003C6494" w:rsidP="008115CD">
      <w:pPr>
        <w:bidi w:val="0"/>
        <w:spacing w:line="240" w:lineRule="auto"/>
        <w:jc w:val="both"/>
        <w:rPr>
          <w:rFonts w:ascii="Times New Roman" w:hAnsi="Times New Roman"/>
          <w:b/>
          <w:color w:val="000000"/>
          <w:sz w:val="24"/>
          <w:szCs w:val="24"/>
        </w:rPr>
      </w:pPr>
      <w:r>
        <w:rPr>
          <w:rFonts w:ascii="Times New Roman" w:hAnsi="Times New Roman"/>
          <w:b/>
          <w:color w:val="000000"/>
          <w:sz w:val="24"/>
          <w:szCs w:val="24"/>
        </w:rPr>
        <w:t>A</w:t>
      </w:r>
      <w:r w:rsidRPr="00F44A1D">
        <w:rPr>
          <w:rFonts w:ascii="Times New Roman" w:hAnsi="Times New Roman"/>
          <w:b/>
          <w:color w:val="000000"/>
          <w:sz w:val="24"/>
          <w:szCs w:val="24"/>
        </w:rPr>
        <w:t>. Všeobecná časť</w:t>
      </w:r>
    </w:p>
    <w:p w:rsidR="003C6494" w:rsidP="00054266">
      <w:pPr>
        <w:bidi w:val="0"/>
        <w:spacing w:after="0" w:line="240" w:lineRule="auto"/>
        <w:jc w:val="both"/>
        <w:rPr>
          <w:rFonts w:ascii="Times New Roman" w:hAnsi="Times New Roman"/>
          <w:b/>
          <w:color w:val="000000"/>
          <w:sz w:val="24"/>
          <w:szCs w:val="24"/>
        </w:rPr>
      </w:pPr>
    </w:p>
    <w:p w:rsidR="003C6494" w:rsidP="00746FC2">
      <w:pPr>
        <w:widowControl w:val="0"/>
        <w:bidi w:val="0"/>
        <w:adjustRightInd w:val="0"/>
        <w:spacing w:after="0" w:line="240" w:lineRule="auto"/>
        <w:ind w:firstLine="709"/>
        <w:jc w:val="both"/>
        <w:rPr>
          <w:rStyle w:val="PlaceholderText"/>
          <w:color w:val="000000"/>
          <w:sz w:val="24"/>
          <w:szCs w:val="24"/>
        </w:rPr>
      </w:pPr>
      <w:r w:rsidRPr="00441F1E">
        <w:rPr>
          <w:rFonts w:ascii="Times New Roman" w:hAnsi="Times New Roman"/>
          <w:sz w:val="24"/>
          <w:szCs w:val="24"/>
        </w:rPr>
        <w:t xml:space="preserve">Ministerstvo práce, sociálnych vecí a rodiny Slovenskej republiky predkladá </w:t>
      </w:r>
      <w:r w:rsidR="000702DB">
        <w:rPr>
          <w:rFonts w:ascii="Times New Roman" w:hAnsi="Times New Roman"/>
          <w:sz w:val="24"/>
          <w:szCs w:val="24"/>
        </w:rPr>
        <w:t xml:space="preserve">vládny </w:t>
      </w:r>
      <w:r w:rsidRPr="00441F1E">
        <w:rPr>
          <w:rFonts w:ascii="Times New Roman" w:hAnsi="Times New Roman"/>
          <w:sz w:val="24"/>
          <w:szCs w:val="24"/>
        </w:rPr>
        <w:t xml:space="preserve">návrh zákona, ktorým sa mení a dopĺňa zákon č. </w:t>
      </w:r>
      <w:r w:rsidRPr="00441F1E">
        <w:rPr>
          <w:rFonts w:ascii="Times New Roman" w:hAnsi="Times New Roman"/>
          <w:color w:val="000000"/>
          <w:sz w:val="24"/>
          <w:szCs w:val="24"/>
        </w:rPr>
        <w:t>650/2004 Z. z. o doplnkovom dôchodkovom sporení a o zmene a doplnení niektorých zákonov v znení neskorších predpisov</w:t>
      </w:r>
      <w:r w:rsidRPr="002456DF">
        <w:rPr>
          <w:rFonts w:ascii="Times New Roman" w:hAnsi="Times New Roman"/>
          <w:bCs/>
          <w:sz w:val="24"/>
          <w:szCs w:val="24"/>
        </w:rPr>
        <w:t xml:space="preserve">. </w:t>
      </w:r>
    </w:p>
    <w:p w:rsidR="003C6494" w:rsidRPr="00746FC2" w:rsidP="00746FC2">
      <w:pPr>
        <w:widowControl w:val="0"/>
        <w:bidi w:val="0"/>
        <w:adjustRightInd w:val="0"/>
        <w:spacing w:after="0" w:line="240" w:lineRule="auto"/>
        <w:jc w:val="both"/>
        <w:rPr>
          <w:rFonts w:ascii="Times New Roman" w:hAnsi="Times New Roman"/>
          <w:color w:val="000000"/>
          <w:sz w:val="24"/>
          <w:szCs w:val="24"/>
        </w:rPr>
      </w:pPr>
    </w:p>
    <w:p w:rsidR="003C6494" w:rsidRPr="009A2F8A" w:rsidP="009A2F8A">
      <w:pPr>
        <w:widowControl w:val="0"/>
        <w:bidi w:val="0"/>
        <w:adjustRightInd w:val="0"/>
        <w:spacing w:after="0" w:line="240" w:lineRule="auto"/>
        <w:ind w:firstLine="709"/>
        <w:jc w:val="both"/>
        <w:rPr>
          <w:rFonts w:ascii="Times New Roman" w:eastAsia="MS Mincho" w:hAnsi="Times New Roman"/>
          <w:sz w:val="24"/>
          <w:szCs w:val="24"/>
          <w:highlight w:val="yellow"/>
          <w:lang w:eastAsia="ja-JP"/>
        </w:rPr>
      </w:pPr>
      <w:r w:rsidRPr="00746FC2">
        <w:rPr>
          <w:rFonts w:ascii="Times New Roman" w:hAnsi="Times New Roman"/>
          <w:sz w:val="24"/>
          <w:szCs w:val="24"/>
        </w:rPr>
        <w:t>Cieľom</w:t>
      </w:r>
      <w:r w:rsidR="000702DB">
        <w:rPr>
          <w:rFonts w:ascii="Times New Roman" w:hAnsi="Times New Roman"/>
          <w:sz w:val="24"/>
          <w:szCs w:val="24"/>
        </w:rPr>
        <w:t xml:space="preserve"> vládneho</w:t>
      </w:r>
      <w:r w:rsidRPr="00746FC2">
        <w:rPr>
          <w:rFonts w:ascii="Times New Roman" w:hAnsi="Times New Roman"/>
          <w:sz w:val="24"/>
          <w:szCs w:val="24"/>
        </w:rPr>
        <w:t xml:space="preserve"> návrhu zákona je </w:t>
      </w:r>
      <w:r>
        <w:rPr>
          <w:rFonts w:ascii="Times New Roman" w:hAnsi="Times New Roman"/>
          <w:sz w:val="24"/>
          <w:szCs w:val="24"/>
        </w:rPr>
        <w:t>transponovať</w:t>
      </w:r>
      <w:r w:rsidRPr="00746FC2">
        <w:rPr>
          <w:rFonts w:ascii="Times New Roman" w:hAnsi="Times New Roman"/>
          <w:sz w:val="24"/>
          <w:szCs w:val="24"/>
        </w:rPr>
        <w:t xml:space="preserve"> smernicu </w:t>
      </w:r>
      <w:r>
        <w:rPr>
          <w:rFonts w:ascii="Times New Roman" w:hAnsi="Times New Roman"/>
          <w:sz w:val="24"/>
          <w:szCs w:val="24"/>
        </w:rPr>
        <w:t xml:space="preserve">Európskeho parlamentu a Rady </w:t>
      </w:r>
      <w:r w:rsidRPr="009A2F8A">
        <w:rPr>
          <w:rFonts w:ascii="Times New Roman" w:hAnsi="Times New Roman"/>
          <w:sz w:val="24"/>
          <w:szCs w:val="24"/>
          <w:lang w:eastAsia="ja-JP"/>
        </w:rPr>
        <w:t>2013/14/EÚ z 21. mája 2013, ktorou sa mení a dopĺňa smernica 2003/41/ES o činnostiach a dohľade nad inštitúciami zamestnaneckého dôchodkového zabezpečenia, smernica 2009/65/ES o koordinácii zákonov, iných právnych predpisov a správnych opatrení týkajúcich sa podnikov kolektívneho investovania do prevoditeľných cenných papierov (PKIPCP) a smernica 2011/61/EÚ o správcoch alternatívnych investičných fondov v súvislosti s nadmerným spoliehaním sa na úverové ratingy</w:t>
      </w:r>
      <w:r>
        <w:rPr>
          <w:rFonts w:ascii="Times New Roman" w:hAnsi="Times New Roman"/>
          <w:sz w:val="24"/>
          <w:szCs w:val="24"/>
          <w:lang w:eastAsia="ja-JP"/>
        </w:rPr>
        <w:t>, a to najmä čl. 1 smernice 2013/14/EÚ, ktorým sa novelizuje smernica 2003/41/ES</w:t>
      </w:r>
      <w:r w:rsidRPr="009A2F8A">
        <w:rPr>
          <w:rFonts w:ascii="Times New Roman" w:hAnsi="Times New Roman"/>
          <w:sz w:val="24"/>
          <w:szCs w:val="24"/>
          <w:lang w:eastAsia="ja-JP"/>
        </w:rPr>
        <w:t xml:space="preserve">. Smernica 2003/41/ES bola transponovaná do zákona č. </w:t>
      </w:r>
      <w:r w:rsidRPr="009A2F8A">
        <w:rPr>
          <w:rFonts w:ascii="Times New Roman" w:hAnsi="Times New Roman"/>
          <w:color w:val="000000"/>
          <w:sz w:val="24"/>
          <w:szCs w:val="24"/>
          <w:lang w:eastAsia="ja-JP"/>
        </w:rPr>
        <w:t xml:space="preserve">650/2004 Z. z. o doplnkovom dôchodkovom sporení a o zmene a doplnení niektorých zákonov v znení neskorších predpisov. </w:t>
      </w:r>
    </w:p>
    <w:p w:rsidR="003C6494" w:rsidRPr="009A2F8A" w:rsidP="009A2F8A">
      <w:pPr>
        <w:widowControl w:val="0"/>
        <w:bidi w:val="0"/>
        <w:adjustRightInd w:val="0"/>
        <w:spacing w:after="0" w:line="240" w:lineRule="auto"/>
        <w:ind w:firstLine="709"/>
        <w:jc w:val="both"/>
        <w:rPr>
          <w:rFonts w:ascii="Times New Roman" w:hAnsi="Times New Roman"/>
          <w:color w:val="000000"/>
          <w:sz w:val="24"/>
          <w:szCs w:val="24"/>
          <w:lang w:eastAsia="ja-JP"/>
        </w:rPr>
      </w:pPr>
    </w:p>
    <w:p w:rsidR="003C6494" w:rsidRPr="0077780D" w:rsidP="0077780D">
      <w:pPr>
        <w:widowControl w:val="0"/>
        <w:bidi w:val="0"/>
        <w:adjustRightInd w:val="0"/>
        <w:spacing w:after="0" w:line="240" w:lineRule="auto"/>
        <w:ind w:firstLine="709"/>
        <w:jc w:val="both"/>
        <w:rPr>
          <w:rFonts w:ascii="Times New Roman" w:hAnsi="Times New Roman"/>
          <w:sz w:val="24"/>
          <w:szCs w:val="24"/>
          <w:lang w:eastAsia="ja-JP"/>
        </w:rPr>
      </w:pPr>
      <w:r w:rsidRPr="009A2F8A">
        <w:rPr>
          <w:rFonts w:ascii="Times New Roman" w:hAnsi="Times New Roman"/>
          <w:sz w:val="24"/>
          <w:szCs w:val="24"/>
          <w:lang w:eastAsia="ja-JP"/>
        </w:rPr>
        <w:t xml:space="preserve">V smernici Európskeho parlamentu a Rady 2003/41/ES o činnostiach a dohľade nad inštitúciami zamestnaneckého dôchodkového zabezpečenia sa stanovujú požiadavky na obozretné podnikanie, pokiaľ ide o riadenie rizík inštitúciami zamestnaneckého dôchodkového zabezpečenia. </w:t>
      </w:r>
      <w:r w:rsidRPr="0077780D">
        <w:rPr>
          <w:rFonts w:ascii="Times New Roman" w:hAnsi="Times New Roman"/>
          <w:sz w:val="24"/>
          <w:szCs w:val="24"/>
          <w:lang w:eastAsia="ja-JP"/>
        </w:rPr>
        <w:t xml:space="preserve">Finančná kríza poukázala na negatívny dopad nadmerného spoliehania sa na úverové ratingy bez toho, aby investori, vrátane inštitúcii zamestnaneckého dôchodkového zabezpečenia, urobili vlastné posúdenie úverovej bonity emitentov, čím akcentovala potrebu úpravy regulácie predmetnej oblasti pri investovaní do dlhových nástrojov. </w:t>
      </w:r>
    </w:p>
    <w:p w:rsidR="003C6494" w:rsidRPr="009A2F8A" w:rsidP="009A2F8A">
      <w:pPr>
        <w:widowControl w:val="0"/>
        <w:bidi w:val="0"/>
        <w:adjustRightInd w:val="0"/>
        <w:spacing w:after="0" w:line="240" w:lineRule="auto"/>
        <w:ind w:firstLine="709"/>
        <w:jc w:val="both"/>
        <w:rPr>
          <w:rFonts w:ascii="Times New Roman" w:hAnsi="Times New Roman"/>
          <w:sz w:val="24"/>
          <w:szCs w:val="24"/>
          <w:lang w:eastAsia="ja-JP"/>
        </w:rPr>
      </w:pPr>
    </w:p>
    <w:p w:rsidR="003C6494" w:rsidRPr="009A2F8A" w:rsidP="009A2F8A">
      <w:pPr>
        <w:widowControl w:val="0"/>
        <w:bidi w:val="0"/>
        <w:adjustRightInd w:val="0"/>
        <w:spacing w:after="0" w:line="240" w:lineRule="auto"/>
        <w:ind w:firstLine="709"/>
        <w:jc w:val="both"/>
        <w:rPr>
          <w:rFonts w:ascii="Times New Roman" w:hAnsi="Times New Roman"/>
          <w:sz w:val="24"/>
          <w:szCs w:val="24"/>
          <w:lang w:eastAsia="ja-JP"/>
        </w:rPr>
      </w:pPr>
      <w:r w:rsidRPr="009A2F8A">
        <w:rPr>
          <w:rFonts w:ascii="Times New Roman" w:hAnsi="Times New Roman"/>
          <w:sz w:val="24"/>
          <w:szCs w:val="24"/>
          <w:lang w:eastAsia="ja-JP"/>
        </w:rPr>
        <w:t xml:space="preserve">Zámerom transpozície smernice je zlepšiť kvalitu investícií inštitúcií zamestnaneckého dôchodkového zabezpečenia (v podmienkach zákona </w:t>
      </w:r>
      <w:r w:rsidR="00672BF2">
        <w:rPr>
          <w:rFonts w:ascii="Times New Roman" w:hAnsi="Times New Roman"/>
          <w:sz w:val="24"/>
          <w:szCs w:val="24"/>
          <w:lang w:eastAsia="ja-JP"/>
        </w:rPr>
        <w:t xml:space="preserve">č. </w:t>
      </w:r>
      <w:bookmarkStart w:id="0" w:name="_GoBack"/>
      <w:bookmarkEnd w:id="0"/>
      <w:r w:rsidRPr="009A2F8A">
        <w:rPr>
          <w:rFonts w:ascii="Times New Roman" w:hAnsi="Times New Roman"/>
          <w:sz w:val="24"/>
          <w:szCs w:val="24"/>
          <w:lang w:eastAsia="ja-JP"/>
        </w:rPr>
        <w:t>650/2004 Z. z. ide o doplnkové dôchodkové spoločnosti alebo </w:t>
      </w:r>
      <w:r w:rsidRPr="009A2F8A">
        <w:rPr>
          <w:rFonts w:ascii="Times New Roman" w:eastAsia="MS Mincho" w:hAnsi="Times New Roman" w:hint="default"/>
          <w:color w:val="000000"/>
          <w:sz w:val="24"/>
          <w:szCs w:val="24"/>
          <w:lang w:eastAsia="ja-JP"/>
        </w:rPr>
        <w:t>zamestnanecké</w:t>
      </w:r>
      <w:r w:rsidRPr="009A2F8A">
        <w:rPr>
          <w:rFonts w:ascii="Times New Roman" w:eastAsia="MS Mincho" w:hAnsi="Times New Roman" w:hint="default"/>
          <w:color w:val="000000"/>
          <w:sz w:val="24"/>
          <w:szCs w:val="24"/>
          <w:lang w:eastAsia="ja-JP"/>
        </w:rPr>
        <w:t xml:space="preserve"> dô</w:t>
      </w:r>
      <w:r w:rsidRPr="009A2F8A">
        <w:rPr>
          <w:rFonts w:ascii="Times New Roman" w:eastAsia="MS Mincho" w:hAnsi="Times New Roman" w:hint="default"/>
          <w:color w:val="000000"/>
          <w:sz w:val="24"/>
          <w:szCs w:val="24"/>
          <w:lang w:eastAsia="ja-JP"/>
        </w:rPr>
        <w:t>chodkové</w:t>
      </w:r>
      <w:r w:rsidRPr="009A2F8A">
        <w:rPr>
          <w:rFonts w:ascii="Times New Roman" w:eastAsia="MS Mincho" w:hAnsi="Times New Roman" w:hint="default"/>
          <w:color w:val="000000"/>
          <w:sz w:val="24"/>
          <w:szCs w:val="24"/>
          <w:lang w:eastAsia="ja-JP"/>
        </w:rPr>
        <w:t xml:space="preserve"> spoloč</w:t>
      </w:r>
      <w:r w:rsidRPr="009A2F8A">
        <w:rPr>
          <w:rFonts w:ascii="Times New Roman" w:eastAsia="MS Mincho" w:hAnsi="Times New Roman" w:hint="default"/>
          <w:color w:val="000000"/>
          <w:sz w:val="24"/>
          <w:szCs w:val="24"/>
          <w:lang w:eastAsia="ja-JP"/>
        </w:rPr>
        <w:t>nosti v rozsahu ich</w:t>
      </w:r>
      <w:r w:rsidRPr="009A2F8A">
        <w:rPr>
          <w:rFonts w:ascii="Times New Roman" w:eastAsia="MS Mincho" w:hAnsi="Times New Roman" w:hint="default"/>
          <w:color w:val="000000"/>
          <w:sz w:val="24"/>
          <w:szCs w:val="24"/>
          <w:lang w:eastAsia="ja-JP"/>
        </w:rPr>
        <w:t xml:space="preserve"> č</w:t>
      </w:r>
      <w:r w:rsidRPr="009A2F8A">
        <w:rPr>
          <w:rFonts w:ascii="Times New Roman" w:eastAsia="MS Mincho" w:hAnsi="Times New Roman" w:hint="default"/>
          <w:color w:val="000000"/>
          <w:sz w:val="24"/>
          <w:szCs w:val="24"/>
          <w:lang w:eastAsia="ja-JP"/>
        </w:rPr>
        <w:t>inností</w:t>
      </w:r>
      <w:r w:rsidRPr="009A2F8A">
        <w:rPr>
          <w:rFonts w:ascii="Times New Roman" w:eastAsia="MS Mincho" w:hAnsi="Times New Roman" w:hint="default"/>
          <w:color w:val="000000"/>
          <w:sz w:val="24"/>
          <w:szCs w:val="24"/>
          <w:lang w:eastAsia="ja-JP"/>
        </w:rPr>
        <w:t xml:space="preserve"> vykoná</w:t>
      </w:r>
      <w:r w:rsidRPr="009A2F8A">
        <w:rPr>
          <w:rFonts w:ascii="Times New Roman" w:eastAsia="MS Mincho" w:hAnsi="Times New Roman" w:hint="default"/>
          <w:color w:val="000000"/>
          <w:sz w:val="24"/>
          <w:szCs w:val="24"/>
          <w:lang w:eastAsia="ja-JP"/>
        </w:rPr>
        <w:t>vaný</w:t>
      </w:r>
      <w:r w:rsidRPr="009A2F8A">
        <w:rPr>
          <w:rFonts w:ascii="Times New Roman" w:eastAsia="MS Mincho" w:hAnsi="Times New Roman" w:hint="default"/>
          <w:color w:val="000000"/>
          <w:sz w:val="24"/>
          <w:szCs w:val="24"/>
          <w:lang w:eastAsia="ja-JP"/>
        </w:rPr>
        <w:t>ch na ú</w:t>
      </w:r>
      <w:r w:rsidRPr="009A2F8A">
        <w:rPr>
          <w:rFonts w:ascii="Times New Roman" w:eastAsia="MS Mincho" w:hAnsi="Times New Roman" w:hint="default"/>
          <w:color w:val="000000"/>
          <w:sz w:val="24"/>
          <w:szCs w:val="24"/>
          <w:lang w:eastAsia="ja-JP"/>
        </w:rPr>
        <w:t>zemí</w:t>
      </w:r>
      <w:r w:rsidRPr="009A2F8A">
        <w:rPr>
          <w:rFonts w:ascii="Times New Roman" w:eastAsia="MS Mincho" w:hAnsi="Times New Roman" w:hint="default"/>
          <w:color w:val="000000"/>
          <w:sz w:val="24"/>
          <w:szCs w:val="24"/>
          <w:lang w:eastAsia="ja-JP"/>
        </w:rPr>
        <w:t xml:space="preserve"> Slovenskej republiky</w:t>
      </w:r>
      <w:r w:rsidRPr="009A2F8A">
        <w:rPr>
          <w:rFonts w:ascii="Times New Roman" w:hAnsi="Times New Roman"/>
          <w:sz w:val="24"/>
          <w:szCs w:val="24"/>
          <w:lang w:eastAsia="ja-JP"/>
        </w:rPr>
        <w:t>) a ochraňovať tým investorov, preto je vhodné vyžadovať od týchto inštitúcií, aby pri posudzovaní rizík obsiahnutých v ich investíciách, predchádzali výhradnému alebo mechanickému spoliehaniu sa na úverové ratingy alebo ich využívaniu ako jediného parametra. Všeobecná zásada proti nadmernému spoliehaniu sa na úverové ratingy by preto mala byť začlenená do postupov a systémov riadenia rizík inštitúcií a prispôsobená ich osobitostiam.</w:t>
      </w:r>
    </w:p>
    <w:p w:rsidR="003C6494" w:rsidRPr="009A2F8A" w:rsidP="009A2F8A">
      <w:pPr>
        <w:widowControl w:val="0"/>
        <w:bidi w:val="0"/>
        <w:adjustRightInd w:val="0"/>
        <w:spacing w:after="0" w:line="240" w:lineRule="auto"/>
        <w:ind w:firstLine="709"/>
        <w:jc w:val="both"/>
        <w:rPr>
          <w:rFonts w:ascii="Times New Roman" w:hAnsi="Times New Roman"/>
          <w:sz w:val="24"/>
          <w:szCs w:val="24"/>
          <w:lang w:eastAsia="ja-JP"/>
        </w:rPr>
      </w:pPr>
    </w:p>
    <w:p w:rsidR="003C6494" w:rsidRPr="009A2F8A" w:rsidP="009A2F8A">
      <w:pPr>
        <w:widowControl w:val="0"/>
        <w:bidi w:val="0"/>
        <w:adjustRightInd w:val="0"/>
        <w:spacing w:after="0" w:line="240" w:lineRule="auto"/>
        <w:ind w:firstLine="709"/>
        <w:jc w:val="both"/>
        <w:rPr>
          <w:rFonts w:ascii="Times New Roman" w:hAnsi="Times New Roman"/>
          <w:sz w:val="24"/>
          <w:szCs w:val="24"/>
          <w:lang w:eastAsia="ja-JP"/>
        </w:rPr>
      </w:pPr>
      <w:r w:rsidRPr="009A2F8A">
        <w:rPr>
          <w:rFonts w:ascii="Times New Roman" w:hAnsi="Times New Roman"/>
          <w:sz w:val="24"/>
          <w:szCs w:val="24"/>
          <w:lang w:eastAsia="ja-JP"/>
        </w:rPr>
        <w:t xml:space="preserve">Zavedením týchto prísnejších požiadaviek sa zníži riziko zlyhania doplnkových dôchodkových spoločností alebo </w:t>
      </w:r>
      <w:r w:rsidRPr="009A2F8A">
        <w:rPr>
          <w:rFonts w:ascii="Times New Roman" w:eastAsia="MS Mincho" w:hAnsi="Times New Roman" w:hint="default"/>
          <w:color w:val="000000"/>
          <w:sz w:val="24"/>
          <w:szCs w:val="24"/>
          <w:lang w:eastAsia="ja-JP"/>
        </w:rPr>
        <w:t>zamestnanecký</w:t>
      </w:r>
      <w:r w:rsidRPr="009A2F8A">
        <w:rPr>
          <w:rFonts w:ascii="Times New Roman" w:eastAsia="MS Mincho" w:hAnsi="Times New Roman" w:hint="default"/>
          <w:color w:val="000000"/>
          <w:sz w:val="24"/>
          <w:szCs w:val="24"/>
          <w:lang w:eastAsia="ja-JP"/>
        </w:rPr>
        <w:t>ch dô</w:t>
      </w:r>
      <w:r w:rsidRPr="009A2F8A">
        <w:rPr>
          <w:rFonts w:ascii="Times New Roman" w:eastAsia="MS Mincho" w:hAnsi="Times New Roman" w:hint="default"/>
          <w:color w:val="000000"/>
          <w:sz w:val="24"/>
          <w:szCs w:val="24"/>
          <w:lang w:eastAsia="ja-JP"/>
        </w:rPr>
        <w:t>chodkový</w:t>
      </w:r>
      <w:r w:rsidRPr="009A2F8A">
        <w:rPr>
          <w:rFonts w:ascii="Times New Roman" w:eastAsia="MS Mincho" w:hAnsi="Times New Roman" w:hint="default"/>
          <w:color w:val="000000"/>
          <w:sz w:val="24"/>
          <w:szCs w:val="24"/>
          <w:lang w:eastAsia="ja-JP"/>
        </w:rPr>
        <w:t>ch spoloč</w:t>
      </w:r>
      <w:r w:rsidRPr="009A2F8A">
        <w:rPr>
          <w:rFonts w:ascii="Times New Roman" w:eastAsia="MS Mincho" w:hAnsi="Times New Roman" w:hint="default"/>
          <w:color w:val="000000"/>
          <w:sz w:val="24"/>
          <w:szCs w:val="24"/>
          <w:lang w:eastAsia="ja-JP"/>
        </w:rPr>
        <w:t>ností</w:t>
      </w:r>
      <w:r w:rsidRPr="009A2F8A">
        <w:rPr>
          <w:rFonts w:ascii="Times New Roman" w:hAnsi="Times New Roman"/>
          <w:sz w:val="24"/>
          <w:szCs w:val="24"/>
          <w:lang w:eastAsia="ja-JP"/>
        </w:rPr>
        <w:t>, čo prispeje k vyššej stabilite finančného systému v rámci Slovenskej republiky, ako aj v rámci celej Európskej únie.</w:t>
      </w:r>
    </w:p>
    <w:p w:rsidR="003C6494" w:rsidRPr="009A2F8A" w:rsidP="009A2F8A">
      <w:pPr>
        <w:widowControl w:val="0"/>
        <w:bidi w:val="0"/>
        <w:adjustRightInd w:val="0"/>
        <w:spacing w:after="0" w:line="240" w:lineRule="auto"/>
        <w:ind w:firstLine="709"/>
        <w:jc w:val="both"/>
        <w:rPr>
          <w:rFonts w:ascii="Times New Roman" w:hAnsi="Times New Roman"/>
          <w:sz w:val="24"/>
          <w:szCs w:val="24"/>
          <w:highlight w:val="yellow"/>
          <w:lang w:eastAsia="ja-JP"/>
        </w:rPr>
      </w:pPr>
    </w:p>
    <w:p w:rsidR="003C6494" w:rsidRPr="009A2F8A" w:rsidP="009A2F8A">
      <w:pPr>
        <w:autoSpaceDE w:val="0"/>
        <w:autoSpaceDN w:val="0"/>
        <w:bidi w:val="0"/>
        <w:adjustRightInd w:val="0"/>
        <w:spacing w:after="0" w:line="240" w:lineRule="auto"/>
        <w:ind w:firstLine="709"/>
        <w:jc w:val="both"/>
        <w:rPr>
          <w:rFonts w:ascii="Times New Roman" w:hAnsi="Times New Roman"/>
          <w:sz w:val="24"/>
          <w:szCs w:val="24"/>
          <w:lang w:eastAsia="ja-JP"/>
        </w:rPr>
      </w:pPr>
      <w:r w:rsidR="000702DB">
        <w:rPr>
          <w:rFonts w:ascii="Times New Roman" w:hAnsi="Times New Roman"/>
          <w:sz w:val="24"/>
          <w:szCs w:val="24"/>
          <w:lang w:eastAsia="ja-JP"/>
        </w:rPr>
        <w:t>Vládny n</w:t>
      </w:r>
      <w:r>
        <w:rPr>
          <w:rFonts w:ascii="Times New Roman" w:hAnsi="Times New Roman"/>
          <w:sz w:val="24"/>
          <w:szCs w:val="24"/>
          <w:lang w:eastAsia="ja-JP"/>
        </w:rPr>
        <w:t>ávrh zákona nebol predmetom vnútrokomunitá</w:t>
      </w:r>
      <w:r w:rsidRPr="00255AE9">
        <w:rPr>
          <w:rFonts w:ascii="Times New Roman" w:hAnsi="Times New Roman"/>
          <w:sz w:val="24"/>
          <w:szCs w:val="24"/>
          <w:lang w:eastAsia="ja-JP"/>
        </w:rPr>
        <w:t>rneho pripomienkového konania.</w:t>
      </w:r>
      <w:r>
        <w:rPr>
          <w:rFonts w:ascii="Times New Roman" w:hAnsi="Times New Roman"/>
          <w:sz w:val="24"/>
          <w:szCs w:val="24"/>
          <w:lang w:eastAsia="ja-JP"/>
        </w:rPr>
        <w:t xml:space="preserve"> </w:t>
      </w:r>
    </w:p>
    <w:p w:rsidR="003C6494" w:rsidRPr="009A2F8A" w:rsidP="009A2F8A">
      <w:pPr>
        <w:autoSpaceDE w:val="0"/>
        <w:autoSpaceDN w:val="0"/>
        <w:bidi w:val="0"/>
        <w:adjustRightInd w:val="0"/>
        <w:spacing w:after="0" w:line="240" w:lineRule="auto"/>
        <w:ind w:firstLine="709"/>
        <w:jc w:val="both"/>
        <w:rPr>
          <w:rFonts w:ascii="Times New Roman" w:hAnsi="Times New Roman"/>
          <w:sz w:val="24"/>
          <w:szCs w:val="24"/>
          <w:lang w:eastAsia="ja-JP"/>
        </w:rPr>
      </w:pPr>
    </w:p>
    <w:p w:rsidR="003C6494" w:rsidRPr="00054266" w:rsidP="008102A8">
      <w:pPr>
        <w:pStyle w:val="NormalWeb"/>
        <w:bidi w:val="0"/>
        <w:spacing w:before="0" w:beforeAutospacing="0" w:after="0" w:afterAutospacing="0"/>
        <w:ind w:firstLine="709"/>
        <w:jc w:val="both"/>
        <w:rPr>
          <w:rFonts w:ascii="Times New Roman" w:hAnsi="Times New Roman"/>
        </w:rPr>
      </w:pPr>
      <w:r w:rsidRPr="00054266">
        <w:rPr>
          <w:rFonts w:ascii="Times New Roman" w:hAnsi="Times New Roman"/>
        </w:rPr>
        <w:t xml:space="preserve">Vplyv </w:t>
      </w:r>
      <w:r w:rsidR="000702DB">
        <w:rPr>
          <w:rFonts w:ascii="Times New Roman" w:hAnsi="Times New Roman"/>
        </w:rPr>
        <w:t xml:space="preserve">vládneho </w:t>
      </w:r>
      <w:r w:rsidRPr="00054266">
        <w:rPr>
          <w:rFonts w:ascii="Times New Roman" w:hAnsi="Times New Roman"/>
        </w:rPr>
        <w:t>návrhu zákona na rozpočet verejnej správy, na podnikateľské prostredie, na hospodárenie obyvateľstva, na sociálnu exklúziu, rovnosť príležitostí a rodovú rovnosť, na zamestnanosť, na životné prostredie a na informatizáciu spoločnosti je uvedený v doložke vybraných vplyvov.</w:t>
      </w:r>
    </w:p>
    <w:p w:rsidR="003C6494" w:rsidRPr="009A2F8A" w:rsidP="009A2F8A">
      <w:pPr>
        <w:autoSpaceDE w:val="0"/>
        <w:autoSpaceDN w:val="0"/>
        <w:bidi w:val="0"/>
        <w:adjustRightInd w:val="0"/>
        <w:spacing w:after="0" w:line="240" w:lineRule="auto"/>
        <w:jc w:val="both"/>
        <w:rPr>
          <w:rFonts w:ascii="Times New Roman" w:hAnsi="Times New Roman"/>
          <w:sz w:val="24"/>
          <w:szCs w:val="24"/>
          <w:lang w:eastAsia="ja-JP"/>
        </w:rPr>
      </w:pPr>
    </w:p>
    <w:p w:rsidR="003C6494" w:rsidRPr="009A2F8A" w:rsidP="009A2F8A">
      <w:pPr>
        <w:bidi w:val="0"/>
        <w:spacing w:after="0" w:line="240" w:lineRule="auto"/>
        <w:ind w:firstLine="709"/>
        <w:jc w:val="both"/>
        <w:rPr>
          <w:rFonts w:ascii="Times New Roman" w:hAnsi="Times New Roman"/>
          <w:color w:val="000000"/>
          <w:sz w:val="24"/>
          <w:szCs w:val="24"/>
          <w:lang w:eastAsia="ja-JP"/>
        </w:rPr>
      </w:pPr>
      <w:r w:rsidR="000702DB">
        <w:rPr>
          <w:rFonts w:ascii="Times New Roman" w:hAnsi="Times New Roman"/>
          <w:sz w:val="24"/>
          <w:szCs w:val="24"/>
          <w:lang w:eastAsia="ja-JP"/>
        </w:rPr>
        <w:t>Vládny n</w:t>
      </w:r>
      <w:r w:rsidRPr="009A2F8A">
        <w:rPr>
          <w:rFonts w:ascii="Times New Roman" w:hAnsi="Times New Roman"/>
          <w:sz w:val="24"/>
          <w:szCs w:val="24"/>
          <w:lang w:eastAsia="ja-JP"/>
        </w:rPr>
        <w:t>ávrh zákona je v súlade s Ústavou Slovenskej republiky, zákonmi a ostatnými všeobecne záväznými právnymi predpismi, ako aj s medzinárodnými zmluvami, ktorými je Slovenská republika viazaná a aj s právom Európskej únie.</w:t>
      </w:r>
    </w:p>
    <w:p w:rsidR="003C6494" w:rsidRPr="009A2F8A" w:rsidP="009A2F8A">
      <w:pPr>
        <w:bidi w:val="0"/>
        <w:spacing w:after="0" w:line="240" w:lineRule="auto"/>
        <w:jc w:val="both"/>
        <w:rPr>
          <w:rFonts w:ascii="Times New Roman" w:hAnsi="Times New Roman"/>
          <w:color w:val="000000"/>
          <w:sz w:val="24"/>
          <w:szCs w:val="24"/>
          <w:lang w:eastAsia="ja-JP"/>
        </w:rPr>
      </w:pPr>
    </w:p>
    <w:p w:rsidR="003C6494" w:rsidRPr="009A2F8A" w:rsidP="009A2F8A">
      <w:pPr>
        <w:bidi w:val="0"/>
        <w:spacing w:after="0" w:line="240" w:lineRule="auto"/>
        <w:ind w:firstLine="709"/>
        <w:jc w:val="both"/>
        <w:rPr>
          <w:rFonts w:ascii="Times New Roman" w:hAnsi="Times New Roman"/>
          <w:sz w:val="24"/>
          <w:szCs w:val="24"/>
        </w:rPr>
      </w:pPr>
      <w:r w:rsidRPr="009A2F8A">
        <w:rPr>
          <w:rFonts w:ascii="Times New Roman" w:hAnsi="Times New Roman"/>
          <w:sz w:val="24"/>
          <w:szCs w:val="24"/>
        </w:rPr>
        <w:t>Navrhuje sa, aby zákon nadobudol účinnosť 1. decembra 2014.</w:t>
      </w:r>
    </w:p>
    <w:p w:rsidR="003C6494" w:rsidRPr="009A2F8A" w:rsidP="009A2F8A">
      <w:pPr>
        <w:bidi w:val="0"/>
        <w:spacing w:before="240" w:after="0" w:line="240" w:lineRule="auto"/>
        <w:ind w:firstLine="708"/>
        <w:jc w:val="both"/>
        <w:rPr>
          <w:rFonts w:ascii="Times New Roman" w:eastAsia="MS Mincho" w:hAnsi="Times New Roman"/>
          <w:sz w:val="24"/>
          <w:szCs w:val="24"/>
          <w:highlight w:val="yellow"/>
          <w:lang w:eastAsia="ja-JP"/>
        </w:rPr>
      </w:pPr>
    </w:p>
    <w:p w:rsidR="003C6494" w:rsidRPr="00746FC2" w:rsidP="00054266">
      <w:pPr>
        <w:bidi w:val="0"/>
        <w:spacing w:after="0" w:line="240" w:lineRule="auto"/>
        <w:ind w:firstLine="708"/>
        <w:jc w:val="both"/>
        <w:rPr>
          <w:rStyle w:val="PlaceholderText"/>
          <w:color w:val="000000"/>
          <w:sz w:val="24"/>
          <w:szCs w:val="24"/>
          <w:highlight w:val="yellow"/>
        </w:rPr>
      </w:pPr>
    </w:p>
    <w:sectPr w:rsidSect="0021745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7C3"/>
    <w:multiLevelType w:val="hybridMultilevel"/>
    <w:tmpl w:val="D3BEC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9230DB7"/>
    <w:multiLevelType w:val="hybridMultilevel"/>
    <w:tmpl w:val="950C51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32D403B"/>
    <w:multiLevelType w:val="hybridMultilevel"/>
    <w:tmpl w:val="BAEA1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CDF6C8D"/>
    <w:multiLevelType w:val="hybridMultilevel"/>
    <w:tmpl w:val="7C66B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CED1364"/>
    <w:multiLevelType w:val="hybridMultilevel"/>
    <w:tmpl w:val="53D6B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1767EE7"/>
    <w:multiLevelType w:val="hybridMultilevel"/>
    <w:tmpl w:val="5A388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3704D78"/>
    <w:multiLevelType w:val="hybridMultilevel"/>
    <w:tmpl w:val="A6A6C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CD00E81"/>
    <w:multiLevelType w:val="hybridMultilevel"/>
    <w:tmpl w:val="53566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A14CC"/>
    <w:rsid w:val="00012158"/>
    <w:rsid w:val="00016859"/>
    <w:rsid w:val="00035F95"/>
    <w:rsid w:val="00044F2C"/>
    <w:rsid w:val="00054266"/>
    <w:rsid w:val="000702DB"/>
    <w:rsid w:val="000779F0"/>
    <w:rsid w:val="00090806"/>
    <w:rsid w:val="00094B35"/>
    <w:rsid w:val="000D6608"/>
    <w:rsid w:val="00107ED3"/>
    <w:rsid w:val="00117242"/>
    <w:rsid w:val="001308F2"/>
    <w:rsid w:val="00135585"/>
    <w:rsid w:val="00165966"/>
    <w:rsid w:val="00172DC8"/>
    <w:rsid w:val="00177F1C"/>
    <w:rsid w:val="001A26F2"/>
    <w:rsid w:val="001B6485"/>
    <w:rsid w:val="001D2C68"/>
    <w:rsid w:val="001F5B63"/>
    <w:rsid w:val="00207626"/>
    <w:rsid w:val="00212193"/>
    <w:rsid w:val="00217457"/>
    <w:rsid w:val="002456DF"/>
    <w:rsid w:val="00245C1F"/>
    <w:rsid w:val="00255AE9"/>
    <w:rsid w:val="002659F9"/>
    <w:rsid w:val="0029027F"/>
    <w:rsid w:val="002B6715"/>
    <w:rsid w:val="002C2A66"/>
    <w:rsid w:val="002C529B"/>
    <w:rsid w:val="002C7183"/>
    <w:rsid w:val="002D27DE"/>
    <w:rsid w:val="002E1E38"/>
    <w:rsid w:val="002F281A"/>
    <w:rsid w:val="00304221"/>
    <w:rsid w:val="00311A5A"/>
    <w:rsid w:val="00315FB2"/>
    <w:rsid w:val="00323F28"/>
    <w:rsid w:val="00332022"/>
    <w:rsid w:val="00334F12"/>
    <w:rsid w:val="003574B4"/>
    <w:rsid w:val="0036000E"/>
    <w:rsid w:val="003712E1"/>
    <w:rsid w:val="00384613"/>
    <w:rsid w:val="003C6494"/>
    <w:rsid w:val="003D0BBF"/>
    <w:rsid w:val="0042167B"/>
    <w:rsid w:val="00426276"/>
    <w:rsid w:val="00441F1E"/>
    <w:rsid w:val="004437FC"/>
    <w:rsid w:val="00447A20"/>
    <w:rsid w:val="004511B6"/>
    <w:rsid w:val="00482A76"/>
    <w:rsid w:val="00491117"/>
    <w:rsid w:val="004A5579"/>
    <w:rsid w:val="004B4374"/>
    <w:rsid w:val="005160BF"/>
    <w:rsid w:val="00532F77"/>
    <w:rsid w:val="00552F6F"/>
    <w:rsid w:val="005618C6"/>
    <w:rsid w:val="00564E71"/>
    <w:rsid w:val="00566D78"/>
    <w:rsid w:val="005A1D38"/>
    <w:rsid w:val="005A5F3B"/>
    <w:rsid w:val="005D2D13"/>
    <w:rsid w:val="005D545B"/>
    <w:rsid w:val="0060362D"/>
    <w:rsid w:val="00614D1C"/>
    <w:rsid w:val="0064745D"/>
    <w:rsid w:val="00656887"/>
    <w:rsid w:val="00672BF2"/>
    <w:rsid w:val="00675435"/>
    <w:rsid w:val="006755A7"/>
    <w:rsid w:val="006B11A1"/>
    <w:rsid w:val="006B15B3"/>
    <w:rsid w:val="006B3F51"/>
    <w:rsid w:val="006C15FA"/>
    <w:rsid w:val="0072321E"/>
    <w:rsid w:val="007273F6"/>
    <w:rsid w:val="00746FC2"/>
    <w:rsid w:val="007604EE"/>
    <w:rsid w:val="00761830"/>
    <w:rsid w:val="00763E26"/>
    <w:rsid w:val="00770940"/>
    <w:rsid w:val="0077572D"/>
    <w:rsid w:val="0077780D"/>
    <w:rsid w:val="00797097"/>
    <w:rsid w:val="007B37C7"/>
    <w:rsid w:val="007F7685"/>
    <w:rsid w:val="00802783"/>
    <w:rsid w:val="00806F62"/>
    <w:rsid w:val="008102A8"/>
    <w:rsid w:val="008115CD"/>
    <w:rsid w:val="0082520C"/>
    <w:rsid w:val="0083086F"/>
    <w:rsid w:val="008B03D4"/>
    <w:rsid w:val="008B0F2D"/>
    <w:rsid w:val="008C5206"/>
    <w:rsid w:val="008C593B"/>
    <w:rsid w:val="008E30F1"/>
    <w:rsid w:val="008E4788"/>
    <w:rsid w:val="008F6A3D"/>
    <w:rsid w:val="00905829"/>
    <w:rsid w:val="00906908"/>
    <w:rsid w:val="00914DD1"/>
    <w:rsid w:val="00970D9E"/>
    <w:rsid w:val="009747CD"/>
    <w:rsid w:val="00986D97"/>
    <w:rsid w:val="009873E4"/>
    <w:rsid w:val="009A14F8"/>
    <w:rsid w:val="009A2F8A"/>
    <w:rsid w:val="009A42BE"/>
    <w:rsid w:val="009B54FF"/>
    <w:rsid w:val="009D002B"/>
    <w:rsid w:val="009D2022"/>
    <w:rsid w:val="009D588D"/>
    <w:rsid w:val="009E36AB"/>
    <w:rsid w:val="009F5D5F"/>
    <w:rsid w:val="00A12C33"/>
    <w:rsid w:val="00A3166F"/>
    <w:rsid w:val="00A36BB5"/>
    <w:rsid w:val="00A417EB"/>
    <w:rsid w:val="00A56E61"/>
    <w:rsid w:val="00A637B6"/>
    <w:rsid w:val="00A677B7"/>
    <w:rsid w:val="00A82EE6"/>
    <w:rsid w:val="00A92F85"/>
    <w:rsid w:val="00AA0791"/>
    <w:rsid w:val="00AC0960"/>
    <w:rsid w:val="00AD296E"/>
    <w:rsid w:val="00AE3824"/>
    <w:rsid w:val="00AE5307"/>
    <w:rsid w:val="00AE5CC4"/>
    <w:rsid w:val="00AF108D"/>
    <w:rsid w:val="00AF2E58"/>
    <w:rsid w:val="00B06615"/>
    <w:rsid w:val="00B36973"/>
    <w:rsid w:val="00B36B9E"/>
    <w:rsid w:val="00B50959"/>
    <w:rsid w:val="00B60278"/>
    <w:rsid w:val="00B66885"/>
    <w:rsid w:val="00B97EA8"/>
    <w:rsid w:val="00BD1558"/>
    <w:rsid w:val="00BD542E"/>
    <w:rsid w:val="00BE1E38"/>
    <w:rsid w:val="00BE546B"/>
    <w:rsid w:val="00BF3F73"/>
    <w:rsid w:val="00C2752A"/>
    <w:rsid w:val="00C77E55"/>
    <w:rsid w:val="00C806B6"/>
    <w:rsid w:val="00C97315"/>
    <w:rsid w:val="00CA1AFE"/>
    <w:rsid w:val="00CA1FE7"/>
    <w:rsid w:val="00CA6AD8"/>
    <w:rsid w:val="00CD19A8"/>
    <w:rsid w:val="00CF1591"/>
    <w:rsid w:val="00D05318"/>
    <w:rsid w:val="00D17411"/>
    <w:rsid w:val="00D24F2F"/>
    <w:rsid w:val="00D331D3"/>
    <w:rsid w:val="00D67D06"/>
    <w:rsid w:val="00D7793A"/>
    <w:rsid w:val="00D85095"/>
    <w:rsid w:val="00D95C83"/>
    <w:rsid w:val="00D974A5"/>
    <w:rsid w:val="00DA14CC"/>
    <w:rsid w:val="00DC5FAE"/>
    <w:rsid w:val="00DC7FAB"/>
    <w:rsid w:val="00DD7F29"/>
    <w:rsid w:val="00DE2DF3"/>
    <w:rsid w:val="00E000C2"/>
    <w:rsid w:val="00E3499E"/>
    <w:rsid w:val="00E372CF"/>
    <w:rsid w:val="00E440C4"/>
    <w:rsid w:val="00E52B3D"/>
    <w:rsid w:val="00E60A1C"/>
    <w:rsid w:val="00E70A0E"/>
    <w:rsid w:val="00E92C6E"/>
    <w:rsid w:val="00F05CFB"/>
    <w:rsid w:val="00F16804"/>
    <w:rsid w:val="00F22F6D"/>
    <w:rsid w:val="00F27262"/>
    <w:rsid w:val="00F2731E"/>
    <w:rsid w:val="00F44A1D"/>
    <w:rsid w:val="00F455DD"/>
    <w:rsid w:val="00F47BD8"/>
    <w:rsid w:val="00F51FED"/>
    <w:rsid w:val="00F52AB7"/>
    <w:rsid w:val="00F53286"/>
    <w:rsid w:val="00F56D9E"/>
    <w:rsid w:val="00F63BF0"/>
    <w:rsid w:val="00F92F67"/>
    <w:rsid w:val="00FA2DBD"/>
    <w:rsid w:val="00FB181A"/>
    <w:rsid w:val="00FB4CC1"/>
    <w:rsid w:val="00FD26A9"/>
    <w:rsid w:val="00FE1134"/>
    <w:rsid w:val="00FF55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D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D95C83"/>
    <w:pPr>
      <w:spacing w:before="100" w:beforeAutospacing="1" w:after="100" w:afterAutospacing="1" w:line="240" w:lineRule="auto"/>
      <w:jc w:val="left"/>
    </w:pPr>
    <w:rPr>
      <w:rFonts w:ascii="Times New Roman" w:hAnsi="Times New Roman"/>
      <w:sz w:val="24"/>
      <w:szCs w:val="24"/>
    </w:rPr>
  </w:style>
  <w:style w:type="character" w:styleId="CommentReference">
    <w:name w:val="annotation reference"/>
    <w:basedOn w:val="DefaultParagraphFont"/>
    <w:uiPriority w:val="99"/>
    <w:semiHidden/>
    <w:rsid w:val="005D2D13"/>
    <w:rPr>
      <w:rFonts w:cs="Times New Roman"/>
      <w:sz w:val="16"/>
      <w:szCs w:val="16"/>
      <w:rtl w:val="0"/>
      <w:cs w:val="0"/>
    </w:rPr>
  </w:style>
  <w:style w:type="paragraph" w:styleId="CommentText">
    <w:name w:val="annotation text"/>
    <w:basedOn w:val="Normal"/>
    <w:link w:val="TextkomentraChar"/>
    <w:uiPriority w:val="99"/>
    <w:semiHidden/>
    <w:rsid w:val="005D2D13"/>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5D2D13"/>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5D2D13"/>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D2D13"/>
    <w:rPr>
      <w:b/>
      <w:bCs/>
    </w:rPr>
  </w:style>
  <w:style w:type="paragraph" w:styleId="BalloonText">
    <w:name w:val="Balloon Text"/>
    <w:basedOn w:val="Normal"/>
    <w:link w:val="TextbublinyChar"/>
    <w:uiPriority w:val="99"/>
    <w:semiHidden/>
    <w:rsid w:val="005D2D13"/>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D2D13"/>
    <w:rPr>
      <w:rFonts w:ascii="Tahoma" w:hAnsi="Tahoma" w:cs="Tahoma"/>
      <w:sz w:val="16"/>
      <w:szCs w:val="16"/>
      <w:rtl w:val="0"/>
      <w:cs w:val="0"/>
    </w:rPr>
  </w:style>
  <w:style w:type="table" w:styleId="TableGrid">
    <w:name w:val="Table Grid"/>
    <w:basedOn w:val="TableNormal"/>
    <w:uiPriority w:val="99"/>
    <w:rsid w:val="004B4374"/>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FB4CC1"/>
    <w:pPr>
      <w:ind w:left="720"/>
      <w:contextualSpacing/>
      <w:jc w:val="left"/>
    </w:pPr>
  </w:style>
  <w:style w:type="character" w:styleId="PlaceholderText">
    <w:name w:val="Placeholder Text"/>
    <w:basedOn w:val="DefaultParagraphFont"/>
    <w:uiPriority w:val="99"/>
    <w:semiHidden/>
    <w:rsid w:val="00AC0960"/>
    <w:rPr>
      <w:rFonts w:ascii="Times New Roman" w:hAnsi="Times New Roman" w:cs="Times New Roman"/>
      <w:color w:val="808080"/>
      <w:rtl w:val="0"/>
      <w:cs w:val="0"/>
    </w:rPr>
  </w:style>
  <w:style w:type="paragraph" w:styleId="FootnoteText">
    <w:name w:val="footnote text"/>
    <w:basedOn w:val="Normal"/>
    <w:link w:val="TextpoznmkypodiarouChar"/>
    <w:uiPriority w:val="99"/>
    <w:semiHidden/>
    <w:rsid w:val="008115CD"/>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8115CD"/>
    <w:rPr>
      <w:rFonts w:ascii="Calibri" w:hAnsi="Calibri"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434</Words>
  <Characters>2923</Characters>
  <Application>Microsoft Office Word</Application>
  <DocSecurity>0</DocSecurity>
  <Lines>0</Lines>
  <Paragraphs>0</Paragraphs>
  <ScaleCrop>false</ScaleCrop>
  <Company>MPSVR</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tutkova</dc:creator>
  <cp:lastModifiedBy>cebulakova</cp:lastModifiedBy>
  <cp:revision>2</cp:revision>
  <dcterms:created xsi:type="dcterms:W3CDTF">2014-08-21T06:32:00Z</dcterms:created>
  <dcterms:modified xsi:type="dcterms:W3CDTF">2014-08-21T06:32:00Z</dcterms:modified>
</cp:coreProperties>
</file>