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86663" w:rsidRPr="0017622F" w:rsidP="00486663">
      <w:pPr>
        <w:widowControl/>
        <w:suppressAutoHyphens w:val="0"/>
        <w:bidi w:val="0"/>
        <w:spacing w:line="276" w:lineRule="auto"/>
        <w:jc w:val="center"/>
        <w:rPr>
          <w:rFonts w:ascii="Calibri" w:hAnsi="Calibri" w:cs="Calibri"/>
          <w:sz w:val="22"/>
          <w:szCs w:val="22"/>
          <w:lang w:eastAsia="en-US" w:bidi="ar-SA"/>
        </w:rPr>
      </w:pPr>
      <w:r w:rsidRPr="0017622F">
        <w:rPr>
          <w:rFonts w:eastAsia="Times New Roman" w:cs="Calibri"/>
          <w:b/>
          <w:bCs/>
          <w:caps/>
          <w:spacing w:val="30"/>
          <w:lang w:eastAsia="en-US" w:bidi="ar-SA"/>
        </w:rPr>
        <w:t>Doložka zlučiteľnosti</w:t>
      </w:r>
    </w:p>
    <w:p w:rsidR="00486663" w:rsidRPr="0017622F" w:rsidP="00486663">
      <w:pPr>
        <w:suppressAutoHyphens w:val="0"/>
        <w:autoSpaceDN w:val="0"/>
        <w:bidi w:val="0"/>
        <w:adjustRightInd w:val="0"/>
        <w:spacing w:line="200" w:lineRule="atLeast"/>
        <w:jc w:val="center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právneho predpisu s právom Európskej únie</w:t>
      </w:r>
    </w:p>
    <w:p w:rsidR="00486663" w:rsidRPr="0017622F" w:rsidP="00486663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486663" w:rsidRPr="0017622F" w:rsidP="00486663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1. Predkladateľ právneho predpisu:</w:t>
      </w:r>
      <w:r w:rsidRPr="0017622F">
        <w:rPr>
          <w:rFonts w:eastAsia="Times New Roman" w:cs="Times New Roman"/>
          <w:lang w:eastAsia="en-US" w:bidi="ar-SA"/>
        </w:rPr>
        <w:t xml:space="preserve"> </w:t>
      </w:r>
      <w:r>
        <w:rPr>
          <w:rFonts w:eastAsia="Times New Roman" w:cs="Times New Roman"/>
          <w:lang w:eastAsia="en-US" w:bidi="ar-SA"/>
        </w:rPr>
        <w:tab/>
        <w:t xml:space="preserve">poslanci </w:t>
      </w:r>
      <w:r w:rsidRPr="0017622F">
        <w:rPr>
          <w:rFonts w:eastAsia="Times New Roman" w:cs="Times New Roman"/>
          <w:lang w:eastAsia="en-US" w:bidi="ar-SA"/>
        </w:rPr>
        <w:t>Národnej rady Slovenskej republiky</w:t>
      </w:r>
      <w:r>
        <w:rPr>
          <w:rFonts w:eastAsia="Times New Roman" w:cs="Times New Roman"/>
          <w:lang w:eastAsia="en-US" w:bidi="ar-SA"/>
        </w:rPr>
        <w:t xml:space="preserve"> Miroslav Beblavý a Lucia Žitňanská</w:t>
      </w:r>
    </w:p>
    <w:p w:rsidR="00486663" w:rsidRPr="0017622F" w:rsidP="00486663">
      <w:pPr>
        <w:tabs>
          <w:tab w:val="left" w:pos="360"/>
        </w:tabs>
        <w:suppressAutoHyphens w:val="0"/>
        <w:autoSpaceDN w:val="0"/>
        <w:bidi w:val="0"/>
        <w:adjustRightInd w:val="0"/>
        <w:spacing w:line="200" w:lineRule="atLeast"/>
        <w:ind w:left="360"/>
        <w:jc w:val="both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 xml:space="preserve"> </w:t>
      </w:r>
    </w:p>
    <w:p w:rsidR="00486663" w:rsidP="00486663">
      <w:pPr>
        <w:suppressAutoHyphens w:val="0"/>
        <w:autoSpaceDN w:val="0"/>
        <w:bidi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2. Názov návrhu právneho predpisu:</w:t>
      </w:r>
      <w:r>
        <w:rPr>
          <w:rFonts w:eastAsia="Times New Roman" w:cs="Times New Roman"/>
          <w:lang w:eastAsia="en-US" w:bidi="ar-SA"/>
        </w:rPr>
        <w:t xml:space="preserve"> Návrh zákona </w:t>
      </w:r>
      <w:r w:rsidRPr="000B3BCB">
        <w:rPr>
          <w:rFonts w:eastAsia="Times New Roman" w:cs="Times New Roman"/>
          <w:lang w:eastAsia="en-US" w:bidi="ar-SA"/>
        </w:rPr>
        <w:t>o ochrane národnej bezpečnosti pri zmene vlastníctva strategického majetku a o zmene a doplnení niektorých zákonov</w:t>
      </w:r>
      <w:r>
        <w:rPr>
          <w:rFonts w:eastAsia="Times New Roman" w:cs="Times New Roman"/>
          <w:lang w:eastAsia="en-US" w:bidi="ar-SA"/>
        </w:rPr>
        <w:t>.</w:t>
      </w:r>
    </w:p>
    <w:p w:rsidR="00486663" w:rsidP="00486663">
      <w:pPr>
        <w:suppressAutoHyphens w:val="0"/>
        <w:autoSpaceDN w:val="0"/>
        <w:bidi w:val="0"/>
        <w:adjustRightInd w:val="0"/>
        <w:spacing w:line="200" w:lineRule="atLeast"/>
        <w:rPr>
          <w:rFonts w:eastAsia="Times New Roman" w:cs="Times New Roman"/>
          <w:lang w:eastAsia="en-US" w:bidi="ar-SA"/>
        </w:rPr>
      </w:pPr>
    </w:p>
    <w:p w:rsidR="00486663" w:rsidP="00486663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eastAsia="Times New Roman" w:cs="Times New Roman"/>
          <w:b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3.</w:t>
        <w:tab/>
        <w:t>Problematika návrhu právneho predpisu:</w:t>
      </w:r>
    </w:p>
    <w:p w:rsidR="00486663" w:rsidP="00486663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eastAsia="Times New Roman" w:cs="Times New Roman"/>
          <w:b/>
          <w:lang w:eastAsia="en-US" w:bidi="ar-SA"/>
        </w:rPr>
      </w:pPr>
    </w:p>
    <w:p w:rsidR="00486663" w:rsidRPr="0059264F" w:rsidP="00486663">
      <w:pPr>
        <w:bidi w:val="0"/>
        <w:jc w:val="both"/>
        <w:rPr>
          <w:rFonts w:cs="Times New Roman" w:hint="default"/>
        </w:rPr>
      </w:pPr>
      <w:r w:rsidRPr="0059264F">
        <w:rPr>
          <w:rFonts w:cs="Times New Roman"/>
        </w:rPr>
        <w:t>a)</w:t>
        <w:tab/>
      </w:r>
      <w:r w:rsidRPr="0059264F">
        <w:rPr>
          <w:rFonts w:cs="Times New Roman" w:hint="default"/>
        </w:rPr>
        <w:t>je upravená</w:t>
      </w:r>
      <w:r w:rsidRPr="0059264F">
        <w:rPr>
          <w:rFonts w:cs="Times New Roman" w:hint="default"/>
        </w:rPr>
        <w:t xml:space="preserve"> v prá</w:t>
      </w:r>
      <w:r w:rsidRPr="0059264F">
        <w:rPr>
          <w:rFonts w:cs="Times New Roman" w:hint="default"/>
        </w:rPr>
        <w:t>ve Euró</w:t>
      </w:r>
      <w:r w:rsidRPr="0059264F">
        <w:rPr>
          <w:rFonts w:cs="Times New Roman" w:hint="default"/>
        </w:rPr>
        <w:t>pskej ú</w:t>
      </w:r>
      <w:r w:rsidRPr="0059264F">
        <w:rPr>
          <w:rFonts w:cs="Times New Roman" w:hint="default"/>
        </w:rPr>
        <w:t>nie</w:t>
      </w:r>
    </w:p>
    <w:p w:rsidR="00486663" w:rsidRPr="0059264F" w:rsidP="00486663">
      <w:pPr>
        <w:bidi w:val="0"/>
        <w:jc w:val="both"/>
        <w:rPr>
          <w:rFonts w:cs="Times New Roman" w:hint="default"/>
        </w:rPr>
      </w:pPr>
    </w:p>
    <w:p w:rsidR="00486663" w:rsidRPr="00C92858" w:rsidP="00486663">
      <w:pPr>
        <w:bidi w:val="0"/>
        <w:jc w:val="both"/>
        <w:rPr>
          <w:rFonts w:cs="Times New Roman" w:hint="default"/>
          <w:i/>
        </w:rPr>
      </w:pPr>
      <w:r w:rsidRPr="00C92858">
        <w:rPr>
          <w:rFonts w:cs="Times New Roman"/>
          <w:i/>
        </w:rPr>
        <w:t>-</w:t>
        <w:tab/>
      </w:r>
      <w:r w:rsidRPr="00C92858">
        <w:rPr>
          <w:rFonts w:cs="Times New Roman" w:hint="default"/>
          <w:i/>
        </w:rPr>
        <w:t>primá</w:t>
      </w:r>
      <w:r w:rsidRPr="00C92858">
        <w:rPr>
          <w:rFonts w:cs="Times New Roman" w:hint="default"/>
          <w:i/>
        </w:rPr>
        <w:t>rnom</w:t>
      </w:r>
    </w:p>
    <w:p w:rsidR="00486663" w:rsidRPr="0059264F" w:rsidP="00486663">
      <w:pPr>
        <w:bidi w:val="0"/>
        <w:jc w:val="both"/>
        <w:rPr>
          <w:rFonts w:cs="Times New Roman"/>
        </w:rPr>
      </w:pPr>
    </w:p>
    <w:p w:rsidR="00486663" w:rsidP="00486663">
      <w:pPr>
        <w:bidi w:val="0"/>
        <w:jc w:val="both"/>
      </w:pPr>
      <w:r>
        <w:rPr>
          <w:rFonts w:hint="default"/>
        </w:rPr>
        <w:t>č</w:t>
      </w:r>
      <w:r>
        <w:rPr>
          <w:rFonts w:hint="default"/>
        </w:rPr>
        <w:t>l. 4 ods. 2 Zmluvy o </w:t>
      </w:r>
      <w:r>
        <w:rPr>
          <w:rFonts w:hint="default"/>
        </w:rPr>
        <w:t>Euró</w:t>
      </w:r>
      <w:r>
        <w:rPr>
          <w:rFonts w:hint="default"/>
        </w:rPr>
        <w:t>pskej ú</w:t>
      </w:r>
      <w:r>
        <w:rPr>
          <w:rFonts w:hint="default"/>
        </w:rPr>
        <w:t>nii (</w:t>
      </w:r>
      <w:r w:rsidRPr="00841025">
        <w:rPr>
          <w:rFonts w:hint="default"/>
        </w:rPr>
        <w:t>ná</w:t>
      </w:r>
      <w:r w:rsidRPr="00841025">
        <w:rPr>
          <w:rFonts w:hint="default"/>
        </w:rPr>
        <w:t>rodná</w:t>
      </w:r>
      <w:r w:rsidRPr="00841025">
        <w:rPr>
          <w:rFonts w:hint="default"/>
        </w:rPr>
        <w:t xml:space="preserve"> bezpeč</w:t>
      </w:r>
      <w:r w:rsidRPr="00841025">
        <w:rPr>
          <w:rFonts w:hint="default"/>
        </w:rPr>
        <w:t>nosť</w:t>
      </w:r>
      <w:r w:rsidRPr="00841025">
        <w:rPr>
          <w:rFonts w:hint="default"/>
        </w:rPr>
        <w:t xml:space="preserve"> </w:t>
      </w:r>
      <w:r>
        <w:rPr>
          <w:rFonts w:hint="default"/>
        </w:rPr>
        <w:t>ako vý</w:t>
      </w:r>
      <w:r>
        <w:rPr>
          <w:rFonts w:hint="default"/>
        </w:rPr>
        <w:t>luč</w:t>
      </w:r>
      <w:r>
        <w:rPr>
          <w:rFonts w:hint="default"/>
        </w:rPr>
        <w:t>ná</w:t>
      </w:r>
      <w:r>
        <w:rPr>
          <w:rFonts w:hint="default"/>
        </w:rPr>
        <w:t xml:space="preserve"> </w:t>
      </w:r>
      <w:r w:rsidRPr="00841025">
        <w:t>zodpo</w:t>
      </w:r>
      <w:r>
        <w:rPr>
          <w:rFonts w:hint="default"/>
        </w:rPr>
        <w:t>vednosť</w:t>
      </w:r>
      <w:r>
        <w:rPr>
          <w:rFonts w:hint="default"/>
        </w:rPr>
        <w:t xml:space="preserve"> </w:t>
      </w:r>
      <w:r w:rsidRPr="000C74C5">
        <w:rPr>
          <w:rFonts w:hint="default"/>
        </w:rPr>
        <w:t>kaž</w:t>
      </w:r>
      <w:r w:rsidRPr="000C74C5">
        <w:rPr>
          <w:rFonts w:hint="default"/>
        </w:rPr>
        <w:t>dé</w:t>
      </w:r>
      <w:r w:rsidRPr="000C74C5">
        <w:rPr>
          <w:rFonts w:hint="default"/>
        </w:rPr>
        <w:t>ho č</w:t>
      </w:r>
      <w:r w:rsidRPr="000C74C5">
        <w:rPr>
          <w:rFonts w:hint="default"/>
        </w:rPr>
        <w:t>lenské</w:t>
      </w:r>
      <w:r w:rsidRPr="000C74C5">
        <w:rPr>
          <w:rFonts w:hint="default"/>
        </w:rPr>
        <w:t>ho š</w:t>
      </w:r>
      <w:r w:rsidRPr="000C74C5">
        <w:rPr>
          <w:rFonts w:hint="default"/>
        </w:rPr>
        <w:t>tá</w:t>
      </w:r>
      <w:r w:rsidRPr="000C74C5">
        <w:rPr>
          <w:rFonts w:hint="default"/>
        </w:rPr>
        <w:t>tu</w:t>
      </w:r>
      <w:r>
        <w:t>)</w:t>
      </w:r>
    </w:p>
    <w:p w:rsidR="00486663" w:rsidRPr="0059264F" w:rsidP="00486663">
      <w:pPr>
        <w:bidi w:val="0"/>
        <w:jc w:val="both"/>
        <w:rPr>
          <w:rFonts w:cs="Times New Roman"/>
        </w:rPr>
      </w:pPr>
    </w:p>
    <w:p w:rsidR="00486663" w:rsidP="00486663">
      <w:pPr>
        <w:bidi w:val="0"/>
        <w:jc w:val="both"/>
        <w:rPr>
          <w:rFonts w:cs="Times New Roman"/>
          <w:i/>
        </w:rPr>
      </w:pPr>
      <w:r w:rsidRPr="00C92858">
        <w:rPr>
          <w:rFonts w:cs="Times New Roman"/>
          <w:i/>
        </w:rPr>
        <w:t>-</w:t>
        <w:tab/>
      </w:r>
      <w:r w:rsidRPr="00C92858">
        <w:rPr>
          <w:rFonts w:cs="Times New Roman" w:hint="default"/>
          <w:i/>
        </w:rPr>
        <w:t>sekundá</w:t>
      </w:r>
      <w:r w:rsidRPr="00C92858">
        <w:rPr>
          <w:rFonts w:cs="Times New Roman" w:hint="default"/>
          <w:i/>
        </w:rPr>
        <w:t>rnom (prijatom po nadobudnutí</w:t>
      </w:r>
      <w:r w:rsidRPr="00C92858">
        <w:rPr>
          <w:rFonts w:cs="Times New Roman" w:hint="default"/>
          <w:i/>
        </w:rPr>
        <w:t xml:space="preserve">  platnosti Lisabonskej zmluvy, ktorou sa mení</w:t>
      </w:r>
      <w:r w:rsidRPr="00C92858">
        <w:rPr>
          <w:rFonts w:cs="Times New Roman" w:hint="default"/>
          <w:i/>
        </w:rPr>
        <w:t xml:space="preserve"> a dopĺň</w:t>
      </w:r>
      <w:r w:rsidRPr="00C92858">
        <w:rPr>
          <w:rFonts w:cs="Times New Roman" w:hint="default"/>
          <w:i/>
        </w:rPr>
        <w:t>a Zmluva o Euró</w:t>
      </w:r>
      <w:r w:rsidRPr="00C92858">
        <w:rPr>
          <w:rFonts w:cs="Times New Roman" w:hint="default"/>
          <w:i/>
        </w:rPr>
        <w:t>pskom spoloč</w:t>
      </w:r>
      <w:r w:rsidRPr="00C92858">
        <w:rPr>
          <w:rFonts w:cs="Times New Roman" w:hint="default"/>
          <w:i/>
        </w:rPr>
        <w:t>enstve a Zmluva o Euró</w:t>
      </w:r>
      <w:r w:rsidRPr="00C92858">
        <w:rPr>
          <w:rFonts w:cs="Times New Roman" w:hint="default"/>
          <w:i/>
        </w:rPr>
        <w:t>pskej ú</w:t>
      </w:r>
      <w:r w:rsidRPr="00C92858">
        <w:rPr>
          <w:rFonts w:cs="Times New Roman" w:hint="default"/>
          <w:i/>
        </w:rPr>
        <w:t xml:space="preserve">nii </w:t>
      </w:r>
      <w:r w:rsidRPr="00C92858">
        <w:rPr>
          <w:rFonts w:cs="Times New Roman" w:hint="default"/>
          <w:i/>
        </w:rPr>
        <w:t>–</w:t>
      </w:r>
      <w:r w:rsidRPr="00C92858">
        <w:rPr>
          <w:rFonts w:cs="Times New Roman" w:hint="default"/>
          <w:i/>
        </w:rPr>
        <w:t xml:space="preserve"> po 30. novembri 2009)</w:t>
      </w:r>
    </w:p>
    <w:p w:rsidR="00486663" w:rsidP="00486663">
      <w:pPr>
        <w:bidi w:val="0"/>
        <w:jc w:val="both"/>
        <w:rPr>
          <w:rFonts w:cs="Times New Roman"/>
          <w:i/>
        </w:rPr>
      </w:pPr>
    </w:p>
    <w:p w:rsidR="00486663" w:rsidP="00486663">
      <w:pPr>
        <w:bidi w:val="0"/>
        <w:jc w:val="both"/>
      </w:pPr>
      <w:r>
        <w:t>-</w:t>
        <w:tab/>
      </w:r>
      <w:r w:rsidRPr="000C74C5">
        <w:rPr>
          <w:rFonts w:hint="default"/>
        </w:rPr>
        <w:t>nie je upravená,</w:t>
      </w:r>
    </w:p>
    <w:p w:rsidR="00486663" w:rsidRPr="0059264F" w:rsidP="00486663">
      <w:pPr>
        <w:bidi w:val="0"/>
        <w:jc w:val="both"/>
        <w:rPr>
          <w:rFonts w:cs="Times New Roman"/>
        </w:rPr>
      </w:pPr>
    </w:p>
    <w:p w:rsidR="00486663" w:rsidRPr="00C92858" w:rsidP="00486663">
      <w:pPr>
        <w:bidi w:val="0"/>
        <w:jc w:val="both"/>
        <w:rPr>
          <w:rFonts w:cs="Times New Roman" w:hint="default"/>
          <w:i/>
        </w:rPr>
      </w:pPr>
      <w:r w:rsidRPr="00C92858">
        <w:rPr>
          <w:rFonts w:cs="Times New Roman"/>
          <w:i/>
        </w:rPr>
        <w:t>-</w:t>
        <w:tab/>
      </w:r>
      <w:r w:rsidRPr="00C92858">
        <w:rPr>
          <w:rFonts w:cs="Times New Roman" w:hint="default"/>
          <w:i/>
        </w:rPr>
        <w:t>sekundá</w:t>
      </w:r>
      <w:r w:rsidRPr="00C92858">
        <w:rPr>
          <w:rFonts w:cs="Times New Roman" w:hint="default"/>
          <w:i/>
        </w:rPr>
        <w:t>rnom (prijatom pred nadobudnutí</w:t>
      </w:r>
      <w:r w:rsidRPr="00C92858">
        <w:rPr>
          <w:rFonts w:cs="Times New Roman" w:hint="default"/>
          <w:i/>
        </w:rPr>
        <w:t>m platnosti Lisabonskej zmluvy, ktorou sa mení</w:t>
      </w:r>
      <w:r w:rsidRPr="00C92858">
        <w:rPr>
          <w:rFonts w:cs="Times New Roman" w:hint="default"/>
          <w:i/>
        </w:rPr>
        <w:t xml:space="preserve"> a dopĺň</w:t>
      </w:r>
      <w:r w:rsidRPr="00C92858">
        <w:rPr>
          <w:rFonts w:cs="Times New Roman" w:hint="default"/>
          <w:i/>
        </w:rPr>
        <w:t>a Zmluva o Euró</w:t>
      </w:r>
      <w:r w:rsidRPr="00C92858">
        <w:rPr>
          <w:rFonts w:cs="Times New Roman" w:hint="default"/>
          <w:i/>
        </w:rPr>
        <w:t>pskom spoloč</w:t>
      </w:r>
      <w:r w:rsidRPr="00C92858">
        <w:rPr>
          <w:rFonts w:cs="Times New Roman" w:hint="default"/>
          <w:i/>
        </w:rPr>
        <w:t>enstve a Zmluva o Euró</w:t>
      </w:r>
      <w:r w:rsidRPr="00C92858">
        <w:rPr>
          <w:rFonts w:cs="Times New Roman" w:hint="default"/>
          <w:i/>
        </w:rPr>
        <w:t>pskej ú</w:t>
      </w:r>
      <w:r w:rsidRPr="00C92858">
        <w:rPr>
          <w:rFonts w:cs="Times New Roman" w:hint="default"/>
          <w:i/>
        </w:rPr>
        <w:t xml:space="preserve">nii </w:t>
      </w:r>
      <w:r w:rsidRPr="00C92858">
        <w:rPr>
          <w:rFonts w:cs="Times New Roman" w:hint="default"/>
          <w:i/>
        </w:rPr>
        <w:t>–</w:t>
      </w:r>
      <w:r w:rsidRPr="00C92858">
        <w:rPr>
          <w:rFonts w:cs="Times New Roman" w:hint="default"/>
          <w:i/>
        </w:rPr>
        <w:t xml:space="preserve"> do 30. novembra 2009)</w:t>
      </w:r>
    </w:p>
    <w:p w:rsidR="00486663" w:rsidP="00486663">
      <w:pPr>
        <w:bidi w:val="0"/>
        <w:jc w:val="both"/>
        <w:rPr>
          <w:rFonts w:cs="Times New Roman"/>
        </w:rPr>
      </w:pPr>
    </w:p>
    <w:p w:rsidR="00486663" w:rsidP="00486663">
      <w:pPr>
        <w:bidi w:val="0"/>
        <w:jc w:val="both"/>
        <w:rPr>
          <w:rFonts w:cs="Times New Roman"/>
        </w:rPr>
      </w:pPr>
      <w:r>
        <w:rPr>
          <w:rFonts w:cs="Times New Roman"/>
        </w:rPr>
        <w:t xml:space="preserve"> -</w:t>
        <w:tab/>
      </w:r>
      <w:r w:rsidRPr="00D162D5">
        <w:rPr>
          <w:rFonts w:cs="Times New Roman" w:hint="default"/>
        </w:rPr>
        <w:t>nie je upravená,</w:t>
      </w:r>
    </w:p>
    <w:p w:rsidR="00486663" w:rsidP="00486663">
      <w:pPr>
        <w:bidi w:val="0"/>
        <w:jc w:val="both"/>
        <w:rPr>
          <w:rFonts w:cs="Times New Roman"/>
        </w:rPr>
      </w:pPr>
    </w:p>
    <w:p w:rsidR="00486663" w:rsidP="00486663">
      <w:pPr>
        <w:bidi w:val="0"/>
        <w:jc w:val="both"/>
        <w:rPr>
          <w:rFonts w:cs="Times New Roman" w:hint="default"/>
        </w:rPr>
      </w:pPr>
      <w:r>
        <w:rPr>
          <w:rFonts w:cs="Times New Roman"/>
        </w:rPr>
        <w:t>b)</w:t>
        <w:tab/>
      </w:r>
      <w:r>
        <w:rPr>
          <w:rFonts w:cs="Times New Roman" w:hint="default"/>
        </w:rPr>
        <w:t>je obsiahnutá</w:t>
      </w:r>
      <w:r>
        <w:rPr>
          <w:rFonts w:cs="Times New Roman" w:hint="default"/>
        </w:rPr>
        <w:t xml:space="preserve"> v </w:t>
      </w:r>
      <w:r>
        <w:rPr>
          <w:rFonts w:cs="Times New Roman" w:hint="default"/>
        </w:rPr>
        <w:t>judikatú</w:t>
      </w:r>
      <w:r>
        <w:rPr>
          <w:rFonts w:cs="Times New Roman" w:hint="default"/>
        </w:rPr>
        <w:t>re Sú</w:t>
      </w:r>
      <w:r>
        <w:rPr>
          <w:rFonts w:cs="Times New Roman" w:hint="default"/>
        </w:rPr>
        <w:t>dneho dvora Euró</w:t>
      </w:r>
      <w:r>
        <w:rPr>
          <w:rFonts w:cs="Times New Roman" w:hint="default"/>
        </w:rPr>
        <w:t>pskej ú</w:t>
      </w:r>
      <w:r>
        <w:rPr>
          <w:rFonts w:cs="Times New Roman" w:hint="default"/>
        </w:rPr>
        <w:t>nie</w:t>
      </w:r>
    </w:p>
    <w:p w:rsidR="00486663" w:rsidP="00486663">
      <w:pPr>
        <w:bidi w:val="0"/>
        <w:rPr>
          <w:rFonts w:cs="Times New Roman"/>
        </w:rPr>
      </w:pPr>
    </w:p>
    <w:p w:rsidR="00486663" w:rsidP="00486663">
      <w:pPr>
        <w:bidi w:val="0"/>
        <w:ind w:firstLine="708"/>
        <w:rPr>
          <w:rFonts w:cs="Times New Roman"/>
        </w:rPr>
      </w:pPr>
      <w:r w:rsidRPr="00870435">
        <w:rPr>
          <w:rFonts w:hint="default"/>
        </w:rPr>
        <w:t>- bezpredmetné</w:t>
      </w:r>
    </w:p>
    <w:p w:rsidR="00486663" w:rsidRPr="00500C8A" w:rsidP="00486663">
      <w:pPr>
        <w:bidi w:val="0"/>
        <w:jc w:val="both"/>
        <w:rPr>
          <w:rFonts w:cs="Times New Roman"/>
        </w:rPr>
      </w:pPr>
    </w:p>
    <w:p w:rsidR="00486663" w:rsidRPr="0017622F" w:rsidP="00486663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4.</w:t>
        <w:tab/>
        <w:t xml:space="preserve">Záväzky Slovenskej republiky vo vzťahu k Európskej únii: </w:t>
      </w:r>
    </w:p>
    <w:p w:rsidR="00486663" w:rsidRPr="0017622F" w:rsidP="00486663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486663" w:rsidP="00486663">
      <w:pPr>
        <w:suppressAutoHyphens w:val="0"/>
        <w:autoSpaceDN w:val="0"/>
        <w:bidi w:val="0"/>
        <w:adjustRightInd w:val="0"/>
        <w:spacing w:line="200" w:lineRule="atLeast"/>
        <w:ind w:firstLine="708"/>
        <w:jc w:val="both"/>
        <w:rPr>
          <w:rFonts w:eastAsia="Times New Roman" w:cs="Times New Roman"/>
          <w:lang w:eastAsia="en-US" w:bidi="ar-SA"/>
        </w:rPr>
      </w:pPr>
      <w:r w:rsidRPr="00D162D5">
        <w:rPr>
          <w:rFonts w:eastAsia="Times New Roman" w:cs="Times New Roman"/>
          <w:lang w:eastAsia="en-US" w:bidi="ar-SA"/>
        </w:rPr>
        <w:t>- bezpredmetné</w:t>
      </w:r>
    </w:p>
    <w:p w:rsidR="00486663" w:rsidRPr="0017622F" w:rsidP="00486663">
      <w:pPr>
        <w:suppressAutoHyphens w:val="0"/>
        <w:autoSpaceDN w:val="0"/>
        <w:bidi w:val="0"/>
        <w:adjustRightInd w:val="0"/>
        <w:spacing w:line="200" w:lineRule="atLeast"/>
        <w:ind w:firstLine="708"/>
        <w:rPr>
          <w:rFonts w:ascii="Calibri" w:hAnsi="Calibri" w:cs="Times New Roman"/>
          <w:sz w:val="22"/>
          <w:lang w:eastAsia="en-US" w:bidi="ar-SA"/>
        </w:rPr>
      </w:pPr>
    </w:p>
    <w:p w:rsidR="00486663" w:rsidP="00486663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eastAsia="Times New Roman" w:cs="Times New Roman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5.</w:t>
        <w:tab/>
        <w:t>Stupeň zlučiteľnosti návrhu právneho predpisu s právom Európskej únie:</w:t>
      </w:r>
      <w:r>
        <w:rPr>
          <w:rFonts w:eastAsia="Times New Roman" w:cs="Times New Roman"/>
          <w:lang w:eastAsia="en-US" w:bidi="ar-SA"/>
        </w:rPr>
        <w:t xml:space="preserve"> </w:t>
      </w:r>
    </w:p>
    <w:p w:rsidR="00486663" w:rsidP="00486663">
      <w:pPr>
        <w:suppressAutoHyphens w:val="0"/>
        <w:autoSpaceDN w:val="0"/>
        <w:bidi w:val="0"/>
        <w:adjustRightInd w:val="0"/>
        <w:spacing w:line="200" w:lineRule="atLeast"/>
        <w:ind w:firstLine="708"/>
        <w:rPr>
          <w:rFonts w:eastAsia="Times New Roman" w:cs="Times New Roman"/>
          <w:lang w:eastAsia="en-US" w:bidi="ar-SA"/>
        </w:rPr>
      </w:pPr>
    </w:p>
    <w:p w:rsidR="00486663" w:rsidRPr="00520E89" w:rsidP="00486663">
      <w:pPr>
        <w:suppressAutoHyphens w:val="0"/>
        <w:autoSpaceDN w:val="0"/>
        <w:bidi w:val="0"/>
        <w:adjustRightInd w:val="0"/>
        <w:spacing w:line="200" w:lineRule="atLeast"/>
        <w:ind w:firstLine="708"/>
        <w:rPr>
          <w:rFonts w:cs="Times New Roman"/>
          <w:sz w:val="28"/>
          <w:szCs w:val="28"/>
        </w:rPr>
      </w:pPr>
      <w:r w:rsidRPr="0017622F">
        <w:rPr>
          <w:rFonts w:eastAsia="Times New Roman" w:cs="Times New Roman"/>
          <w:lang w:eastAsia="en-US" w:bidi="ar-SA"/>
        </w:rPr>
        <w:t xml:space="preserve">Stupeň zlučiteľnosti </w:t>
      </w:r>
      <w:r>
        <w:rPr>
          <w:rFonts w:eastAsia="Times New Roman" w:cs="Times New Roman"/>
          <w:lang w:eastAsia="en-US" w:bidi="ar-SA"/>
        </w:rPr>
        <w:t>–</w:t>
      </w:r>
      <w:r w:rsidRPr="0017622F">
        <w:rPr>
          <w:rFonts w:eastAsia="Times New Roman" w:cs="Times New Roman"/>
          <w:lang w:eastAsia="en-US" w:bidi="ar-SA"/>
        </w:rPr>
        <w:t xml:space="preserve"> úplný</w:t>
      </w:r>
      <w:r>
        <w:rPr>
          <w:rFonts w:eastAsia="Times New Roman" w:cs="Times New Roman"/>
          <w:lang w:eastAsia="en-US" w:bidi="ar-SA"/>
        </w:rPr>
        <w:t>.</w:t>
      </w:r>
    </w:p>
    <w:p w:rsidR="00486663" w:rsidRPr="00520E89" w:rsidP="00486663">
      <w:pPr>
        <w:pStyle w:val="Vchodzie"/>
        <w:bidi w:val="0"/>
        <w:spacing w:after="0" w:line="200" w:lineRule="atLeast"/>
        <w:jc w:val="both"/>
        <w:rPr>
          <w:rFonts w:cs="Times New Roman"/>
          <w:sz w:val="28"/>
          <w:szCs w:val="28"/>
        </w:rPr>
      </w:pPr>
    </w:p>
    <w:p w:rsidR="00486663">
      <w:pPr>
        <w:widowControl/>
        <w:suppressAutoHyphens w:val="0"/>
        <w:bidi w:val="0"/>
        <w:spacing w:after="200" w:line="276" w:lineRule="auto"/>
        <w:rPr>
          <w:rFonts w:eastAsiaTheme="minorEastAsia" w:cs="Times New Roman"/>
          <w:b/>
          <w:caps/>
          <w:color w:val="000000"/>
          <w:spacing w:val="30"/>
          <w:lang w:eastAsia="en-US" w:bidi="ar-SA"/>
        </w:rPr>
      </w:pPr>
      <w:r>
        <w:rPr>
          <w:rFonts w:cs="Times New Roman"/>
          <w:b/>
          <w:caps/>
          <w:color w:val="000000"/>
          <w:spacing w:val="30"/>
        </w:rPr>
        <w:br w:type="page"/>
      </w:r>
    </w:p>
    <w:p w:rsidR="00BB30C7" w:rsidRPr="00764085" w:rsidP="00BB30C7">
      <w:pPr>
        <w:pStyle w:val="Vchodzie"/>
        <w:bidi w:val="0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aps/>
          <w:color w:val="000000"/>
          <w:spacing w:val="30"/>
          <w:sz w:val="24"/>
          <w:szCs w:val="24"/>
          <w:lang w:val="sk-SK"/>
        </w:rPr>
        <w:t>Dolož</w:t>
      </w:r>
      <w:r w:rsidRPr="00764085">
        <w:rPr>
          <w:rFonts w:ascii="Times New Roman" w:hAnsi="Times New Roman" w:cs="Times New Roman" w:hint="default"/>
          <w:b/>
          <w:caps/>
          <w:color w:val="000000"/>
          <w:spacing w:val="30"/>
          <w:sz w:val="24"/>
          <w:szCs w:val="24"/>
          <w:lang w:val="sk-SK"/>
        </w:rPr>
        <w:t>ka</w:t>
      </w:r>
    </w:p>
    <w:p w:rsidR="00BB30C7" w:rsidRPr="00764085" w:rsidP="00BB30C7">
      <w:pPr>
        <w:pStyle w:val="Vchodzie"/>
        <w:bidi w:val="0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vybraný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ch vplyvov</w:t>
      </w:r>
    </w:p>
    <w:p w:rsidR="00BB30C7" w:rsidRPr="00764085" w:rsidP="00BB30C7">
      <w:pPr>
        <w:pStyle w:val="Vchodzie"/>
        <w:bidi w:val="0"/>
        <w:spacing w:after="0" w:line="200" w:lineRule="atLeast"/>
        <w:rPr>
          <w:rFonts w:cs="Times New Roman"/>
          <w:szCs w:val="24"/>
          <w:lang w:val="sk-SK"/>
        </w:rPr>
      </w:pPr>
    </w:p>
    <w:p w:rsidR="000B3BCB" w:rsidP="002C73CB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64085" w:rsidR="00BB30C7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A.1. Ná</w:t>
      </w:r>
      <w:r w:rsidRPr="00764085" w:rsidR="00BB30C7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zov materiá</w:t>
      </w:r>
      <w:r w:rsidRPr="00764085" w:rsidR="00BB30C7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 xml:space="preserve">lu: 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>Ná</w:t>
      </w:r>
      <w:r>
        <w:rPr>
          <w:rFonts w:ascii="Times New Roman" w:hAnsi="Times New Roman" w:cs="Times New Roman" w:hint="default"/>
          <w:sz w:val="24"/>
          <w:szCs w:val="24"/>
          <w:lang w:val="sk-SK"/>
        </w:rPr>
        <w:t xml:space="preserve">vrh </w:t>
      </w:r>
      <w:r w:rsidRPr="000B3BCB">
        <w:rPr>
          <w:rFonts w:ascii="Times New Roman" w:hAnsi="Times New Roman" w:cs="Times New Roman" w:hint="default"/>
          <w:sz w:val="24"/>
          <w:szCs w:val="24"/>
          <w:lang w:val="sk-SK"/>
        </w:rPr>
        <w:t>zá</w:t>
      </w:r>
      <w:r w:rsidRPr="000B3BCB">
        <w:rPr>
          <w:rFonts w:ascii="Times New Roman" w:hAnsi="Times New Roman" w:cs="Times New Roman" w:hint="default"/>
          <w:sz w:val="24"/>
          <w:szCs w:val="24"/>
          <w:lang w:val="sk-SK"/>
        </w:rPr>
        <w:t>kona o ochrane ná</w:t>
      </w:r>
      <w:r w:rsidRPr="000B3BCB">
        <w:rPr>
          <w:rFonts w:ascii="Times New Roman" w:hAnsi="Times New Roman" w:cs="Times New Roman" w:hint="default"/>
          <w:sz w:val="24"/>
          <w:szCs w:val="24"/>
          <w:lang w:val="sk-SK"/>
        </w:rPr>
        <w:t>rodnej bezpeč</w:t>
      </w:r>
      <w:r w:rsidRPr="000B3BCB">
        <w:rPr>
          <w:rFonts w:ascii="Times New Roman" w:hAnsi="Times New Roman" w:cs="Times New Roman" w:hint="default"/>
          <w:sz w:val="24"/>
          <w:szCs w:val="24"/>
          <w:lang w:val="sk-SK"/>
        </w:rPr>
        <w:t>nosti pri zmene vlastní</w:t>
      </w:r>
      <w:r w:rsidRPr="000B3BCB">
        <w:rPr>
          <w:rFonts w:ascii="Times New Roman" w:hAnsi="Times New Roman" w:cs="Times New Roman" w:hint="default"/>
          <w:sz w:val="24"/>
          <w:szCs w:val="24"/>
          <w:lang w:val="sk-SK"/>
        </w:rPr>
        <w:t>ctva strategické</w:t>
      </w:r>
      <w:r w:rsidRPr="000B3BCB">
        <w:rPr>
          <w:rFonts w:ascii="Times New Roman" w:hAnsi="Times New Roman" w:cs="Times New Roman" w:hint="default"/>
          <w:sz w:val="24"/>
          <w:szCs w:val="24"/>
          <w:lang w:val="sk-SK"/>
        </w:rPr>
        <w:t>ho majetku a o zmene a doplnení</w:t>
      </w:r>
      <w:r w:rsidRPr="000B3BCB">
        <w:rPr>
          <w:rFonts w:ascii="Times New Roman" w:hAnsi="Times New Roman" w:cs="Times New Roman" w:hint="default"/>
          <w:sz w:val="24"/>
          <w:szCs w:val="24"/>
          <w:lang w:val="sk-SK"/>
        </w:rPr>
        <w:t xml:space="preserve"> niektorý</w:t>
      </w:r>
      <w:r w:rsidRPr="000B3BCB">
        <w:rPr>
          <w:rFonts w:ascii="Times New Roman" w:hAnsi="Times New Roman" w:cs="Times New Roman" w:hint="default"/>
          <w:sz w:val="24"/>
          <w:szCs w:val="24"/>
          <w:lang w:val="sk-SK"/>
        </w:rPr>
        <w:t>ch zá</w:t>
      </w:r>
      <w:r w:rsidRPr="000B3BCB">
        <w:rPr>
          <w:rFonts w:ascii="Times New Roman" w:hAnsi="Times New Roman" w:cs="Times New Roman" w:hint="default"/>
          <w:sz w:val="24"/>
          <w:szCs w:val="24"/>
          <w:lang w:val="sk-SK"/>
        </w:rPr>
        <w:t>konov</w:t>
      </w:r>
      <w:r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:rsidR="000B3BCB" w:rsidP="002C73CB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A.2. Vplyvy:</w:t>
      </w: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tbl>
      <w:tblPr>
        <w:tblStyle w:val="TableNormal"/>
        <w:tblW w:w="9095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</w:tblPr>
      <w:tblGrid>
        <w:gridCol w:w="5526"/>
        <w:gridCol w:w="1192"/>
        <w:gridCol w:w="1181"/>
        <w:gridCol w:w="1196"/>
      </w:tblGrid>
      <w:tr>
        <w:tblPrEx>
          <w:tblW w:w="9095" w:type="dxa"/>
          <w:tblInd w:w="-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Pozití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vne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iadne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Negatí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vne</w:t>
            </w: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1. Vplyvy na rozpoč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et verejnej sprá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C41815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C41815" w:rsidR="00C4181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03561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2. Vplyvy na podnikateľ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ské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prostredie 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dochá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dza k zvýš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eniu regulač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ho zať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až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enia?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A86B89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A86B89" w:rsidR="00A86B8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A86B89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A86B89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A86B89" w:rsidR="00A86B89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3. Sociá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lne vplyvy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2C73CB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="00C41815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vplyvy na hospodá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renie obyvateľ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stva,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AA320B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2C73CB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="002C73CB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sociá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lnu exklú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ziu,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AA320B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="00556474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rovnosť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lež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itostí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a rodovú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rovnosť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a vplyvy na zamestnanosť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AA320B" w:rsidP="004B0F8E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="00367762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4. Vplyvy na 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ivotné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prostredie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 xml:space="preserve">5. 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Vplyvy na informatizá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ciu spoloč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nosti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 w:rsidR="00AA572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B0F8E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</w:tbl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BB30C7" w:rsidP="00C16709">
      <w:pPr>
        <w:pStyle w:val="Vchodzie"/>
        <w:bidi w:val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A.3. Pozná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mky</w:t>
      </w:r>
    </w:p>
    <w:p w:rsidR="00844D7C" w:rsidP="00C41815">
      <w:pPr>
        <w:pStyle w:val="Vchodzie"/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="009255B8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ab/>
      </w:r>
      <w:r w:rsidR="00C4181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Na zá</w:t>
      </w:r>
      <w:r w:rsidR="00C4181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klade</w:t>
      </w:r>
      <w:r w:rsidR="00192B8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nový</w:t>
      </w:r>
      <w:r w:rsidR="00192B8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ch </w:t>
      </w:r>
      <w:r w:rsidR="00C4181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pokú</w:t>
      </w:r>
      <w:r w:rsidR="00C4181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t podľ</w:t>
      </w:r>
      <w:r w:rsidR="00C4181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a §</w:t>
      </w:r>
      <w:r w:rsidR="00C4181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6 ods. 1 </w:t>
      </w:r>
      <w:r w:rsidR="00192B83">
        <w:rPr>
          <w:rFonts w:ascii="Times New Roman" w:hAnsi="Times New Roman" w:cs="Times New Roman"/>
          <w:color w:val="000000"/>
          <w:sz w:val="24"/>
          <w:szCs w:val="24"/>
          <w:lang w:val="sk-SK"/>
        </w:rPr>
        <w:t>v </w:t>
      </w:r>
      <w:r w:rsidR="00192B8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č</w:t>
      </w:r>
      <w:r w:rsidR="00192B8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l. I</w:t>
      </w:r>
      <w:r w:rsidR="00782B02">
        <w:rPr>
          <w:rFonts w:ascii="Times New Roman" w:hAnsi="Times New Roman" w:cs="Times New Roman"/>
          <w:color w:val="000000"/>
          <w:sz w:val="24"/>
          <w:szCs w:val="24"/>
          <w:lang w:val="sk-SK"/>
        </w:rPr>
        <w:t> </w:t>
      </w:r>
      <w:r w:rsidR="00782B02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ná</w:t>
      </w:r>
      <w:r w:rsidR="00782B02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vrhu </w:t>
      </w:r>
      <w:r w:rsidR="00C4181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zá</w:t>
      </w:r>
      <w:r w:rsidR="00C4181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kona a</w:t>
      </w:r>
      <w:r w:rsidR="00192B83">
        <w:rPr>
          <w:rFonts w:ascii="Times New Roman" w:hAnsi="Times New Roman" w:cs="Times New Roman"/>
          <w:color w:val="000000"/>
          <w:sz w:val="24"/>
          <w:szCs w:val="24"/>
          <w:lang w:val="sk-SK"/>
        </w:rPr>
        <w:t> </w:t>
      </w:r>
      <w:r w:rsidR="00192B8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novej zá</w:t>
      </w:r>
      <w:r w:rsidR="00192B8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kladnej skutkovej podstaty v </w:t>
      </w:r>
      <w:r w:rsidR="00192B8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Trestnom zá</w:t>
      </w:r>
      <w:r w:rsidR="00192B8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kone mož</w:t>
      </w:r>
      <w:r w:rsidR="00192B8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no povedať</w:t>
      </w:r>
      <w:r w:rsidR="00192B8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, ž</w:t>
      </w:r>
      <w:r w:rsidR="00192B8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e ná</w:t>
      </w:r>
      <w:r w:rsidR="00192B8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vrh zá</w:t>
      </w:r>
      <w:r w:rsidR="00192B8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kona bude mať</w:t>
      </w:r>
      <w:r w:rsidR="00192B8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pozití</w:t>
      </w:r>
      <w:r w:rsidR="00192B8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vny vplyv na rozpoč</w:t>
      </w:r>
      <w:r w:rsidR="00192B8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et verejnej sprá</w:t>
      </w:r>
      <w:r w:rsidR="00192B8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vy. Nemož</w:t>
      </w:r>
      <w:r w:rsidR="00192B8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no tiež</w:t>
      </w:r>
      <w:r w:rsidR="00192B8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opomí</w:t>
      </w:r>
      <w:r w:rsidR="00192B8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nať</w:t>
      </w:r>
      <w:r w:rsidR="00192B8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skutoč</w:t>
      </w:r>
      <w:r w:rsidR="00192B8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nosť</w:t>
      </w:r>
      <w:r w:rsidR="00192B8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, ž</w:t>
      </w:r>
      <w:r w:rsidR="00192B8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e vlá</w:t>
      </w:r>
      <w:r w:rsidR="00192B8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da Slovenskej republiky bude mô</w:t>
      </w:r>
      <w:r w:rsidR="00192B8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cť</w:t>
      </w:r>
      <w:r w:rsidR="00192B8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vydať</w:t>
      </w:r>
      <w:r w:rsidR="00192B8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rozhodnutie, ž</w:t>
      </w:r>
      <w:r w:rsidR="00192B8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e so zmenou vlastní</w:t>
      </w:r>
      <w:r w:rsidR="00192B8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ctv</w:t>
      </w:r>
      <w:r w:rsidR="00192B8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a</w:t>
      </w:r>
      <w:r w:rsidR="00192B8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sú</w:t>
      </w:r>
      <w:r w:rsidR="00192B8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hlasí</w:t>
      </w:r>
      <w:r w:rsidR="00192B8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iba za podmienok podľ</w:t>
      </w:r>
      <w:r w:rsidR="00192B8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a §</w:t>
      </w:r>
      <w:r w:rsidR="00192B83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4 ods. 4 </w:t>
      </w:r>
      <w:r w:rsidR="00782B02">
        <w:rPr>
          <w:rFonts w:ascii="Times New Roman" w:hAnsi="Times New Roman" w:cs="Times New Roman"/>
          <w:color w:val="000000"/>
          <w:sz w:val="24"/>
          <w:szCs w:val="24"/>
          <w:lang w:val="sk-SK"/>
        </w:rPr>
        <w:t>v </w:t>
      </w:r>
      <w:r w:rsidR="00782B02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č</w:t>
      </w:r>
      <w:r w:rsidR="00782B02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l. I </w:t>
      </w:r>
      <w:r w:rsidR="00782B02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ná</w:t>
      </w:r>
      <w:r w:rsidR="00782B02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vrhu zá</w:t>
      </w:r>
      <w:r w:rsidR="00782B02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kona, kde je zaradené</w:t>
      </w:r>
      <w:r w:rsidR="00782B02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prevaž</w:t>
      </w:r>
      <w:r w:rsidR="00782B02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ovanie priaznivý</w:t>
      </w:r>
      <w:r w:rsidR="00782B02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ch dopadov zmeny vlastní</w:t>
      </w:r>
      <w:r w:rsidR="00782B02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ctva nad bezpeč</w:t>
      </w:r>
      <w:r w:rsidR="00782B02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nostný</w:t>
      </w:r>
      <w:r w:rsidR="00782B02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mi rizikami.</w:t>
      </w:r>
    </w:p>
    <w:p w:rsidR="004B0F8E" w:rsidP="00C41815">
      <w:pPr>
        <w:pStyle w:val="Vchodzie"/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</w:p>
    <w:p w:rsidR="00A86B89" w:rsidP="00C41815">
      <w:pPr>
        <w:pStyle w:val="Vchodzie"/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="004B0F8E">
        <w:rPr>
          <w:rFonts w:ascii="Times New Roman" w:hAnsi="Times New Roman" w:cs="Times New Roman"/>
          <w:color w:val="000000"/>
          <w:sz w:val="24"/>
          <w:szCs w:val="24"/>
          <w:lang w:val="sk-SK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>P</w:t>
      </w:r>
      <w:r w:rsidR="004B0F8E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rijatí</w:t>
      </w:r>
      <w:r w:rsidR="004B0F8E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m ná</w:t>
      </w:r>
      <w:r w:rsidR="004B0F8E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vrhu zá</w:t>
      </w:r>
      <w:r w:rsidR="004B0F8E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kona sa 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zvyš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uje </w:t>
      </w:r>
      <w:r w:rsidR="004B0F8E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regulač</w:t>
      </w:r>
      <w:r w:rsidR="004B0F8E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né</w:t>
      </w:r>
      <w:r w:rsidR="004B0F8E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zať</w:t>
      </w:r>
      <w:r w:rsidR="004B0F8E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až</w:t>
      </w:r>
      <w:r w:rsidR="004B0F8E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enie</w:t>
      </w:r>
      <w:r w:rsidRPr="004B0F8E" w:rsidR="004B0F8E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  <w:r w:rsidR="004B0F8E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podnikateľ</w:t>
      </w:r>
      <w:r w:rsidR="004B0F8E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ské</w:t>
      </w:r>
      <w:r w:rsidR="004B0F8E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ho prostredia</w:t>
      </w: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>, a 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to ulož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ení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m nový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ch povinností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fyzický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m a 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prá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vnický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m osobá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m. Zá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roveň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sa vš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ak posilň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uje transparentnosť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v 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procese zmeny vlastní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ctva strategické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ho majetku a 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zniž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ujú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sa bezpeč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nostné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riziká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, ktoré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by mohli mať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neblahé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dô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sledky na podnikateľ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ské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prostredie a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o celok (naprí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klad č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o sa tý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ka oblasti energetiky). </w:t>
      </w:r>
      <w:r w:rsidR="00124C5F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Ná</w:t>
      </w:r>
      <w:r w:rsidR="00124C5F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vrh zá</w:t>
      </w:r>
      <w:r w:rsidR="00124C5F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kona má</w:t>
      </w:r>
      <w:r w:rsidR="00124C5F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tak na podnikateľ</w:t>
      </w:r>
      <w:r w:rsidR="00124C5F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ské</w:t>
      </w:r>
      <w:r w:rsidR="00124C5F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prostredie ako pozití</w:t>
      </w:r>
      <w:r w:rsidR="00124C5F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vne, tak aj negatí</w:t>
      </w:r>
      <w:r w:rsidR="00124C5F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vne vplyvy.</w:t>
      </w:r>
    </w:p>
    <w:p w:rsidR="00F36984" w:rsidP="00E003F4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="00C16709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ab/>
      </w: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A.4. Alternatí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vne rieš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enia</w:t>
      </w:r>
    </w:p>
    <w:p w:rsidR="002C73CB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Bezpredmetné </w:t>
      </w: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</w:t>
      </w:r>
    </w:p>
    <w:p w:rsidR="00BB30C7" w:rsidRPr="00764085" w:rsidP="00BB30C7">
      <w:pPr>
        <w:pStyle w:val="NormalWeb"/>
        <w:bidi w:val="0"/>
        <w:spacing w:before="0" w:after="0"/>
        <w:ind w:left="567" w:hanging="567"/>
        <w:jc w:val="both"/>
        <w:rPr>
          <w:rFonts w:ascii="Times New Roman" w:hAnsi="Times New Roman"/>
        </w:rPr>
      </w:pPr>
      <w:r w:rsidRPr="00764085">
        <w:rPr>
          <w:rFonts w:ascii="Times New Roman" w:hAnsi="Times New Roman"/>
          <w:b/>
        </w:rPr>
        <w:t xml:space="preserve">A.5. </w:t>
        <w:tab/>
        <w:t>Stanovisko gestorov</w:t>
      </w:r>
    </w:p>
    <w:p w:rsidR="00486663" w:rsidRPr="00520E89">
      <w:pPr>
        <w:pStyle w:val="Vchodzie"/>
        <w:bidi w:val="0"/>
        <w:spacing w:after="0" w:line="200" w:lineRule="atLeast"/>
        <w:jc w:val="both"/>
        <w:rPr>
          <w:rFonts w:cs="Times New Roman"/>
          <w:sz w:val="28"/>
          <w:szCs w:val="28"/>
        </w:rPr>
      </w:pPr>
      <w:r w:rsidR="00160969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Bezpredmetné</w:t>
      </w:r>
    </w:p>
    <w:sectPr w:rsidSect="001A7996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F8E" w:rsidRPr="00BC6D0D" w:rsidP="004B0F8E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4B0F8E" w:rsidP="004B0F8E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17AED"/>
    <w:multiLevelType w:val="hybridMultilevel"/>
    <w:tmpl w:val="50A2A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D2F37"/>
    <w:multiLevelType w:val="hybridMultilevel"/>
    <w:tmpl w:val="1FC8A9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76DF2B69"/>
    <w:multiLevelType w:val="hybridMultilevel"/>
    <w:tmpl w:val="4ECC6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873B12"/>
    <w:rsid w:val="00011A4B"/>
    <w:rsid w:val="0003434F"/>
    <w:rsid w:val="00062F6E"/>
    <w:rsid w:val="00070006"/>
    <w:rsid w:val="00075997"/>
    <w:rsid w:val="00077A6C"/>
    <w:rsid w:val="0008356A"/>
    <w:rsid w:val="00091102"/>
    <w:rsid w:val="000A4469"/>
    <w:rsid w:val="000B2B2D"/>
    <w:rsid w:val="000B3BCB"/>
    <w:rsid w:val="000B4E2E"/>
    <w:rsid w:val="000C74C5"/>
    <w:rsid w:val="000C77FF"/>
    <w:rsid w:val="000E2096"/>
    <w:rsid w:val="00103359"/>
    <w:rsid w:val="00110A25"/>
    <w:rsid w:val="00111AE5"/>
    <w:rsid w:val="0011245A"/>
    <w:rsid w:val="00113C2F"/>
    <w:rsid w:val="00124C5F"/>
    <w:rsid w:val="001329E3"/>
    <w:rsid w:val="00135169"/>
    <w:rsid w:val="001461B8"/>
    <w:rsid w:val="00150922"/>
    <w:rsid w:val="00151E96"/>
    <w:rsid w:val="00153A2C"/>
    <w:rsid w:val="00154B93"/>
    <w:rsid w:val="00160969"/>
    <w:rsid w:val="0016770E"/>
    <w:rsid w:val="0017622F"/>
    <w:rsid w:val="00192B83"/>
    <w:rsid w:val="001A09EB"/>
    <w:rsid w:val="001A474E"/>
    <w:rsid w:val="001A7996"/>
    <w:rsid w:val="001D6350"/>
    <w:rsid w:val="001E1373"/>
    <w:rsid w:val="001E205E"/>
    <w:rsid w:val="00220208"/>
    <w:rsid w:val="002226ED"/>
    <w:rsid w:val="00225B05"/>
    <w:rsid w:val="0023058D"/>
    <w:rsid w:val="00242ABC"/>
    <w:rsid w:val="002433BD"/>
    <w:rsid w:val="00244C1A"/>
    <w:rsid w:val="00246832"/>
    <w:rsid w:val="0025197F"/>
    <w:rsid w:val="00254990"/>
    <w:rsid w:val="002562F1"/>
    <w:rsid w:val="00263D30"/>
    <w:rsid w:val="0027080C"/>
    <w:rsid w:val="00271233"/>
    <w:rsid w:val="00276AF3"/>
    <w:rsid w:val="0028495A"/>
    <w:rsid w:val="002877D7"/>
    <w:rsid w:val="002B3AE6"/>
    <w:rsid w:val="002B3C2A"/>
    <w:rsid w:val="002C73CB"/>
    <w:rsid w:val="002D1E91"/>
    <w:rsid w:val="002D2DFF"/>
    <w:rsid w:val="002E0433"/>
    <w:rsid w:val="002F2927"/>
    <w:rsid w:val="002F3083"/>
    <w:rsid w:val="0030248B"/>
    <w:rsid w:val="00336F95"/>
    <w:rsid w:val="00336FD9"/>
    <w:rsid w:val="0034280E"/>
    <w:rsid w:val="00364C2A"/>
    <w:rsid w:val="00367762"/>
    <w:rsid w:val="003760BA"/>
    <w:rsid w:val="00380586"/>
    <w:rsid w:val="003968A7"/>
    <w:rsid w:val="00397539"/>
    <w:rsid w:val="003A2D21"/>
    <w:rsid w:val="003A6838"/>
    <w:rsid w:val="003B6285"/>
    <w:rsid w:val="003C038B"/>
    <w:rsid w:val="003D448D"/>
    <w:rsid w:val="003D6DC2"/>
    <w:rsid w:val="003E0FDB"/>
    <w:rsid w:val="003F5205"/>
    <w:rsid w:val="0040221B"/>
    <w:rsid w:val="00403561"/>
    <w:rsid w:val="00412F75"/>
    <w:rsid w:val="00424490"/>
    <w:rsid w:val="004268EC"/>
    <w:rsid w:val="00426D99"/>
    <w:rsid w:val="00434B15"/>
    <w:rsid w:val="0045514F"/>
    <w:rsid w:val="004604D8"/>
    <w:rsid w:val="004671E3"/>
    <w:rsid w:val="00473A43"/>
    <w:rsid w:val="00480EA3"/>
    <w:rsid w:val="00486663"/>
    <w:rsid w:val="00491A6D"/>
    <w:rsid w:val="00495EDA"/>
    <w:rsid w:val="00496F4B"/>
    <w:rsid w:val="004A2751"/>
    <w:rsid w:val="004B0F8E"/>
    <w:rsid w:val="004B626C"/>
    <w:rsid w:val="004C32E3"/>
    <w:rsid w:val="004C4E9A"/>
    <w:rsid w:val="004F3A27"/>
    <w:rsid w:val="00500C8A"/>
    <w:rsid w:val="0050246E"/>
    <w:rsid w:val="005057F9"/>
    <w:rsid w:val="00505DC6"/>
    <w:rsid w:val="00511FDF"/>
    <w:rsid w:val="00514BB2"/>
    <w:rsid w:val="00515664"/>
    <w:rsid w:val="00520E89"/>
    <w:rsid w:val="0052165C"/>
    <w:rsid w:val="00531BE1"/>
    <w:rsid w:val="005321D0"/>
    <w:rsid w:val="00535919"/>
    <w:rsid w:val="00545822"/>
    <w:rsid w:val="00546507"/>
    <w:rsid w:val="00556474"/>
    <w:rsid w:val="005577E5"/>
    <w:rsid w:val="00565DC4"/>
    <w:rsid w:val="0057497E"/>
    <w:rsid w:val="00577000"/>
    <w:rsid w:val="0059264F"/>
    <w:rsid w:val="00592EE9"/>
    <w:rsid w:val="005A5F10"/>
    <w:rsid w:val="005A62F6"/>
    <w:rsid w:val="005B3438"/>
    <w:rsid w:val="005B3517"/>
    <w:rsid w:val="005C15AB"/>
    <w:rsid w:val="005C4494"/>
    <w:rsid w:val="005C4749"/>
    <w:rsid w:val="005C5F68"/>
    <w:rsid w:val="005D0CF3"/>
    <w:rsid w:val="005D4BC0"/>
    <w:rsid w:val="005D7746"/>
    <w:rsid w:val="005E5038"/>
    <w:rsid w:val="005E61CB"/>
    <w:rsid w:val="005F4463"/>
    <w:rsid w:val="005F5FD5"/>
    <w:rsid w:val="006013BC"/>
    <w:rsid w:val="00617BDA"/>
    <w:rsid w:val="00631565"/>
    <w:rsid w:val="00632296"/>
    <w:rsid w:val="00645EA6"/>
    <w:rsid w:val="00646694"/>
    <w:rsid w:val="0067499F"/>
    <w:rsid w:val="00687973"/>
    <w:rsid w:val="0069739B"/>
    <w:rsid w:val="006A6C4F"/>
    <w:rsid w:val="006C3B7E"/>
    <w:rsid w:val="006C5D62"/>
    <w:rsid w:val="006D2ABF"/>
    <w:rsid w:val="006D60D0"/>
    <w:rsid w:val="006D6B44"/>
    <w:rsid w:val="006D6F09"/>
    <w:rsid w:val="006E6879"/>
    <w:rsid w:val="006F0091"/>
    <w:rsid w:val="006F086A"/>
    <w:rsid w:val="007063AF"/>
    <w:rsid w:val="007115A9"/>
    <w:rsid w:val="00712A01"/>
    <w:rsid w:val="00713383"/>
    <w:rsid w:val="00737CC8"/>
    <w:rsid w:val="00753EEE"/>
    <w:rsid w:val="00764085"/>
    <w:rsid w:val="007666C7"/>
    <w:rsid w:val="00773985"/>
    <w:rsid w:val="00773A69"/>
    <w:rsid w:val="00774A59"/>
    <w:rsid w:val="00774B24"/>
    <w:rsid w:val="00782B02"/>
    <w:rsid w:val="007945CB"/>
    <w:rsid w:val="00795703"/>
    <w:rsid w:val="007A02B4"/>
    <w:rsid w:val="007A1A85"/>
    <w:rsid w:val="007A3852"/>
    <w:rsid w:val="007A3BD3"/>
    <w:rsid w:val="007A6886"/>
    <w:rsid w:val="007C1361"/>
    <w:rsid w:val="007C1364"/>
    <w:rsid w:val="007C49E3"/>
    <w:rsid w:val="007D14D5"/>
    <w:rsid w:val="007E17C6"/>
    <w:rsid w:val="007F3D73"/>
    <w:rsid w:val="008055E0"/>
    <w:rsid w:val="008138C2"/>
    <w:rsid w:val="00822246"/>
    <w:rsid w:val="00841025"/>
    <w:rsid w:val="00841B9A"/>
    <w:rsid w:val="00844D7C"/>
    <w:rsid w:val="00855A4E"/>
    <w:rsid w:val="0086052F"/>
    <w:rsid w:val="0086606A"/>
    <w:rsid w:val="00870435"/>
    <w:rsid w:val="00873B12"/>
    <w:rsid w:val="00876CC4"/>
    <w:rsid w:val="00897C09"/>
    <w:rsid w:val="008B0B96"/>
    <w:rsid w:val="008B2485"/>
    <w:rsid w:val="008C0A5D"/>
    <w:rsid w:val="008D1355"/>
    <w:rsid w:val="008D6A70"/>
    <w:rsid w:val="00901E8E"/>
    <w:rsid w:val="0090548E"/>
    <w:rsid w:val="00912F5D"/>
    <w:rsid w:val="00913923"/>
    <w:rsid w:val="0091589F"/>
    <w:rsid w:val="00921FE0"/>
    <w:rsid w:val="009241FB"/>
    <w:rsid w:val="009255B8"/>
    <w:rsid w:val="00937B77"/>
    <w:rsid w:val="00981CED"/>
    <w:rsid w:val="00984E2A"/>
    <w:rsid w:val="009850EE"/>
    <w:rsid w:val="009878B3"/>
    <w:rsid w:val="009A3C33"/>
    <w:rsid w:val="009A532B"/>
    <w:rsid w:val="009B1A48"/>
    <w:rsid w:val="009B41E9"/>
    <w:rsid w:val="009C6CD0"/>
    <w:rsid w:val="00A147CA"/>
    <w:rsid w:val="00A22761"/>
    <w:rsid w:val="00A41F89"/>
    <w:rsid w:val="00A50C05"/>
    <w:rsid w:val="00A51C46"/>
    <w:rsid w:val="00A5621B"/>
    <w:rsid w:val="00A60058"/>
    <w:rsid w:val="00A667D9"/>
    <w:rsid w:val="00A86B89"/>
    <w:rsid w:val="00A87A6C"/>
    <w:rsid w:val="00AA320B"/>
    <w:rsid w:val="00AA5725"/>
    <w:rsid w:val="00AB34AF"/>
    <w:rsid w:val="00AB41B0"/>
    <w:rsid w:val="00AC4AC4"/>
    <w:rsid w:val="00AD7DC9"/>
    <w:rsid w:val="00AE0A25"/>
    <w:rsid w:val="00B02805"/>
    <w:rsid w:val="00B04877"/>
    <w:rsid w:val="00B22B6F"/>
    <w:rsid w:val="00B26D60"/>
    <w:rsid w:val="00B27D05"/>
    <w:rsid w:val="00B32182"/>
    <w:rsid w:val="00B57C2D"/>
    <w:rsid w:val="00B62885"/>
    <w:rsid w:val="00B64D4C"/>
    <w:rsid w:val="00B6575B"/>
    <w:rsid w:val="00B7183A"/>
    <w:rsid w:val="00B7220A"/>
    <w:rsid w:val="00B81A20"/>
    <w:rsid w:val="00B915F9"/>
    <w:rsid w:val="00BB200C"/>
    <w:rsid w:val="00BB30C7"/>
    <w:rsid w:val="00BC6D0D"/>
    <w:rsid w:val="00BD09BF"/>
    <w:rsid w:val="00BD24F9"/>
    <w:rsid w:val="00BD46C8"/>
    <w:rsid w:val="00BE1CF0"/>
    <w:rsid w:val="00BF0502"/>
    <w:rsid w:val="00BF6E84"/>
    <w:rsid w:val="00C16709"/>
    <w:rsid w:val="00C17ECC"/>
    <w:rsid w:val="00C31244"/>
    <w:rsid w:val="00C41815"/>
    <w:rsid w:val="00C61514"/>
    <w:rsid w:val="00C8387B"/>
    <w:rsid w:val="00C92858"/>
    <w:rsid w:val="00C9376A"/>
    <w:rsid w:val="00CC5B65"/>
    <w:rsid w:val="00CC7AB3"/>
    <w:rsid w:val="00CD5655"/>
    <w:rsid w:val="00CE2496"/>
    <w:rsid w:val="00CF2A1D"/>
    <w:rsid w:val="00D03388"/>
    <w:rsid w:val="00D1291B"/>
    <w:rsid w:val="00D162D5"/>
    <w:rsid w:val="00D21169"/>
    <w:rsid w:val="00D40347"/>
    <w:rsid w:val="00D43E64"/>
    <w:rsid w:val="00D46E40"/>
    <w:rsid w:val="00D530A3"/>
    <w:rsid w:val="00D7539F"/>
    <w:rsid w:val="00DA30C3"/>
    <w:rsid w:val="00DA4D1B"/>
    <w:rsid w:val="00DB5DB1"/>
    <w:rsid w:val="00DD4F37"/>
    <w:rsid w:val="00E003F4"/>
    <w:rsid w:val="00E13047"/>
    <w:rsid w:val="00E21DA2"/>
    <w:rsid w:val="00E31184"/>
    <w:rsid w:val="00E313F4"/>
    <w:rsid w:val="00E334EE"/>
    <w:rsid w:val="00E471F2"/>
    <w:rsid w:val="00E50ED3"/>
    <w:rsid w:val="00E65909"/>
    <w:rsid w:val="00E66CB0"/>
    <w:rsid w:val="00E720A8"/>
    <w:rsid w:val="00E76250"/>
    <w:rsid w:val="00E81660"/>
    <w:rsid w:val="00E8315D"/>
    <w:rsid w:val="00E857D9"/>
    <w:rsid w:val="00E97A16"/>
    <w:rsid w:val="00EA2AE8"/>
    <w:rsid w:val="00EA4B15"/>
    <w:rsid w:val="00ED3398"/>
    <w:rsid w:val="00ED5039"/>
    <w:rsid w:val="00EE4B8E"/>
    <w:rsid w:val="00EE4BF3"/>
    <w:rsid w:val="00EE7053"/>
    <w:rsid w:val="00EE7B57"/>
    <w:rsid w:val="00F01119"/>
    <w:rsid w:val="00F02695"/>
    <w:rsid w:val="00F03543"/>
    <w:rsid w:val="00F20DBE"/>
    <w:rsid w:val="00F27455"/>
    <w:rsid w:val="00F36984"/>
    <w:rsid w:val="00F52A81"/>
    <w:rsid w:val="00F56B4E"/>
    <w:rsid w:val="00F6061C"/>
    <w:rsid w:val="00F60E00"/>
    <w:rsid w:val="00F81414"/>
    <w:rsid w:val="00F86A52"/>
    <w:rsid w:val="00FA08DC"/>
    <w:rsid w:val="00FA34F3"/>
    <w:rsid w:val="00FA57A9"/>
    <w:rsid w:val="00FB7CB4"/>
    <w:rsid w:val="00FC4A32"/>
    <w:rsid w:val="00FD5923"/>
    <w:rsid w:val="00FE122E"/>
    <w:rsid w:val="00FE728C"/>
    <w:rsid w:val="00FF650D"/>
    <w:rsid w:val="00FF6E41"/>
    <w:rsid w:val="00FF735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05E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Heading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Footer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FootnoteTextChar"/>
    <w:uiPriority w:val="99"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27D05"/>
    <w:pPr>
      <w:ind w:left="720"/>
      <w:contextualSpacing/>
      <w:jc w:val="left"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75B"/>
    <w:pPr>
      <w:jc w:val="left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rtl w:val="0"/>
      <w:cs w:val="0"/>
      <w:lang w:val="x-none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2C5A0F-2FEB-4351-8EC7-0C9CB35F6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428</Words>
  <Characters>2441</Characters>
  <Application>Microsoft Office Word</Application>
  <DocSecurity>0</DocSecurity>
  <Lines>0</Lines>
  <Paragraphs>0</Paragraphs>
  <ScaleCrop>false</ScaleCrop>
  <Company>HP</Company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vinco</dc:creator>
  <cp:lastModifiedBy>Gašparíková, Jarmila</cp:lastModifiedBy>
  <cp:revision>2</cp:revision>
  <cp:lastPrinted>2014-08-19T15:11:00Z</cp:lastPrinted>
  <dcterms:created xsi:type="dcterms:W3CDTF">2014-08-21T15:07:00Z</dcterms:created>
  <dcterms:modified xsi:type="dcterms:W3CDTF">2014-08-21T15:07:00Z</dcterms:modified>
</cp:coreProperties>
</file>