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01DEB" w:rsidP="00101DEB">
      <w:pPr>
        <w:widowControl/>
        <w:bidi w:val="0"/>
        <w:jc w:val="center"/>
        <w:rPr>
          <w:rFonts w:ascii="Times New Roman" w:hAnsi="Times New Roman"/>
          <w:b/>
          <w:bCs/>
          <w:sz w:val="28"/>
          <w:szCs w:val="28"/>
        </w:rPr>
      </w:pPr>
      <w:r>
        <w:rPr>
          <w:rFonts w:ascii="Times New Roman" w:hAnsi="Times New Roman"/>
          <w:b/>
          <w:bCs/>
          <w:sz w:val="28"/>
          <w:szCs w:val="28"/>
        </w:rPr>
        <w:t>Dôvodová správa</w:t>
      </w:r>
    </w:p>
    <w:p w:rsidR="00101DEB" w:rsidP="00101DEB">
      <w:pPr>
        <w:widowControl/>
        <w:bidi w:val="0"/>
        <w:jc w:val="center"/>
        <w:rPr>
          <w:rFonts w:ascii="Times New Roman" w:hAnsi="Times New Roman"/>
          <w:b/>
          <w:bCs/>
          <w:sz w:val="28"/>
          <w:szCs w:val="28"/>
        </w:rPr>
      </w:pPr>
    </w:p>
    <w:p w:rsidR="00101DEB" w:rsidP="00101DEB">
      <w:pPr>
        <w:widowControl/>
        <w:bidi w:val="0"/>
        <w:jc w:val="both"/>
        <w:rPr>
          <w:rFonts w:ascii="Times New Roman" w:hAnsi="Times New Roman"/>
          <w:b/>
          <w:bCs/>
          <w:sz w:val="28"/>
          <w:szCs w:val="28"/>
        </w:rPr>
      </w:pPr>
      <w:r>
        <w:rPr>
          <w:rFonts w:ascii="Times New Roman" w:hAnsi="Times New Roman"/>
          <w:b/>
          <w:bCs/>
          <w:sz w:val="28"/>
          <w:szCs w:val="28"/>
        </w:rPr>
        <w:t>1. Všeobecná časť</w:t>
      </w:r>
    </w:p>
    <w:p w:rsidR="00101DEB" w:rsidRPr="00511CF3" w:rsidP="00101DEB">
      <w:pPr>
        <w:widowControl/>
        <w:bidi w:val="0"/>
        <w:jc w:val="both"/>
        <w:rPr>
          <w:rFonts w:ascii="Times New Roman" w:hAnsi="Times New Roman"/>
          <w:sz w:val="28"/>
          <w:szCs w:val="28"/>
        </w:rPr>
      </w:pPr>
      <w:r>
        <w:rPr>
          <w:rFonts w:ascii="Times New Roman" w:hAnsi="Times New Roman"/>
          <w:sz w:val="28"/>
          <w:szCs w:val="28"/>
        </w:rPr>
        <w:tab/>
      </w:r>
    </w:p>
    <w:p w:rsidR="00101DEB" w:rsidRPr="00511CF3" w:rsidP="00101DEB">
      <w:pPr>
        <w:widowControl/>
        <w:bidi w:val="0"/>
        <w:ind w:firstLine="708"/>
        <w:jc w:val="both"/>
        <w:rPr>
          <w:rFonts w:ascii="Times New Roman" w:hAnsi="Times New Roman"/>
          <w:sz w:val="28"/>
          <w:szCs w:val="28"/>
        </w:rPr>
      </w:pPr>
      <w:r w:rsidRPr="00511CF3">
        <w:rPr>
          <w:rFonts w:ascii="Times New Roman" w:hAnsi="Times New Roman"/>
          <w:sz w:val="28"/>
          <w:szCs w:val="28"/>
        </w:rPr>
        <w:t xml:space="preserve">Na úrovni právne záväzných aktov Európskej únie neexistuje žiadna záväzná úprava lobingu. </w:t>
      </w:r>
      <w:r>
        <w:rPr>
          <w:rFonts w:ascii="Times New Roman" w:hAnsi="Times New Roman"/>
          <w:sz w:val="28"/>
          <w:szCs w:val="28"/>
        </w:rPr>
        <w:t xml:space="preserve">Čiastočnú úpravu môžeme nájsť v </w:t>
      </w:r>
      <w:r w:rsidRPr="00511CF3">
        <w:rPr>
          <w:rFonts w:ascii="Times New Roman" w:hAnsi="Times New Roman"/>
          <w:sz w:val="28"/>
          <w:szCs w:val="28"/>
        </w:rPr>
        <w:t>Rokovacom poriadku Európsk</w:t>
      </w:r>
      <w:r>
        <w:rPr>
          <w:rFonts w:ascii="Times New Roman" w:hAnsi="Times New Roman"/>
          <w:sz w:val="28"/>
          <w:szCs w:val="28"/>
        </w:rPr>
        <w:t xml:space="preserve">eho </w:t>
      </w:r>
      <w:r w:rsidRPr="00511CF3">
        <w:rPr>
          <w:rFonts w:ascii="Times New Roman" w:hAnsi="Times New Roman"/>
          <w:sz w:val="28"/>
          <w:szCs w:val="28"/>
        </w:rPr>
        <w:t>parlament</w:t>
      </w:r>
      <w:r>
        <w:rPr>
          <w:rFonts w:ascii="Times New Roman" w:hAnsi="Times New Roman"/>
          <w:sz w:val="28"/>
          <w:szCs w:val="28"/>
        </w:rPr>
        <w:t>u</w:t>
      </w:r>
      <w:r w:rsidRPr="00511CF3">
        <w:rPr>
          <w:rFonts w:ascii="Times New Roman" w:hAnsi="Times New Roman"/>
          <w:sz w:val="28"/>
          <w:szCs w:val="28"/>
        </w:rPr>
        <w:t xml:space="preserve"> (16. vydanie, uverejnené v Úradnom vestníku L 44 z dňa 15. februára 2005)</w:t>
      </w:r>
      <w:r>
        <w:rPr>
          <w:rFonts w:ascii="Times New Roman" w:hAnsi="Times New Roman"/>
          <w:sz w:val="28"/>
          <w:szCs w:val="28"/>
        </w:rPr>
        <w:t>, ktorý</w:t>
      </w:r>
      <w:r w:rsidRPr="00511CF3">
        <w:rPr>
          <w:rFonts w:ascii="Times New Roman" w:hAnsi="Times New Roman"/>
          <w:sz w:val="28"/>
          <w:szCs w:val="28"/>
        </w:rPr>
        <w:t xml:space="preserve"> </w:t>
      </w:r>
      <w:r>
        <w:rPr>
          <w:rFonts w:ascii="Times New Roman" w:hAnsi="Times New Roman"/>
          <w:sz w:val="28"/>
          <w:szCs w:val="28"/>
        </w:rPr>
        <w:t>zakotvil</w:t>
      </w:r>
      <w:r w:rsidRPr="00511CF3">
        <w:rPr>
          <w:rFonts w:ascii="Times New Roman" w:hAnsi="Times New Roman"/>
          <w:sz w:val="28"/>
          <w:szCs w:val="28"/>
        </w:rPr>
        <w:t xml:space="preserve"> pravidlo č. 9 o požiadavkách na lobistov, ktorí navštevujú budovu </w:t>
      </w:r>
      <w:r>
        <w:rPr>
          <w:rFonts w:ascii="Times New Roman" w:hAnsi="Times New Roman"/>
          <w:sz w:val="28"/>
          <w:szCs w:val="28"/>
        </w:rPr>
        <w:t>p</w:t>
      </w:r>
      <w:r w:rsidRPr="00511CF3">
        <w:rPr>
          <w:rFonts w:ascii="Times New Roman" w:hAnsi="Times New Roman"/>
          <w:sz w:val="28"/>
          <w:szCs w:val="28"/>
        </w:rPr>
        <w:t>arlamentu, vrátane požiadavky na ich registráciu.</w:t>
      </w:r>
      <w:r>
        <w:rPr>
          <w:rFonts w:ascii="Times New Roman" w:hAnsi="Times New Roman"/>
          <w:sz w:val="28"/>
          <w:szCs w:val="28"/>
        </w:rPr>
        <w:t xml:space="preserve"> Vzhľadom na absenciu úpravy lobingu na úrovni Európskej únie vychádzal p</w:t>
      </w:r>
      <w:r w:rsidRPr="00511CF3">
        <w:rPr>
          <w:rFonts w:ascii="Times New Roman" w:hAnsi="Times New Roman"/>
          <w:sz w:val="28"/>
          <w:szCs w:val="28"/>
        </w:rPr>
        <w:t xml:space="preserve">redkladateľ pri príprave návrhu zákona čiastočne z úpravy lobingu, ktorá je platná v Spojených </w:t>
      </w:r>
      <w:r>
        <w:rPr>
          <w:rFonts w:ascii="Times New Roman" w:hAnsi="Times New Roman"/>
          <w:sz w:val="28"/>
          <w:szCs w:val="28"/>
        </w:rPr>
        <w:t>štátoch amerických ako aj z konzultácií s podnikateľmi, ktorí podnikajú v oblasti lobingu, resp. public affairs.</w:t>
      </w:r>
    </w:p>
    <w:p w:rsidR="00101DEB" w:rsidP="00101DEB">
      <w:pPr>
        <w:widowControl/>
        <w:bidi w:val="0"/>
        <w:jc w:val="both"/>
        <w:rPr>
          <w:rFonts w:ascii="Times New Roman" w:hAnsi="Times New Roman"/>
          <w:sz w:val="28"/>
          <w:szCs w:val="28"/>
        </w:rPr>
      </w:pPr>
    </w:p>
    <w:p w:rsidR="00101DEB" w:rsidP="00101DEB">
      <w:pPr>
        <w:widowControl/>
        <w:bidi w:val="0"/>
        <w:jc w:val="both"/>
        <w:rPr>
          <w:rFonts w:ascii="Times New Roman" w:hAnsi="Times New Roman"/>
          <w:sz w:val="28"/>
          <w:szCs w:val="28"/>
        </w:rPr>
      </w:pPr>
      <w:r>
        <w:rPr>
          <w:rFonts w:ascii="Times New Roman" w:hAnsi="Times New Roman"/>
          <w:sz w:val="28"/>
          <w:szCs w:val="28"/>
        </w:rPr>
        <w:tab/>
        <w:t>Lobing a lobistický kontakt, ako ich definuje návrh zákona, predstavujú legitímny spôsob participácie na rozhodovacích procesoch verejnej moci, osobitne na legislatívnom procese. Platné právo obsahuje ustanovenia, ktoré regulujú správanie sa tak štátnych a verejných zamestnancov, ako aj verejných funkcionárov pri výkone ich povolaní, resp. funkcií. Rovnako sú upravené aj sankcie za porušenie povinností pri výkone povolaní či funkcií, či už sankcie pracovnoprávne alebo aj trestnoprávne. Je možné povedať, že niektoré oblasti lobingu a lobistických kontaktov, najmä na strane osôb, u ktorých sa lobuje, sú už dnes regulované. Chýba však regulácie na strane tých, ktorí lobing vykonávajú – na strane lobistov.</w:t>
      </w:r>
    </w:p>
    <w:p w:rsidR="00101DEB" w:rsidP="00101DEB">
      <w:pPr>
        <w:widowControl/>
        <w:bidi w:val="0"/>
        <w:jc w:val="both"/>
        <w:rPr>
          <w:rFonts w:ascii="Times New Roman" w:hAnsi="Times New Roman"/>
          <w:sz w:val="28"/>
          <w:szCs w:val="28"/>
        </w:rPr>
      </w:pPr>
      <w:r>
        <w:rPr>
          <w:rFonts w:ascii="Times New Roman" w:hAnsi="Times New Roman"/>
          <w:sz w:val="28"/>
          <w:szCs w:val="28"/>
        </w:rPr>
        <w:tab/>
        <w:t xml:space="preserve">Cieľom navrhovanej právnej úpravy je ustanoviť právnu reguláciu lobingu, práva a povinnosti lobistov a verejných činiteľov, ako aj zabezpečiť transparentnosť lobingových aktivít. Lobing, ako živnosť, bude regulovaný aj v rámci platných ustanovení živnostenského zákona. </w:t>
      </w:r>
    </w:p>
    <w:p w:rsidR="00101DEB" w:rsidP="00101DEB">
      <w:pPr>
        <w:widowControl/>
        <w:bidi w:val="0"/>
        <w:jc w:val="both"/>
        <w:rPr>
          <w:rFonts w:ascii="Times New Roman" w:hAnsi="Times New Roman"/>
          <w:sz w:val="28"/>
          <w:szCs w:val="28"/>
        </w:rPr>
      </w:pPr>
    </w:p>
    <w:p w:rsidR="00101DEB" w:rsidP="00101DEB">
      <w:pPr>
        <w:widowControl/>
        <w:bidi w:val="0"/>
        <w:jc w:val="both"/>
        <w:rPr>
          <w:rFonts w:ascii="Times New Roman" w:hAnsi="Times New Roman"/>
          <w:sz w:val="28"/>
          <w:szCs w:val="28"/>
        </w:rPr>
      </w:pPr>
      <w:r>
        <w:rPr>
          <w:rFonts w:ascii="Times New Roman" w:hAnsi="Times New Roman"/>
          <w:sz w:val="28"/>
          <w:szCs w:val="28"/>
        </w:rPr>
        <w:tab/>
        <w:t>Prijatím návrhu zákona nevzniknú zvýšené nároky na výdavky zo štátneho rozpočtu, resp. rozpočtov vyšších územných celkov. Predkladateľ predpokladá, že všetky výdavky spojené s prijatím tohto návrhu zákona bude možné pokryť v rámci schválených limitov rozpočtových kapitol. Návrh nebude mať vplyv ekonomický ani environmentálny vplyv a ani vplyv na zamestnanosť. Predkladateľ takisto nepredpokladá negatívny vplyv na podnikateľské prostredie.</w:t>
      </w:r>
    </w:p>
    <w:p w:rsidR="00101DEB" w:rsidRPr="00F22242" w:rsidP="00101DEB">
      <w:pPr>
        <w:widowControl/>
        <w:bidi w:val="0"/>
        <w:jc w:val="both"/>
        <w:rPr>
          <w:rFonts w:ascii="Times New Roman" w:hAnsi="Times New Roman"/>
          <w:sz w:val="28"/>
          <w:szCs w:val="28"/>
        </w:rPr>
      </w:pPr>
    </w:p>
    <w:p w:rsidR="00101DEB" w:rsidP="00101DEB">
      <w:pPr>
        <w:widowControl/>
        <w:bidi w:val="0"/>
        <w:ind w:firstLine="708"/>
        <w:jc w:val="both"/>
        <w:rPr>
          <w:rFonts w:ascii="Times New Roman" w:hAnsi="Times New Roman"/>
          <w:sz w:val="28"/>
          <w:szCs w:val="28"/>
        </w:rPr>
      </w:pPr>
      <w:r>
        <w:rPr>
          <w:rFonts w:ascii="Times New Roman" w:hAnsi="Times New Roman"/>
          <w:sz w:val="28"/>
          <w:szCs w:val="28"/>
        </w:rPr>
        <w:t>Návrh zákona je v súlade s Ústavou Slovenskej republiky, ako aj s medzinárodnými zmluvami, ktorými je Slovenská republika viazaná.</w:t>
      </w:r>
    </w:p>
    <w:p w:rsidR="00101DEB" w:rsidP="00101DEB">
      <w:pPr>
        <w:widowControl/>
        <w:bidi w:val="0"/>
        <w:ind w:firstLine="708"/>
        <w:jc w:val="center"/>
        <w:rPr>
          <w:rFonts w:ascii="Times New Roman" w:hAnsi="Times New Roman"/>
          <w:b/>
          <w:bCs/>
          <w:sz w:val="28"/>
          <w:szCs w:val="28"/>
        </w:rPr>
      </w:pPr>
      <w:r>
        <w:rPr>
          <w:rFonts w:ascii="Times New Roman" w:hAnsi="Times New Roman"/>
          <w:sz w:val="28"/>
          <w:szCs w:val="28"/>
        </w:rPr>
        <w:br w:type="page"/>
      </w:r>
      <w:r w:rsidRPr="00801564">
        <w:rPr>
          <w:rFonts w:ascii="Times New Roman" w:hAnsi="Times New Roman"/>
          <w:b/>
          <w:bCs/>
          <w:sz w:val="28"/>
          <w:szCs w:val="28"/>
        </w:rPr>
        <w:t>Doložka finančných, ekonomických, environmentálnych vplyvov a vplyvov na zamestnanosť</w:t>
      </w:r>
    </w:p>
    <w:p w:rsidR="00101DEB" w:rsidRPr="00801564" w:rsidP="00101DEB">
      <w:pPr>
        <w:widowControl/>
        <w:bidi w:val="0"/>
        <w:ind w:firstLine="708"/>
        <w:jc w:val="center"/>
        <w:rPr>
          <w:rFonts w:ascii="Times New Roman" w:hAnsi="Times New Roman"/>
          <w:b/>
          <w:bCs/>
          <w:sz w:val="28"/>
          <w:szCs w:val="28"/>
        </w:rPr>
      </w:pPr>
    </w:p>
    <w:p w:rsidR="00101DEB" w:rsidRPr="00801564" w:rsidP="00101DEB">
      <w:pPr>
        <w:widowControl/>
        <w:bidi w:val="0"/>
        <w:jc w:val="both"/>
        <w:rPr>
          <w:rFonts w:ascii="Times New Roman" w:hAnsi="Times New Roman"/>
          <w:b/>
          <w:bCs/>
          <w:sz w:val="28"/>
          <w:szCs w:val="28"/>
        </w:rPr>
      </w:pPr>
      <w:r w:rsidRPr="00801564">
        <w:rPr>
          <w:rFonts w:ascii="Times New Roman" w:hAnsi="Times New Roman"/>
          <w:b/>
          <w:bCs/>
          <w:sz w:val="28"/>
          <w:szCs w:val="28"/>
        </w:rPr>
        <w:t>1. Finančný vplyv</w:t>
      </w:r>
    </w:p>
    <w:p w:rsidR="00101DEB" w:rsidRPr="00801564" w:rsidP="00101DEB">
      <w:pPr>
        <w:widowControl/>
        <w:bidi w:val="0"/>
        <w:jc w:val="both"/>
        <w:rPr>
          <w:rFonts w:ascii="Times New Roman" w:hAnsi="Times New Roman"/>
          <w:sz w:val="26"/>
          <w:szCs w:val="26"/>
        </w:rPr>
      </w:pPr>
      <w:r>
        <w:rPr>
          <w:rFonts w:ascii="Times New Roman" w:hAnsi="Times New Roman"/>
          <w:sz w:val="26"/>
          <w:szCs w:val="26"/>
        </w:rPr>
        <w:t>Prijatie návrhu môže znamenať zvýšenie výdavkov v spojení s potrebou vytvoriť zoznamy lobistov a zabezpečiť ich činnosť. Predkladateľ však predpokladá, že tieto výdavky budú nízke a bude ich možné realizovať v rámci schválených limitov rozpočtových kapitol na rok 20</w:t>
      </w:r>
      <w:r w:rsidR="004958BF">
        <w:rPr>
          <w:rFonts w:ascii="Times New Roman" w:hAnsi="Times New Roman"/>
          <w:sz w:val="26"/>
          <w:szCs w:val="26"/>
        </w:rPr>
        <w:t>15</w:t>
      </w:r>
      <w:r>
        <w:rPr>
          <w:rFonts w:ascii="Times New Roman" w:hAnsi="Times New Roman"/>
          <w:sz w:val="26"/>
          <w:szCs w:val="26"/>
        </w:rPr>
        <w:t>.</w:t>
      </w:r>
    </w:p>
    <w:p w:rsidR="00101DEB" w:rsidRPr="00DA7AAF" w:rsidP="00101DEB">
      <w:pPr>
        <w:widowControl/>
        <w:tabs>
          <w:tab w:val="left" w:pos="5103"/>
          <w:tab w:val="left" w:pos="6521"/>
          <w:tab w:val="left" w:pos="7938"/>
        </w:tabs>
        <w:bidi w:val="0"/>
        <w:jc w:val="both"/>
        <w:rPr>
          <w:rFonts w:ascii="Times New Roman" w:hAnsi="Times New Roman"/>
        </w:rPr>
      </w:pPr>
    </w:p>
    <w:p w:rsidR="00101DEB" w:rsidRPr="00801564" w:rsidP="00101DEB">
      <w:pPr>
        <w:widowControl/>
        <w:bidi w:val="0"/>
        <w:jc w:val="both"/>
        <w:rPr>
          <w:rFonts w:ascii="Times New Roman" w:hAnsi="Times New Roman"/>
          <w:b/>
          <w:bCs/>
          <w:sz w:val="28"/>
          <w:szCs w:val="28"/>
        </w:rPr>
      </w:pPr>
      <w:r w:rsidRPr="00801564">
        <w:rPr>
          <w:rFonts w:ascii="Times New Roman" w:hAnsi="Times New Roman"/>
          <w:b/>
          <w:bCs/>
          <w:sz w:val="28"/>
          <w:szCs w:val="28"/>
        </w:rPr>
        <w:t>2. Ekonomický vplyv</w:t>
      </w:r>
    </w:p>
    <w:p w:rsidR="00101DEB" w:rsidRPr="00801564" w:rsidP="00101DEB">
      <w:pPr>
        <w:widowControl/>
        <w:bidi w:val="0"/>
        <w:jc w:val="both"/>
        <w:rPr>
          <w:rFonts w:ascii="Times New Roman" w:hAnsi="Times New Roman"/>
          <w:sz w:val="26"/>
          <w:szCs w:val="26"/>
        </w:rPr>
      </w:pPr>
      <w:r w:rsidRPr="00801564">
        <w:rPr>
          <w:rFonts w:ascii="Times New Roman" w:hAnsi="Times New Roman"/>
          <w:sz w:val="26"/>
          <w:szCs w:val="26"/>
        </w:rPr>
        <w:t>Nebude mať vplyv.</w:t>
      </w:r>
    </w:p>
    <w:p w:rsidR="00101DEB" w:rsidRPr="00801564" w:rsidP="00101DEB">
      <w:pPr>
        <w:widowControl/>
        <w:bidi w:val="0"/>
        <w:jc w:val="both"/>
        <w:rPr>
          <w:rFonts w:ascii="Times New Roman" w:hAnsi="Times New Roman"/>
          <w:sz w:val="28"/>
          <w:szCs w:val="28"/>
        </w:rPr>
      </w:pPr>
    </w:p>
    <w:p w:rsidR="00101DEB" w:rsidRPr="00801564" w:rsidP="00101DEB">
      <w:pPr>
        <w:widowControl/>
        <w:bidi w:val="0"/>
        <w:jc w:val="both"/>
        <w:rPr>
          <w:rFonts w:ascii="Times New Roman" w:hAnsi="Times New Roman"/>
          <w:b/>
          <w:bCs/>
          <w:sz w:val="28"/>
          <w:szCs w:val="28"/>
        </w:rPr>
      </w:pPr>
      <w:r w:rsidRPr="00801564">
        <w:rPr>
          <w:rFonts w:ascii="Times New Roman" w:hAnsi="Times New Roman"/>
          <w:b/>
          <w:bCs/>
          <w:sz w:val="28"/>
          <w:szCs w:val="28"/>
        </w:rPr>
        <w:t>3. Environmentálny vplyv</w:t>
      </w:r>
    </w:p>
    <w:p w:rsidR="00101DEB" w:rsidRPr="00801564" w:rsidP="00101DEB">
      <w:pPr>
        <w:widowControl/>
        <w:bidi w:val="0"/>
        <w:jc w:val="both"/>
        <w:rPr>
          <w:rFonts w:ascii="Times New Roman" w:hAnsi="Times New Roman"/>
          <w:sz w:val="26"/>
          <w:szCs w:val="26"/>
        </w:rPr>
      </w:pPr>
      <w:r w:rsidRPr="00801564">
        <w:rPr>
          <w:rFonts w:ascii="Times New Roman" w:hAnsi="Times New Roman"/>
          <w:sz w:val="26"/>
          <w:szCs w:val="26"/>
        </w:rPr>
        <w:t>Nebude mať vplyv.</w:t>
      </w:r>
    </w:p>
    <w:p w:rsidR="00101DEB" w:rsidRPr="00801564" w:rsidP="00101DEB">
      <w:pPr>
        <w:widowControl/>
        <w:bidi w:val="0"/>
        <w:jc w:val="both"/>
        <w:rPr>
          <w:rFonts w:ascii="Times New Roman" w:hAnsi="Times New Roman"/>
          <w:sz w:val="28"/>
          <w:szCs w:val="28"/>
        </w:rPr>
      </w:pPr>
    </w:p>
    <w:p w:rsidR="00101DEB" w:rsidRPr="00801564" w:rsidP="00101DEB">
      <w:pPr>
        <w:widowControl/>
        <w:bidi w:val="0"/>
        <w:jc w:val="both"/>
        <w:rPr>
          <w:rFonts w:ascii="Times New Roman" w:hAnsi="Times New Roman"/>
          <w:b/>
          <w:bCs/>
          <w:sz w:val="28"/>
          <w:szCs w:val="28"/>
        </w:rPr>
      </w:pPr>
      <w:r w:rsidRPr="00801564">
        <w:rPr>
          <w:rFonts w:ascii="Times New Roman" w:hAnsi="Times New Roman"/>
          <w:b/>
          <w:bCs/>
          <w:sz w:val="28"/>
          <w:szCs w:val="28"/>
        </w:rPr>
        <w:t>4. Vplyv na zamestnanosť</w:t>
      </w:r>
    </w:p>
    <w:p w:rsidR="00101DEB" w:rsidP="00101DEB">
      <w:pPr>
        <w:widowControl/>
        <w:bidi w:val="0"/>
        <w:jc w:val="both"/>
        <w:rPr>
          <w:rFonts w:ascii="Times New Roman" w:hAnsi="Times New Roman"/>
          <w:sz w:val="26"/>
          <w:szCs w:val="26"/>
        </w:rPr>
      </w:pPr>
      <w:r w:rsidRPr="00801564">
        <w:rPr>
          <w:rFonts w:ascii="Times New Roman" w:hAnsi="Times New Roman"/>
          <w:sz w:val="26"/>
          <w:szCs w:val="26"/>
        </w:rPr>
        <w:t>Nebude mať vplyv</w:t>
      </w:r>
      <w:r>
        <w:rPr>
          <w:rFonts w:ascii="Times New Roman" w:hAnsi="Times New Roman"/>
          <w:sz w:val="26"/>
          <w:szCs w:val="26"/>
        </w:rPr>
        <w:t>.</w:t>
      </w:r>
    </w:p>
    <w:p w:rsidR="00101DEB" w:rsidP="00101DEB">
      <w:pPr>
        <w:widowControl/>
        <w:bidi w:val="0"/>
        <w:jc w:val="both"/>
        <w:rPr>
          <w:rFonts w:ascii="Times New Roman" w:hAnsi="Times New Roman"/>
          <w:sz w:val="26"/>
          <w:szCs w:val="26"/>
        </w:rPr>
      </w:pPr>
    </w:p>
    <w:p w:rsidR="00101DEB" w:rsidP="00101DEB">
      <w:pPr>
        <w:widowControl/>
        <w:bidi w:val="0"/>
        <w:jc w:val="both"/>
        <w:rPr>
          <w:rFonts w:ascii="Times New Roman" w:hAnsi="Times New Roman"/>
          <w:b/>
          <w:sz w:val="28"/>
          <w:szCs w:val="28"/>
        </w:rPr>
      </w:pPr>
      <w:r>
        <w:rPr>
          <w:rFonts w:ascii="Times New Roman" w:hAnsi="Times New Roman"/>
          <w:b/>
          <w:sz w:val="28"/>
          <w:szCs w:val="28"/>
        </w:rPr>
        <w:t>5. Vplyv na podnikateľské prostredie</w:t>
      </w:r>
    </w:p>
    <w:p w:rsidR="00101DEB" w:rsidRPr="00D50EE1" w:rsidP="00101DEB">
      <w:pPr>
        <w:widowControl/>
        <w:bidi w:val="0"/>
        <w:jc w:val="both"/>
        <w:rPr>
          <w:rFonts w:ascii="Times New Roman" w:hAnsi="Times New Roman"/>
          <w:sz w:val="26"/>
          <w:szCs w:val="26"/>
        </w:rPr>
      </w:pPr>
      <w:r w:rsidRPr="00D50EE1">
        <w:rPr>
          <w:rFonts w:ascii="Times New Roman" w:hAnsi="Times New Roman"/>
          <w:sz w:val="26"/>
          <w:szCs w:val="26"/>
        </w:rPr>
        <w:t xml:space="preserve">Prijatie návrhu nebude mať negatívny vplyv na podnikateľské prostredie. </w:t>
      </w:r>
      <w:r>
        <w:rPr>
          <w:rFonts w:ascii="Times New Roman" w:hAnsi="Times New Roman"/>
          <w:sz w:val="26"/>
          <w:szCs w:val="26"/>
        </w:rPr>
        <w:t>Povinnosti, ktoré sa ukladajú lobistom, ako aj ohlasovacia povinnosť pre podnikateľov a právnické osoby nebudú podľa predkladateľa znamenať výraznú administratívnu záťaž. Navrhované prechodné obdobie zároveň umožní osobám, ktoré podnikajú v oblasti lobingu zosúladiť svoju činnosť s návrhom zákona. Vzhľadom na to, že lobing bude voľnou živnosťou a nevyžaduje sa splnenie žiadnych osobitných podmienok na jeho výkon, nebude zosúladenie doterajšej činnosti s návrhom zákona predstavovať žiadne problémy.</w:t>
      </w:r>
    </w:p>
    <w:p w:rsidR="00101DEB" w:rsidP="00101DEB">
      <w:pPr>
        <w:pStyle w:val="Heading1"/>
        <w:widowControl/>
        <w:bidi w:val="0"/>
        <w:jc w:val="center"/>
        <w:rPr>
          <w:rFonts w:ascii="Times New Roman" w:hAnsi="Times New Roman"/>
          <w:caps/>
          <w:color w:val="000000"/>
        </w:rPr>
      </w:pPr>
      <w:r>
        <w:rPr>
          <w:rFonts w:ascii="Times New Roman" w:hAnsi="Times New Roman"/>
          <w:caps/>
          <w:color w:val="000000"/>
        </w:rPr>
        <w:br w:type="page"/>
      </w:r>
    </w:p>
    <w:p w:rsidR="00101DEB" w:rsidP="00101DEB">
      <w:pPr>
        <w:pStyle w:val="Heading1"/>
        <w:widowControl/>
        <w:bidi w:val="0"/>
        <w:jc w:val="center"/>
        <w:rPr>
          <w:rFonts w:ascii="Times New Roman" w:hAnsi="Times New Roman"/>
          <w:caps/>
          <w:color w:val="000000"/>
        </w:rPr>
      </w:pPr>
      <w:r>
        <w:rPr>
          <w:rFonts w:ascii="Times New Roman" w:hAnsi="Times New Roman"/>
          <w:caps/>
          <w:color w:val="000000"/>
        </w:rPr>
        <w:t>Doložka zlučiteľnosti</w:t>
      </w:r>
    </w:p>
    <w:p w:rsidR="00101DEB" w:rsidP="00101DEB">
      <w:pPr>
        <w:widowControl/>
        <w:bidi w:val="0"/>
        <w:jc w:val="center"/>
        <w:rPr>
          <w:rFonts w:ascii="Times New Roman" w:hAnsi="Times New Roman"/>
          <w:b/>
          <w:bCs/>
          <w:sz w:val="28"/>
          <w:szCs w:val="28"/>
        </w:rPr>
      </w:pPr>
      <w:r>
        <w:rPr>
          <w:rFonts w:ascii="Times New Roman" w:hAnsi="Times New Roman"/>
          <w:b/>
          <w:bCs/>
          <w:sz w:val="28"/>
          <w:szCs w:val="28"/>
        </w:rPr>
        <w:t>návrhu právneho predpisu</w:t>
      </w:r>
    </w:p>
    <w:p w:rsidR="00101DEB" w:rsidP="00101DEB">
      <w:pPr>
        <w:widowControl/>
        <w:bidi w:val="0"/>
        <w:jc w:val="center"/>
        <w:rPr>
          <w:rFonts w:ascii="Times New Roman" w:hAnsi="Times New Roman"/>
          <w:b/>
          <w:bCs/>
          <w:color w:val="000000"/>
          <w:sz w:val="28"/>
          <w:szCs w:val="28"/>
        </w:rPr>
      </w:pPr>
      <w:r>
        <w:rPr>
          <w:rFonts w:ascii="Times New Roman" w:hAnsi="Times New Roman"/>
          <w:b/>
          <w:bCs/>
          <w:color w:val="000000"/>
          <w:sz w:val="28"/>
          <w:szCs w:val="28"/>
        </w:rPr>
        <w:t>s právom Európskych spoločenstiev a právom Európskej únie</w:t>
      </w:r>
    </w:p>
    <w:p w:rsidR="00101DEB" w:rsidP="00101DEB">
      <w:pPr>
        <w:widowControl/>
        <w:tabs>
          <w:tab w:val="left" w:pos="360"/>
        </w:tabs>
        <w:bidi w:val="0"/>
        <w:jc w:val="both"/>
        <w:rPr>
          <w:rFonts w:ascii="Times New Roman" w:hAnsi="Times New Roman"/>
          <w:b/>
          <w:bCs/>
          <w:color w:val="000000"/>
          <w:sz w:val="28"/>
          <w:szCs w:val="28"/>
        </w:rPr>
      </w:pPr>
    </w:p>
    <w:p w:rsidR="00101DEB" w:rsidP="00101DEB">
      <w:pPr>
        <w:widowControl/>
        <w:numPr>
          <w:ilvl w:val="3"/>
          <w:numId w:val="1"/>
        </w:numPr>
        <w:tabs>
          <w:tab w:val="clear" w:pos="2880"/>
        </w:tabs>
        <w:bidi w:val="0"/>
        <w:ind w:left="360"/>
        <w:jc w:val="both"/>
        <w:rPr>
          <w:rFonts w:ascii="Times New Roman" w:hAnsi="Times New Roman"/>
          <w:b/>
          <w:bCs/>
          <w:color w:val="000000"/>
          <w:sz w:val="28"/>
          <w:szCs w:val="28"/>
        </w:rPr>
      </w:pPr>
      <w:r>
        <w:rPr>
          <w:rFonts w:ascii="Times New Roman" w:hAnsi="Times New Roman"/>
          <w:i/>
          <w:iCs/>
          <w:color w:val="000000"/>
          <w:sz w:val="28"/>
          <w:szCs w:val="28"/>
        </w:rPr>
        <w:t>Navrhovateľ právneho predpisu:</w:t>
      </w:r>
      <w:r>
        <w:rPr>
          <w:rFonts w:ascii="Times New Roman" w:hAnsi="Times New Roman"/>
          <w:color w:val="000000"/>
          <w:sz w:val="28"/>
          <w:szCs w:val="28"/>
        </w:rPr>
        <w:t xml:space="preserve"> </w:t>
      </w:r>
      <w:r w:rsidR="004958BF">
        <w:rPr>
          <w:rFonts w:ascii="Times New Roman" w:hAnsi="Times New Roman"/>
          <w:color w:val="000000"/>
          <w:sz w:val="28"/>
          <w:szCs w:val="28"/>
        </w:rPr>
        <w:t>poslanec Národnej rady SR D. Lipšic</w:t>
      </w:r>
      <w:r>
        <w:rPr>
          <w:rFonts w:ascii="Times New Roman" w:hAnsi="Times New Roman"/>
          <w:color w:val="000000"/>
          <w:sz w:val="28"/>
          <w:szCs w:val="28"/>
        </w:rPr>
        <w:t>.</w:t>
      </w:r>
    </w:p>
    <w:p w:rsidR="00101DEB" w:rsidP="00101DEB">
      <w:pPr>
        <w:widowControl/>
        <w:numPr>
          <w:ilvl w:val="3"/>
          <w:numId w:val="1"/>
        </w:numPr>
        <w:tabs>
          <w:tab w:val="clear" w:pos="2880"/>
        </w:tabs>
        <w:bidi w:val="0"/>
        <w:ind w:left="360"/>
        <w:jc w:val="both"/>
        <w:rPr>
          <w:rFonts w:ascii="Times New Roman" w:hAnsi="Times New Roman"/>
          <w:b/>
          <w:bCs/>
          <w:color w:val="000000"/>
          <w:sz w:val="28"/>
          <w:szCs w:val="28"/>
        </w:rPr>
      </w:pPr>
      <w:r>
        <w:rPr>
          <w:rFonts w:ascii="Times New Roman" w:hAnsi="Times New Roman"/>
          <w:i/>
          <w:iCs/>
          <w:color w:val="000000"/>
          <w:sz w:val="28"/>
          <w:szCs w:val="28"/>
        </w:rPr>
        <w:t>Názov návrhu právneho predpisu:</w:t>
      </w:r>
      <w:r>
        <w:rPr>
          <w:rFonts w:ascii="Times New Roman" w:hAnsi="Times New Roman"/>
          <w:color w:val="000000"/>
          <w:sz w:val="28"/>
          <w:szCs w:val="28"/>
        </w:rPr>
        <w:t xml:space="preserve"> návrh zákona o lobingu a o zmene a doplnení niektorých zákonov</w:t>
      </w:r>
      <w:r>
        <w:rPr>
          <w:rFonts w:ascii="Times New Roman" w:hAnsi="Times New Roman"/>
          <w:sz w:val="28"/>
          <w:szCs w:val="28"/>
        </w:rPr>
        <w:t>.</w:t>
      </w:r>
    </w:p>
    <w:p w:rsidR="00101DEB" w:rsidP="00101DEB">
      <w:pPr>
        <w:widowControl/>
        <w:numPr>
          <w:ilvl w:val="3"/>
          <w:numId w:val="1"/>
        </w:numPr>
        <w:tabs>
          <w:tab w:val="clear" w:pos="2880"/>
        </w:tabs>
        <w:bidi w:val="0"/>
        <w:ind w:left="360"/>
        <w:jc w:val="both"/>
        <w:rPr>
          <w:rFonts w:ascii="Times New Roman" w:hAnsi="Times New Roman"/>
          <w:color w:val="000000"/>
          <w:sz w:val="28"/>
          <w:szCs w:val="28"/>
        </w:rPr>
      </w:pPr>
      <w:r>
        <w:rPr>
          <w:rFonts w:ascii="Times New Roman" w:hAnsi="Times New Roman"/>
          <w:color w:val="000000"/>
          <w:sz w:val="28"/>
          <w:szCs w:val="28"/>
        </w:rPr>
        <w:t xml:space="preserve">Návrh zákona svojou problematikou nepatrí medzi prioritné oblasti aproximácie práva uvedené v čl. 70 Európskej dohody o pridružení a svojou problematikou nepatrí ani medzi priority odporúčané v Bielej knihe. </w:t>
      </w:r>
    </w:p>
    <w:p w:rsidR="00101DEB" w:rsidP="00101DEB">
      <w:pPr>
        <w:widowControl/>
        <w:numPr>
          <w:ilvl w:val="3"/>
          <w:numId w:val="1"/>
        </w:numPr>
        <w:tabs>
          <w:tab w:val="clear" w:pos="2880"/>
        </w:tabs>
        <w:bidi w:val="0"/>
        <w:ind w:left="360"/>
        <w:jc w:val="both"/>
        <w:rPr>
          <w:rFonts w:ascii="Times New Roman" w:hAnsi="Times New Roman"/>
          <w:color w:val="000000"/>
          <w:sz w:val="28"/>
          <w:szCs w:val="28"/>
        </w:rPr>
      </w:pPr>
      <w:r>
        <w:rPr>
          <w:rFonts w:ascii="Times New Roman" w:hAnsi="Times New Roman"/>
          <w:color w:val="000000"/>
          <w:sz w:val="28"/>
          <w:szCs w:val="28"/>
        </w:rPr>
        <w:t xml:space="preserve">V práve Európskych spoločenstiev a v práve Európskej únie nie je problematika návrhu právneho predpisu priamo upravená. </w:t>
      </w:r>
    </w:p>
    <w:p w:rsidR="00101DEB" w:rsidP="00101DEB">
      <w:pPr>
        <w:widowControl/>
        <w:numPr>
          <w:ilvl w:val="3"/>
          <w:numId w:val="1"/>
        </w:numPr>
        <w:tabs>
          <w:tab w:val="clear" w:pos="2880"/>
        </w:tabs>
        <w:bidi w:val="0"/>
        <w:ind w:left="360"/>
        <w:jc w:val="both"/>
        <w:rPr>
          <w:rFonts w:ascii="Times New Roman" w:hAnsi="Times New Roman"/>
          <w:color w:val="000000"/>
          <w:sz w:val="28"/>
          <w:szCs w:val="28"/>
        </w:rPr>
      </w:pPr>
      <w:r>
        <w:rPr>
          <w:rFonts w:ascii="Times New Roman" w:hAnsi="Times New Roman"/>
          <w:i/>
          <w:iCs/>
          <w:color w:val="000000"/>
          <w:sz w:val="28"/>
          <w:szCs w:val="28"/>
        </w:rPr>
        <w:t>Stupeň zlučiteľnosti návrhu právneho predpisu s právom Európskych spoločenstiev a Európskej únie:</w:t>
      </w:r>
      <w:r>
        <w:rPr>
          <w:rFonts w:ascii="Times New Roman" w:hAnsi="Times New Roman"/>
          <w:color w:val="000000"/>
          <w:sz w:val="28"/>
          <w:szCs w:val="28"/>
        </w:rPr>
        <w:t xml:space="preserve"> bezpredmetné</w:t>
      </w:r>
    </w:p>
    <w:p w:rsidR="00101DEB" w:rsidP="00101DEB">
      <w:pPr>
        <w:widowControl/>
        <w:numPr>
          <w:ilvl w:val="3"/>
          <w:numId w:val="1"/>
        </w:numPr>
        <w:tabs>
          <w:tab w:val="clear" w:pos="2880"/>
        </w:tabs>
        <w:bidi w:val="0"/>
        <w:ind w:left="360"/>
        <w:jc w:val="both"/>
        <w:rPr>
          <w:rFonts w:ascii="Times New Roman" w:hAnsi="Times New Roman"/>
          <w:color w:val="000000"/>
          <w:sz w:val="28"/>
          <w:szCs w:val="28"/>
        </w:rPr>
      </w:pPr>
      <w:r>
        <w:rPr>
          <w:rFonts w:ascii="Times New Roman" w:hAnsi="Times New Roman"/>
          <w:i/>
          <w:iCs/>
          <w:color w:val="000000"/>
          <w:sz w:val="28"/>
          <w:szCs w:val="28"/>
        </w:rPr>
        <w:t>Gestor (spolupracujúce rezorty):</w:t>
      </w:r>
      <w:r>
        <w:rPr>
          <w:rFonts w:ascii="Times New Roman" w:hAnsi="Times New Roman"/>
          <w:color w:val="000000"/>
          <w:sz w:val="28"/>
          <w:szCs w:val="28"/>
        </w:rPr>
        <w:t xml:space="preserve"> Nakoľko sa do návrhu zákona netransponujú žiadne ustanovenia smerníc, považujeme stanovenie gestora za bezpredmetné.</w:t>
      </w:r>
    </w:p>
    <w:p w:rsidR="00101DEB" w:rsidP="00101DEB">
      <w:pPr>
        <w:widowControl/>
        <w:numPr>
          <w:ilvl w:val="3"/>
          <w:numId w:val="1"/>
        </w:numPr>
        <w:tabs>
          <w:tab w:val="clear" w:pos="2880"/>
        </w:tabs>
        <w:bidi w:val="0"/>
        <w:ind w:left="360"/>
        <w:jc w:val="both"/>
        <w:rPr>
          <w:rFonts w:ascii="Times New Roman" w:hAnsi="Times New Roman"/>
          <w:color w:val="000000"/>
          <w:sz w:val="28"/>
          <w:szCs w:val="28"/>
        </w:rPr>
      </w:pPr>
      <w:r>
        <w:rPr>
          <w:rFonts w:ascii="Times New Roman" w:hAnsi="Times New Roman"/>
          <w:color w:val="000000"/>
          <w:sz w:val="28"/>
          <w:szCs w:val="28"/>
        </w:rPr>
        <w:t>Na príprave návrhu zákona sa nezúčastnili žiadni experti.</w:t>
      </w:r>
    </w:p>
    <w:p w:rsidR="00101DEB" w:rsidP="00101DEB">
      <w:pPr>
        <w:widowControl/>
        <w:bidi w:val="0"/>
        <w:jc w:val="both"/>
        <w:rPr>
          <w:rFonts w:ascii="Times New Roman" w:hAnsi="Times New Roman"/>
          <w:b/>
          <w:bCs/>
          <w:sz w:val="28"/>
          <w:szCs w:val="28"/>
        </w:rPr>
      </w:pPr>
      <w:r>
        <w:rPr>
          <w:rFonts w:ascii="Times New Roman" w:hAnsi="Times New Roman"/>
          <w:sz w:val="28"/>
          <w:szCs w:val="28"/>
        </w:rPr>
        <w:br w:type="page"/>
      </w:r>
      <w:r>
        <w:rPr>
          <w:rFonts w:ascii="Times New Roman" w:hAnsi="Times New Roman"/>
          <w:b/>
          <w:bCs/>
          <w:sz w:val="28"/>
          <w:szCs w:val="28"/>
        </w:rPr>
        <w:t>2. Osobitná časť</w:t>
      </w:r>
    </w:p>
    <w:p w:rsidR="00101DEB" w:rsidP="00101DEB">
      <w:pPr>
        <w:widowControl/>
        <w:bidi w:val="0"/>
        <w:rPr>
          <w:rFonts w:ascii="Times New Roman" w:hAnsi="Times New Roman"/>
          <w:b/>
          <w:sz w:val="26"/>
          <w:szCs w:val="26"/>
        </w:rPr>
      </w:pPr>
    </w:p>
    <w:p w:rsidR="00101DEB" w:rsidRPr="0069282D" w:rsidP="00101DEB">
      <w:pPr>
        <w:widowControl/>
        <w:bidi w:val="0"/>
        <w:rPr>
          <w:rFonts w:ascii="Times New Roman" w:hAnsi="Times New Roman"/>
          <w:b/>
          <w:sz w:val="26"/>
          <w:szCs w:val="26"/>
        </w:rPr>
      </w:pPr>
      <w:r w:rsidRPr="0069282D">
        <w:rPr>
          <w:rFonts w:ascii="Times New Roman" w:hAnsi="Times New Roman"/>
          <w:b/>
          <w:sz w:val="26"/>
          <w:szCs w:val="26"/>
        </w:rPr>
        <w:t>K § 1:</w:t>
      </w:r>
    </w:p>
    <w:p w:rsidR="00101DEB" w:rsidP="00101DEB">
      <w:pPr>
        <w:widowControl/>
        <w:bidi w:val="0"/>
        <w:jc w:val="both"/>
        <w:rPr>
          <w:rFonts w:ascii="Times New Roman" w:hAnsi="Times New Roman"/>
          <w:sz w:val="26"/>
          <w:szCs w:val="26"/>
        </w:rPr>
      </w:pPr>
      <w:r>
        <w:rPr>
          <w:rFonts w:ascii="Times New Roman" w:hAnsi="Times New Roman"/>
        </w:rPr>
        <w:tab/>
      </w:r>
      <w:r w:rsidRPr="0069282D">
        <w:rPr>
          <w:rFonts w:ascii="Times New Roman" w:hAnsi="Times New Roman"/>
          <w:sz w:val="26"/>
          <w:szCs w:val="26"/>
        </w:rPr>
        <w:t>V § 1 sa ustanovuje predmet úpravy zákona, ktorým je ustanovenie podmienok výkonu lobingu, práv a povinností lobistov a verejných činiteľov ako aj sankcií za porušenie ustanovení zákona.</w:t>
      </w:r>
    </w:p>
    <w:p w:rsidR="00101DEB" w:rsidP="00101DEB">
      <w:pPr>
        <w:widowControl/>
        <w:bidi w:val="0"/>
        <w:jc w:val="both"/>
        <w:rPr>
          <w:rFonts w:ascii="Times New Roman" w:hAnsi="Times New Roman"/>
          <w:sz w:val="26"/>
          <w:szCs w:val="26"/>
        </w:rPr>
      </w:pPr>
      <w:r>
        <w:rPr>
          <w:rFonts w:ascii="Times New Roman" w:hAnsi="Times New Roman"/>
          <w:sz w:val="26"/>
          <w:szCs w:val="26"/>
        </w:rPr>
        <w:tab/>
        <w:t xml:space="preserve">§ 1 rovnako ustanovuje pôsobnosť zákona. V zmysle tohto ustanovenia sa tento zákon (a teda zákonná regulácia lobingu) vzťahuje len na oblasti ustanovené v § 1 ods. 2 a ostatné oblasti lobingu zostávajú neregulované. </w:t>
      </w:r>
    </w:p>
    <w:p w:rsidR="00101DEB" w:rsidP="00101DEB">
      <w:pPr>
        <w:widowControl/>
        <w:bidi w:val="0"/>
        <w:jc w:val="both"/>
        <w:rPr>
          <w:rFonts w:ascii="Times New Roman" w:hAnsi="Times New Roman"/>
          <w:sz w:val="26"/>
          <w:szCs w:val="26"/>
        </w:rPr>
      </w:pPr>
    </w:p>
    <w:p w:rsidR="00101DEB" w:rsidP="00101DEB">
      <w:pPr>
        <w:widowControl/>
        <w:bidi w:val="0"/>
        <w:jc w:val="both"/>
        <w:rPr>
          <w:rFonts w:ascii="Times New Roman" w:hAnsi="Times New Roman"/>
          <w:b/>
          <w:sz w:val="26"/>
          <w:szCs w:val="26"/>
        </w:rPr>
      </w:pPr>
      <w:r>
        <w:rPr>
          <w:rFonts w:ascii="Times New Roman" w:hAnsi="Times New Roman"/>
          <w:b/>
          <w:sz w:val="26"/>
          <w:szCs w:val="26"/>
        </w:rPr>
        <w:t>K § 2:</w:t>
      </w:r>
    </w:p>
    <w:p w:rsidR="00101DEB" w:rsidP="00101DEB">
      <w:pPr>
        <w:widowControl/>
        <w:bidi w:val="0"/>
        <w:jc w:val="both"/>
        <w:rPr>
          <w:rFonts w:ascii="Times New Roman" w:hAnsi="Times New Roman"/>
          <w:sz w:val="26"/>
          <w:szCs w:val="26"/>
        </w:rPr>
      </w:pPr>
      <w:r>
        <w:rPr>
          <w:rFonts w:ascii="Times New Roman" w:hAnsi="Times New Roman"/>
          <w:sz w:val="26"/>
          <w:szCs w:val="26"/>
        </w:rPr>
        <w:tab/>
        <w:t xml:space="preserve">§ 2 ďalej obsahuje definície pojmov, ktoré zákon používa. Vymedzuje sa pojem lobing, ako činnosť, ktorú je možné vykonávať (v zmysle § 3 ods. 1) ako podnikanie v rámci voľnej živnosti, ale aj bez oprávnenia na podnikanie. </w:t>
      </w:r>
    </w:p>
    <w:p w:rsidR="00101DEB" w:rsidP="00101DEB">
      <w:pPr>
        <w:widowControl/>
        <w:bidi w:val="0"/>
        <w:ind w:firstLine="708"/>
        <w:jc w:val="both"/>
        <w:rPr>
          <w:rFonts w:ascii="Times New Roman" w:hAnsi="Times New Roman"/>
          <w:sz w:val="26"/>
          <w:szCs w:val="26"/>
        </w:rPr>
      </w:pPr>
      <w:r>
        <w:rPr>
          <w:rFonts w:ascii="Times New Roman" w:hAnsi="Times New Roman"/>
          <w:sz w:val="26"/>
          <w:szCs w:val="26"/>
        </w:rPr>
        <w:t xml:space="preserve">Pojem lobistický kontakt má predstavovať základ lobingu, resp. základ jeho právnej regulácie. Lobistickým kontaktom sa rozumie taký kontakt, resp. komunikácia s verejným činiteľom, ktorá má za cieľ priamo ovplyvniť obsah pripravovaného, resp. schvaľovaného dokumentu legislatívnej alebo inej povahy. Následne sa ustanovuje aj negatívna definícia lobistického kontaktu, ktorá má za cieľ vylúčiť z pôsobnosti tohto zákona niektoré typy komunikácie s predstaviteľmi alebo orgánmi verejnej moci, </w:t>
      </w:r>
      <w:r w:rsidRPr="00717B9C">
        <w:rPr>
          <w:rFonts w:ascii="Times New Roman" w:hAnsi="Times New Roman"/>
          <w:sz w:val="26"/>
          <w:szCs w:val="26"/>
        </w:rPr>
        <w:t>napr. podanie sťažnosti či petície, uplatnenie pripomienky v pripomienkovom konaní alebo komunikácia prostredníctvom masovokomunikačných prostriedkov a pod.</w:t>
      </w:r>
      <w:r>
        <w:rPr>
          <w:rFonts w:ascii="Times New Roman" w:hAnsi="Times New Roman"/>
          <w:sz w:val="26"/>
          <w:szCs w:val="26"/>
        </w:rPr>
        <w:t>.</w:t>
      </w:r>
    </w:p>
    <w:p w:rsidR="00101DEB" w:rsidP="00101DEB">
      <w:pPr>
        <w:widowControl/>
        <w:bidi w:val="0"/>
        <w:jc w:val="both"/>
        <w:rPr>
          <w:rFonts w:ascii="Times New Roman" w:hAnsi="Times New Roman"/>
          <w:sz w:val="26"/>
          <w:szCs w:val="26"/>
        </w:rPr>
      </w:pPr>
      <w:r>
        <w:rPr>
          <w:rFonts w:ascii="Times New Roman" w:hAnsi="Times New Roman"/>
          <w:sz w:val="26"/>
          <w:szCs w:val="26"/>
        </w:rPr>
        <w:tab/>
        <w:t>Definície verejného činiteľa a spriaznenej osoby sa ustanovujú len na účely tohto zákona a s cieľom uložiť týmto osobám niektoré povinnosti a zákazy podľa tohto zákona.</w:t>
      </w:r>
    </w:p>
    <w:p w:rsidR="00101DEB" w:rsidP="00101DEB">
      <w:pPr>
        <w:widowControl/>
        <w:bidi w:val="0"/>
        <w:jc w:val="both"/>
        <w:rPr>
          <w:rFonts w:ascii="Times New Roman" w:hAnsi="Times New Roman"/>
          <w:sz w:val="26"/>
          <w:szCs w:val="26"/>
        </w:rPr>
      </w:pPr>
    </w:p>
    <w:p w:rsidR="00101DEB" w:rsidP="00101DEB">
      <w:pPr>
        <w:widowControl/>
        <w:bidi w:val="0"/>
        <w:jc w:val="both"/>
        <w:rPr>
          <w:rFonts w:ascii="Times New Roman" w:hAnsi="Times New Roman"/>
          <w:b/>
          <w:sz w:val="26"/>
          <w:szCs w:val="26"/>
        </w:rPr>
      </w:pPr>
      <w:r>
        <w:rPr>
          <w:rFonts w:ascii="Times New Roman" w:hAnsi="Times New Roman"/>
          <w:b/>
          <w:sz w:val="26"/>
          <w:szCs w:val="26"/>
        </w:rPr>
        <w:t>K § 3</w:t>
      </w:r>
    </w:p>
    <w:p w:rsidR="00101DEB" w:rsidP="00101DEB">
      <w:pPr>
        <w:widowControl/>
        <w:bidi w:val="0"/>
        <w:jc w:val="both"/>
        <w:rPr>
          <w:rFonts w:ascii="Times New Roman" w:hAnsi="Times New Roman"/>
          <w:sz w:val="26"/>
          <w:szCs w:val="26"/>
        </w:rPr>
      </w:pPr>
      <w:r>
        <w:rPr>
          <w:rFonts w:ascii="Times New Roman" w:hAnsi="Times New Roman"/>
          <w:b/>
          <w:sz w:val="26"/>
          <w:szCs w:val="26"/>
        </w:rPr>
        <w:tab/>
      </w:r>
      <w:r w:rsidRPr="00B278A7">
        <w:rPr>
          <w:rFonts w:ascii="Times New Roman" w:hAnsi="Times New Roman"/>
          <w:sz w:val="26"/>
          <w:szCs w:val="26"/>
        </w:rPr>
        <w:t>V § 3 sa usta</w:t>
      </w:r>
      <w:r>
        <w:rPr>
          <w:rFonts w:ascii="Times New Roman" w:hAnsi="Times New Roman"/>
          <w:sz w:val="26"/>
          <w:szCs w:val="26"/>
        </w:rPr>
        <w:t>novujú podmienky výkonu lobingu. Ak je lobing vykonávaný ako podnikanie, t. j. najmä sústavne, za odplatu a v prospech tretích osôb, je ho možné vykonávať len na základe živnostenského oprávnenia na výkon lobingu. Vzhľadom na to, že sa neustanovujú žiadne ďalšie požiadavky na výkon lobingu, pôjde o voľnú živnosť, ktorú je možné prevádzkovať po splnení ohlasovacej povinnosti.</w:t>
      </w:r>
    </w:p>
    <w:p w:rsidR="00101DEB" w:rsidP="00101DEB">
      <w:pPr>
        <w:widowControl/>
        <w:bidi w:val="0"/>
        <w:jc w:val="both"/>
        <w:rPr>
          <w:rFonts w:ascii="Times New Roman" w:hAnsi="Times New Roman"/>
          <w:sz w:val="26"/>
          <w:szCs w:val="26"/>
        </w:rPr>
      </w:pPr>
      <w:r>
        <w:rPr>
          <w:rFonts w:ascii="Times New Roman" w:hAnsi="Times New Roman"/>
          <w:sz w:val="26"/>
          <w:szCs w:val="26"/>
        </w:rPr>
        <w:tab/>
        <w:t>Zákon však umožňuje vykonávať</w:t>
        <w:tab/>
        <w:t>lobing aj bez živnostenského oprávnenia, a to vtedy, ak nie je vykonávaný ako podnikanie, najmä ak je vykonávaný bezodplatne alebo len v prospech osoby, ktorá lobuje. V odseku 2 sa explicitne ustanovuje, že za odplatu sa nepovažuje platenie členských príspevkov alebo obdobných príspevkov členmi právnickej osoby. Z tohto ustanovenia vyplýva, že napríklad stavovské organizácie alebo združenia podnikateľov budú môcť vykonávať lobing v prospech svojich členov aj bez povinnosti mať živnostenské oprávnenie na túto činnosť.</w:t>
      </w:r>
    </w:p>
    <w:p w:rsidR="00101DEB" w:rsidRPr="00B278A7" w:rsidP="00101DEB">
      <w:pPr>
        <w:widowControl/>
        <w:bidi w:val="0"/>
        <w:jc w:val="both"/>
        <w:rPr>
          <w:rFonts w:ascii="Times New Roman" w:hAnsi="Times New Roman"/>
          <w:sz w:val="26"/>
          <w:szCs w:val="26"/>
        </w:rPr>
      </w:pPr>
    </w:p>
    <w:p w:rsidR="00101DEB" w:rsidP="00101DEB">
      <w:pPr>
        <w:widowControl/>
        <w:bidi w:val="0"/>
        <w:jc w:val="both"/>
        <w:rPr>
          <w:rFonts w:ascii="Times New Roman" w:hAnsi="Times New Roman"/>
          <w:b/>
          <w:sz w:val="26"/>
          <w:szCs w:val="26"/>
        </w:rPr>
      </w:pPr>
      <w:r>
        <w:rPr>
          <w:rFonts w:ascii="Times New Roman" w:hAnsi="Times New Roman"/>
          <w:b/>
          <w:sz w:val="26"/>
          <w:szCs w:val="26"/>
        </w:rPr>
        <w:t xml:space="preserve"> K § 4 a 5:</w:t>
      </w:r>
    </w:p>
    <w:p w:rsidR="00101DEB" w:rsidP="00101DEB">
      <w:pPr>
        <w:widowControl/>
        <w:bidi w:val="0"/>
        <w:jc w:val="both"/>
        <w:rPr>
          <w:rFonts w:ascii="Times New Roman" w:hAnsi="Times New Roman"/>
          <w:sz w:val="26"/>
          <w:szCs w:val="26"/>
        </w:rPr>
      </w:pPr>
      <w:r>
        <w:rPr>
          <w:rFonts w:ascii="Times New Roman" w:hAnsi="Times New Roman"/>
          <w:sz w:val="26"/>
          <w:szCs w:val="26"/>
        </w:rPr>
        <w:tab/>
        <w:t>V § 4 a 5 sa zriaďujú zoznamy lobistov a ustanovuje sa povinnosť lobistu registrovať sa v zozname. Rovnako sa ustanovuje, aké informácie sa v zoznamoch vedú. Zoznamy lobistov sa navrhuje vytvoriť</w:t>
      </w:r>
      <w:r w:rsidRPr="00717B9C">
        <w:rPr>
          <w:rFonts w:ascii="Times New Roman" w:hAnsi="Times New Roman"/>
          <w:sz w:val="26"/>
          <w:szCs w:val="26"/>
        </w:rPr>
        <w:t xml:space="preserve"> </w:t>
      </w:r>
      <w:r>
        <w:rPr>
          <w:rFonts w:ascii="Times New Roman" w:hAnsi="Times New Roman"/>
          <w:sz w:val="26"/>
          <w:szCs w:val="26"/>
        </w:rPr>
        <w:t>t</w:t>
      </w:r>
      <w:r w:rsidRPr="00717B9C">
        <w:rPr>
          <w:rFonts w:ascii="Times New Roman" w:hAnsi="Times New Roman"/>
          <w:sz w:val="26"/>
          <w:szCs w:val="26"/>
        </w:rPr>
        <w:t xml:space="preserve">ak na úrovni celoštátnej, ako aj na úrovni samosprávnej, podľa toho, kde lobista lobing vykonáva. </w:t>
      </w:r>
    </w:p>
    <w:p w:rsidR="00101DEB" w:rsidP="00101DEB">
      <w:pPr>
        <w:widowControl/>
        <w:bidi w:val="0"/>
        <w:ind w:firstLine="708"/>
        <w:jc w:val="both"/>
        <w:rPr>
          <w:rFonts w:ascii="Times New Roman" w:hAnsi="Times New Roman"/>
          <w:sz w:val="26"/>
          <w:szCs w:val="26"/>
        </w:rPr>
      </w:pPr>
      <w:r>
        <w:rPr>
          <w:rFonts w:ascii="Times New Roman" w:hAnsi="Times New Roman"/>
          <w:sz w:val="26"/>
          <w:szCs w:val="26"/>
        </w:rPr>
        <w:t xml:space="preserve">Navrhovaná úprava oboch typov zoznamov je v podstate totožná. </w:t>
      </w:r>
      <w:r w:rsidRPr="00717B9C">
        <w:rPr>
          <w:rFonts w:ascii="Times New Roman" w:hAnsi="Times New Roman"/>
          <w:sz w:val="26"/>
          <w:szCs w:val="26"/>
        </w:rPr>
        <w:t>Po získaní oprávnenia podnikať v oblasti lobingu bude mať lobista povinnosť zapísať sa do zoznamu lobistov, čo zaručí jednak transparentnosť a aj prístup verejnosti k informáciám, ktoré budú v zoznamoch vedené.</w:t>
      </w:r>
      <w:r>
        <w:rPr>
          <w:rFonts w:ascii="Times New Roman" w:hAnsi="Times New Roman"/>
          <w:sz w:val="26"/>
          <w:szCs w:val="26"/>
        </w:rPr>
        <w:t xml:space="preserve"> V zoznamoch sa budú tiež viesť informácie, ktoré bude lobista povinný predkladať a to </w:t>
      </w:r>
    </w:p>
    <w:p w:rsidR="00101DEB" w:rsidRPr="00717B9C" w:rsidP="00101DEB">
      <w:pPr>
        <w:widowControl/>
        <w:numPr>
          <w:numId w:val="2"/>
        </w:numPr>
        <w:tabs>
          <w:tab w:val="clear" w:pos="1770"/>
        </w:tabs>
        <w:bidi w:val="0"/>
        <w:ind w:left="1260"/>
        <w:jc w:val="both"/>
        <w:rPr>
          <w:rFonts w:ascii="Times New Roman" w:hAnsi="Times New Roman"/>
          <w:sz w:val="26"/>
          <w:szCs w:val="26"/>
        </w:rPr>
      </w:pPr>
      <w:r w:rsidRPr="00717B9C">
        <w:rPr>
          <w:rFonts w:ascii="Times New Roman" w:hAnsi="Times New Roman"/>
          <w:sz w:val="26"/>
          <w:szCs w:val="26"/>
        </w:rPr>
        <w:t>štvrťročne, pokiaľ ide o informácie o lobistických kontaktoch</w:t>
      </w:r>
      <w:r>
        <w:rPr>
          <w:rFonts w:ascii="Times New Roman" w:hAnsi="Times New Roman"/>
          <w:sz w:val="26"/>
          <w:szCs w:val="26"/>
        </w:rPr>
        <w:t>,</w:t>
      </w:r>
    </w:p>
    <w:p w:rsidR="00101DEB" w:rsidP="00101DEB">
      <w:pPr>
        <w:widowControl/>
        <w:numPr>
          <w:numId w:val="2"/>
        </w:numPr>
        <w:tabs>
          <w:tab w:val="clear" w:pos="1770"/>
        </w:tabs>
        <w:bidi w:val="0"/>
        <w:ind w:left="1260"/>
        <w:jc w:val="both"/>
        <w:rPr>
          <w:rFonts w:ascii="Times New Roman" w:hAnsi="Times New Roman"/>
          <w:sz w:val="26"/>
          <w:szCs w:val="26"/>
        </w:rPr>
      </w:pPr>
      <w:r w:rsidRPr="00717B9C">
        <w:rPr>
          <w:rFonts w:ascii="Times New Roman" w:hAnsi="Times New Roman"/>
          <w:sz w:val="26"/>
          <w:szCs w:val="26"/>
        </w:rPr>
        <w:t>raz ročne pokiaľ ide o informácie o príjmoch a výdavkoch súvisiacich s vykonávaním lobingu</w:t>
      </w:r>
      <w:r>
        <w:rPr>
          <w:rFonts w:ascii="Times New Roman" w:hAnsi="Times New Roman"/>
          <w:sz w:val="26"/>
          <w:szCs w:val="26"/>
        </w:rPr>
        <w:t xml:space="preserve"> a o klientoch.</w:t>
      </w:r>
    </w:p>
    <w:p w:rsidR="00101DEB" w:rsidP="00101DEB">
      <w:pPr>
        <w:widowControl/>
        <w:bidi w:val="0"/>
        <w:ind w:firstLine="708"/>
        <w:jc w:val="both"/>
        <w:rPr>
          <w:rFonts w:ascii="Times New Roman" w:hAnsi="Times New Roman"/>
          <w:sz w:val="26"/>
          <w:szCs w:val="26"/>
        </w:rPr>
      </w:pPr>
      <w:r>
        <w:rPr>
          <w:rFonts w:ascii="Times New Roman" w:hAnsi="Times New Roman"/>
          <w:sz w:val="26"/>
          <w:szCs w:val="26"/>
        </w:rPr>
        <w:t>Povinnosť lobistu oznámiť živnostenskému úradu zápis do zoznamu sa ustanovuje z toho dôvodu, že živnostenský úrad bude mať povinnosť informovať kanceláriu Národnej rady SR, resp. príslušný VÚC o uložení sankcie lobistovi podľa tohto zákona alebo podľa zákona o živnostenskom podnikaní.</w:t>
      </w:r>
    </w:p>
    <w:p w:rsidR="00101DEB" w:rsidP="00101DEB">
      <w:pPr>
        <w:widowControl/>
        <w:bidi w:val="0"/>
        <w:jc w:val="both"/>
        <w:rPr>
          <w:rFonts w:ascii="Times New Roman" w:hAnsi="Times New Roman"/>
          <w:sz w:val="26"/>
          <w:szCs w:val="26"/>
        </w:rPr>
      </w:pPr>
    </w:p>
    <w:p w:rsidR="00101DEB" w:rsidP="00101DEB">
      <w:pPr>
        <w:widowControl/>
        <w:bidi w:val="0"/>
        <w:jc w:val="both"/>
        <w:rPr>
          <w:rFonts w:ascii="Times New Roman" w:hAnsi="Times New Roman"/>
          <w:b/>
          <w:sz w:val="26"/>
          <w:szCs w:val="26"/>
        </w:rPr>
      </w:pPr>
      <w:r>
        <w:rPr>
          <w:rFonts w:ascii="Times New Roman" w:hAnsi="Times New Roman"/>
          <w:b/>
          <w:sz w:val="26"/>
          <w:szCs w:val="26"/>
        </w:rPr>
        <w:t>K § 6:</w:t>
      </w:r>
    </w:p>
    <w:p w:rsidR="00101DEB" w:rsidP="00101DEB">
      <w:pPr>
        <w:widowControl/>
        <w:bidi w:val="0"/>
        <w:ind w:firstLine="708"/>
        <w:jc w:val="both"/>
        <w:rPr>
          <w:rFonts w:ascii="Times New Roman" w:hAnsi="Times New Roman"/>
          <w:sz w:val="26"/>
          <w:szCs w:val="26"/>
        </w:rPr>
      </w:pPr>
      <w:r>
        <w:rPr>
          <w:rFonts w:ascii="Times New Roman" w:hAnsi="Times New Roman"/>
          <w:sz w:val="26"/>
          <w:szCs w:val="26"/>
        </w:rPr>
        <w:t xml:space="preserve">Predmetné ustanovenia obsahujú práva, povinnosti a obmedzenia týkajúce sa výkonu lobingu ako podnikania, t. j. výkonu lobingu lobistami. </w:t>
      </w:r>
    </w:p>
    <w:p w:rsidR="00101DEB" w:rsidP="00101DEB">
      <w:pPr>
        <w:widowControl/>
        <w:bidi w:val="0"/>
        <w:ind w:firstLine="708"/>
        <w:jc w:val="both"/>
        <w:rPr>
          <w:rFonts w:ascii="Times New Roman" w:hAnsi="Times New Roman"/>
          <w:sz w:val="26"/>
          <w:szCs w:val="26"/>
        </w:rPr>
      </w:pPr>
      <w:r>
        <w:rPr>
          <w:rFonts w:ascii="Times New Roman" w:hAnsi="Times New Roman"/>
          <w:sz w:val="26"/>
          <w:szCs w:val="26"/>
        </w:rPr>
        <w:t>V odseku 1 sa</w:t>
      </w:r>
      <w:r w:rsidRPr="00717B9C">
        <w:rPr>
          <w:rFonts w:ascii="Times New Roman" w:hAnsi="Times New Roman"/>
          <w:sz w:val="26"/>
          <w:szCs w:val="26"/>
        </w:rPr>
        <w:t xml:space="preserve"> zakazuje v súvislosti s lobingom sľúbiť, žiadať alebo poskytnúť odplatu </w:t>
      </w:r>
      <w:r>
        <w:rPr>
          <w:rFonts w:ascii="Times New Roman" w:hAnsi="Times New Roman"/>
          <w:sz w:val="26"/>
          <w:szCs w:val="26"/>
        </w:rPr>
        <w:t>alebo</w:t>
      </w:r>
      <w:r w:rsidRPr="00717B9C">
        <w:rPr>
          <w:rFonts w:ascii="Times New Roman" w:hAnsi="Times New Roman"/>
          <w:sz w:val="26"/>
          <w:szCs w:val="26"/>
        </w:rPr>
        <w:t xml:space="preserve"> odmenu či už osobe, u ktorej sa lobuje, alebo jej blízkym osobám, firmám, kde má podiel na podnikaní či politickým stranám, ktorých je členom. </w:t>
      </w:r>
    </w:p>
    <w:p w:rsidR="00101DEB" w:rsidP="00101DEB">
      <w:pPr>
        <w:widowControl/>
        <w:bidi w:val="0"/>
        <w:ind w:firstLine="708"/>
        <w:jc w:val="both"/>
        <w:rPr>
          <w:rFonts w:ascii="Times New Roman" w:hAnsi="Times New Roman"/>
          <w:sz w:val="26"/>
          <w:szCs w:val="26"/>
        </w:rPr>
      </w:pPr>
      <w:r>
        <w:rPr>
          <w:rFonts w:ascii="Times New Roman" w:hAnsi="Times New Roman"/>
          <w:sz w:val="26"/>
          <w:szCs w:val="26"/>
        </w:rPr>
        <w:t xml:space="preserve">Zo zápisu lobistu do zoznamu lobistov bude vyplývať pre lobistu právo na vstup do Národnej rady SR, resp. do zastupiteľstiev územnej samosprávy. </w:t>
      </w:r>
      <w:r w:rsidRPr="00717B9C">
        <w:rPr>
          <w:rFonts w:ascii="Times New Roman" w:hAnsi="Times New Roman"/>
          <w:sz w:val="26"/>
          <w:szCs w:val="26"/>
        </w:rPr>
        <w:t>Úprava vstupu by mala byť obdobná, ako je napríklad</w:t>
      </w:r>
      <w:r>
        <w:rPr>
          <w:rFonts w:ascii="Times New Roman" w:hAnsi="Times New Roman"/>
          <w:sz w:val="26"/>
          <w:szCs w:val="26"/>
        </w:rPr>
        <w:t xml:space="preserve"> upravený vstup zástupcov médií s tým, že bezpečnostné opatrenia, ktoré sú prijímané v súvislosti so vstupom osôb do týchto orgánov zostávajú nedotknuté. V praxi to bude znamenať, napríklad v Národnej rade SR, že lobista zapísaný v zozname nebude musieť byť sprevádzaný inou osobou v priestoroch Národnej rady SR, ale jeho vstup a pohyb bude obdobný, ako v prípade novinárov.</w:t>
      </w:r>
    </w:p>
    <w:p w:rsidR="00101DEB" w:rsidP="00101DEB">
      <w:pPr>
        <w:widowControl/>
        <w:bidi w:val="0"/>
        <w:jc w:val="both"/>
        <w:rPr>
          <w:rFonts w:ascii="Times New Roman" w:hAnsi="Times New Roman"/>
          <w:sz w:val="26"/>
          <w:szCs w:val="26"/>
        </w:rPr>
      </w:pPr>
      <w:r>
        <w:rPr>
          <w:rFonts w:ascii="Times New Roman" w:hAnsi="Times New Roman"/>
          <w:sz w:val="26"/>
          <w:szCs w:val="26"/>
        </w:rPr>
        <w:tab/>
        <w:t>Medzi povinnosti lobistov podľa tohto ustanovenia patrí najmä povinnosť predkladať kancelárii Národnej rady SR, resp. VÚC správy o vykonaných lobistických kontaktoch a raz ročne aj správu o príjmoch a výdavkoch v súvislosti s výkonom lobingu. Ide o povinnosti, ktorých plnenie má za cieľ zabezpečiť transparentnosť činnosti lobistu.</w:t>
      </w:r>
    </w:p>
    <w:p w:rsidR="00101DEB" w:rsidP="00101DEB">
      <w:pPr>
        <w:widowControl/>
        <w:bidi w:val="0"/>
        <w:jc w:val="both"/>
        <w:rPr>
          <w:rFonts w:ascii="Times New Roman" w:hAnsi="Times New Roman"/>
          <w:sz w:val="26"/>
          <w:szCs w:val="26"/>
        </w:rPr>
      </w:pPr>
    </w:p>
    <w:p w:rsidR="00101DEB" w:rsidP="00101DEB">
      <w:pPr>
        <w:widowControl/>
        <w:bidi w:val="0"/>
        <w:jc w:val="both"/>
        <w:rPr>
          <w:rFonts w:ascii="Times New Roman" w:hAnsi="Times New Roman"/>
          <w:b/>
          <w:sz w:val="26"/>
          <w:szCs w:val="26"/>
        </w:rPr>
      </w:pPr>
      <w:r>
        <w:rPr>
          <w:rFonts w:ascii="Times New Roman" w:hAnsi="Times New Roman"/>
          <w:b/>
          <w:sz w:val="26"/>
          <w:szCs w:val="26"/>
        </w:rPr>
        <w:t>K § 7:</w:t>
      </w:r>
    </w:p>
    <w:p w:rsidR="00101DEB" w:rsidP="00101DEB">
      <w:pPr>
        <w:widowControl/>
        <w:bidi w:val="0"/>
        <w:ind w:firstLine="708"/>
        <w:jc w:val="both"/>
        <w:rPr>
          <w:rFonts w:ascii="Times New Roman" w:hAnsi="Times New Roman"/>
          <w:sz w:val="26"/>
          <w:szCs w:val="26"/>
        </w:rPr>
      </w:pPr>
      <w:r>
        <w:rPr>
          <w:rFonts w:ascii="Times New Roman" w:hAnsi="Times New Roman"/>
          <w:sz w:val="26"/>
          <w:szCs w:val="26"/>
        </w:rPr>
        <w:t>V § 7</w:t>
      </w:r>
      <w:r w:rsidRPr="00717B9C">
        <w:rPr>
          <w:rFonts w:ascii="Times New Roman" w:hAnsi="Times New Roman"/>
          <w:sz w:val="26"/>
          <w:szCs w:val="26"/>
        </w:rPr>
        <w:t xml:space="preserve"> </w:t>
      </w:r>
      <w:r>
        <w:rPr>
          <w:rFonts w:ascii="Times New Roman" w:hAnsi="Times New Roman"/>
          <w:sz w:val="26"/>
          <w:szCs w:val="26"/>
        </w:rPr>
        <w:t>sa ukladá ohlasovacia povinnosť právnickým osobám a podnikateľom, ktorý nevykonávajú lobing ako podnikanie. Títo</w:t>
      </w:r>
      <w:r w:rsidRPr="00717B9C">
        <w:rPr>
          <w:rFonts w:ascii="Times New Roman" w:hAnsi="Times New Roman"/>
          <w:sz w:val="26"/>
          <w:szCs w:val="26"/>
        </w:rPr>
        <w:t xml:space="preserve"> budú mať povinnosť ohlásiť uskutočnenie lobistického kontaktu do príslušného registra (podľa toho, na ktorej úrovni lobistický kontakt uskutoční).</w:t>
      </w:r>
      <w:r>
        <w:rPr>
          <w:rFonts w:ascii="Times New Roman" w:hAnsi="Times New Roman"/>
          <w:sz w:val="26"/>
          <w:szCs w:val="26"/>
        </w:rPr>
        <w:t xml:space="preserve"> Túto povinnosť je potrebné vnímať v súvislosti s ustanovením § 3 ods. 1 písm. b), t. j. pôjde o také lobistické kontakty, ktoré sú uskutočňované bezodplatne, resp. v prospech tej-ktorej právnickej osoby, jej členov alebo podnikateľa. Toto ustanovenie má za cieľ umožniť aj rôznym záujmovým združeniam, stavovským organizáciám a pod. „lobovať“ vo veciach, ktoré sa ich týkajú bez toho, aby museli mať oprávnenie na výkon lobingu a zároveň zaistiť transparentnosť aj pri uskutočnení tohto typu lobingu.</w:t>
      </w:r>
    </w:p>
    <w:p w:rsidR="00101DEB" w:rsidP="00101DEB">
      <w:pPr>
        <w:widowControl/>
        <w:bidi w:val="0"/>
        <w:jc w:val="both"/>
        <w:rPr>
          <w:rFonts w:ascii="Times New Roman" w:hAnsi="Times New Roman"/>
          <w:sz w:val="26"/>
          <w:szCs w:val="26"/>
        </w:rPr>
      </w:pPr>
    </w:p>
    <w:p w:rsidR="00101DEB" w:rsidP="00101DEB">
      <w:pPr>
        <w:widowControl/>
        <w:bidi w:val="0"/>
        <w:jc w:val="both"/>
        <w:rPr>
          <w:rFonts w:ascii="Times New Roman" w:hAnsi="Times New Roman"/>
          <w:sz w:val="26"/>
          <w:szCs w:val="26"/>
        </w:rPr>
      </w:pPr>
    </w:p>
    <w:p w:rsidR="00101DEB" w:rsidRPr="00B278A7" w:rsidP="00101DEB">
      <w:pPr>
        <w:widowControl/>
        <w:bidi w:val="0"/>
        <w:jc w:val="both"/>
        <w:rPr>
          <w:rFonts w:ascii="Times New Roman" w:hAnsi="Times New Roman"/>
          <w:b/>
          <w:sz w:val="26"/>
          <w:szCs w:val="26"/>
        </w:rPr>
      </w:pPr>
      <w:r>
        <w:rPr>
          <w:rFonts w:ascii="Times New Roman" w:hAnsi="Times New Roman"/>
          <w:b/>
          <w:sz w:val="26"/>
          <w:szCs w:val="26"/>
        </w:rPr>
        <w:t>K § 8:</w:t>
      </w:r>
    </w:p>
    <w:p w:rsidR="00101DEB" w:rsidP="00101DEB">
      <w:pPr>
        <w:widowControl/>
        <w:bidi w:val="0"/>
        <w:ind w:firstLine="708"/>
        <w:jc w:val="both"/>
        <w:rPr>
          <w:rFonts w:ascii="Times New Roman" w:hAnsi="Times New Roman"/>
          <w:sz w:val="26"/>
          <w:szCs w:val="26"/>
        </w:rPr>
      </w:pPr>
      <w:r>
        <w:rPr>
          <w:rFonts w:ascii="Times New Roman" w:hAnsi="Times New Roman"/>
          <w:sz w:val="26"/>
          <w:szCs w:val="26"/>
        </w:rPr>
        <w:t xml:space="preserve">V § 8 sa zakazuje vykonať lobing v niektorých oblastiach rozhodovania a konania orgánov verejnej moci, ak by zasahoval do nezávislosti a nestrannosti v rozhodovaní. Ide o oblasti, kde podľa predkladateľa je veľmi zúžený priestor pre „zákonný lobing“ a rozhodovanie v nich by v zásade nemalo byť ovplyvnené osobami, ktoré nemajú žiadne procesné postavenie v týchto konaniach. </w:t>
      </w:r>
    </w:p>
    <w:p w:rsidR="00101DEB" w:rsidP="00101DEB">
      <w:pPr>
        <w:widowControl/>
        <w:bidi w:val="0"/>
        <w:ind w:firstLine="708"/>
        <w:jc w:val="both"/>
        <w:rPr>
          <w:rFonts w:ascii="Times New Roman" w:hAnsi="Times New Roman"/>
          <w:sz w:val="26"/>
          <w:szCs w:val="26"/>
        </w:rPr>
      </w:pPr>
      <w:r>
        <w:rPr>
          <w:rFonts w:ascii="Times New Roman" w:hAnsi="Times New Roman"/>
          <w:sz w:val="26"/>
          <w:szCs w:val="26"/>
        </w:rPr>
        <w:t xml:space="preserve">Zakázaný je taký lobing, ktorý zasahuje alebo by mohol zasahovať do nezávislosti a nestrannosti </w:t>
      </w:r>
      <w:r w:rsidRPr="00717B9C">
        <w:rPr>
          <w:rFonts w:ascii="Times New Roman" w:hAnsi="Times New Roman"/>
          <w:sz w:val="26"/>
          <w:szCs w:val="26"/>
        </w:rPr>
        <w:t xml:space="preserve">rozhodovacej činnosti orgánov verejnej moci pri vydávaní individuálnych právnych aktov, do konania vo verejnom obstarávaní, vydávaní licencií a povolení a poskytovania </w:t>
      </w:r>
      <w:r w:rsidR="006B12AA">
        <w:rPr>
          <w:rFonts w:ascii="Times New Roman" w:hAnsi="Times New Roman"/>
          <w:sz w:val="26"/>
          <w:szCs w:val="26"/>
        </w:rPr>
        <w:t xml:space="preserve">verejných </w:t>
      </w:r>
      <w:r w:rsidRPr="00717B9C">
        <w:rPr>
          <w:rFonts w:ascii="Times New Roman" w:hAnsi="Times New Roman"/>
          <w:sz w:val="26"/>
          <w:szCs w:val="26"/>
        </w:rPr>
        <w:t>prostriedkov.</w:t>
      </w:r>
    </w:p>
    <w:p w:rsidR="00101DEB" w:rsidP="00101DEB">
      <w:pPr>
        <w:widowControl/>
        <w:bidi w:val="0"/>
        <w:ind w:firstLine="708"/>
        <w:jc w:val="both"/>
        <w:rPr>
          <w:rFonts w:ascii="Times New Roman" w:hAnsi="Times New Roman"/>
          <w:sz w:val="26"/>
          <w:szCs w:val="26"/>
        </w:rPr>
      </w:pPr>
      <w:r>
        <w:rPr>
          <w:rFonts w:ascii="Times New Roman" w:hAnsi="Times New Roman"/>
          <w:sz w:val="26"/>
          <w:szCs w:val="26"/>
        </w:rPr>
        <w:t>V odseku 2 sa demonštratívne ustanovuje, čo je považované za zásah do nezávislosti alebo nestrannosti. Z tohto ustanovenia je zrejmé, že takéto konanie musí byť v prvom rade posudzované z hľadiska jeho intenzity, resp. spôsobilosti nútiť alebo neprimeraným spôsobom ovplyvňovať rozhodovací orgán aby rozhodol určitým spôsobom.</w:t>
      </w:r>
    </w:p>
    <w:p w:rsidR="00101DEB" w:rsidP="00101DEB">
      <w:pPr>
        <w:widowControl/>
        <w:bidi w:val="0"/>
        <w:ind w:firstLine="708"/>
        <w:jc w:val="both"/>
        <w:rPr>
          <w:rFonts w:ascii="Times New Roman" w:hAnsi="Times New Roman"/>
          <w:sz w:val="26"/>
          <w:szCs w:val="26"/>
        </w:rPr>
      </w:pPr>
    </w:p>
    <w:p w:rsidR="00101DEB" w:rsidRPr="002C7323" w:rsidP="00101DEB">
      <w:pPr>
        <w:widowControl/>
        <w:bidi w:val="0"/>
        <w:jc w:val="both"/>
        <w:rPr>
          <w:rFonts w:ascii="Times New Roman" w:hAnsi="Times New Roman"/>
          <w:sz w:val="26"/>
          <w:szCs w:val="26"/>
        </w:rPr>
      </w:pPr>
      <w:r>
        <w:rPr>
          <w:rFonts w:ascii="Times New Roman" w:hAnsi="Times New Roman"/>
          <w:b/>
          <w:sz w:val="26"/>
          <w:szCs w:val="26"/>
        </w:rPr>
        <w:t>K § 9:</w:t>
      </w:r>
    </w:p>
    <w:p w:rsidR="00101DEB" w:rsidP="00101DEB">
      <w:pPr>
        <w:widowControl/>
        <w:bidi w:val="0"/>
        <w:ind w:firstLine="708"/>
        <w:jc w:val="both"/>
        <w:rPr>
          <w:rFonts w:ascii="Times New Roman" w:hAnsi="Times New Roman"/>
          <w:sz w:val="26"/>
          <w:szCs w:val="26"/>
        </w:rPr>
      </w:pPr>
      <w:r>
        <w:rPr>
          <w:rFonts w:ascii="Times New Roman" w:hAnsi="Times New Roman"/>
          <w:sz w:val="26"/>
          <w:szCs w:val="26"/>
        </w:rPr>
        <w:t>Dôležitým zákazom je zákaz zamestnávania a odplatného výkonu inej činnosti verejným funkcionárom pre lobistu. Tento zákaz má za cieľ najmä zamedziť možnému konfliktu záujmov. Rovnaký cieľ sleduje aj ustanovenie odseku 2, pokiaľ ide o štátnych zamestnancov či osoby vykonávajúce práce vo verejnom záujme.</w:t>
      </w:r>
    </w:p>
    <w:p w:rsidR="00101DEB" w:rsidP="00101DEB">
      <w:pPr>
        <w:widowControl/>
        <w:bidi w:val="0"/>
        <w:ind w:firstLine="708"/>
        <w:jc w:val="both"/>
        <w:rPr>
          <w:rFonts w:ascii="Times New Roman" w:hAnsi="Times New Roman"/>
          <w:sz w:val="26"/>
          <w:szCs w:val="26"/>
        </w:rPr>
      </w:pPr>
      <w:r>
        <w:rPr>
          <w:rFonts w:ascii="Times New Roman" w:hAnsi="Times New Roman"/>
          <w:sz w:val="26"/>
          <w:szCs w:val="26"/>
        </w:rPr>
        <w:t>V ods. 3 a 4 sa ukladá povinnosť niektorým verejným činiteľom zverejňovať ich pracovný program. Už v súčasnosti mnohí verejní činitelia zverejňujú svoje pracovné programy. Ide o ustanovenie, ktoré má slúžiť najmä na informovanie verejnosti o pracovných stretnutiach verejných činiteľov.</w:t>
      </w:r>
    </w:p>
    <w:p w:rsidR="00101DEB" w:rsidP="00101DEB">
      <w:pPr>
        <w:widowControl/>
        <w:bidi w:val="0"/>
        <w:jc w:val="both"/>
        <w:rPr>
          <w:rFonts w:ascii="Times New Roman" w:hAnsi="Times New Roman"/>
          <w:sz w:val="26"/>
          <w:szCs w:val="26"/>
        </w:rPr>
      </w:pPr>
    </w:p>
    <w:p w:rsidR="00101DEB" w:rsidP="00101DEB">
      <w:pPr>
        <w:widowControl/>
        <w:bidi w:val="0"/>
        <w:jc w:val="both"/>
        <w:rPr>
          <w:rFonts w:ascii="Times New Roman" w:hAnsi="Times New Roman"/>
          <w:b/>
          <w:sz w:val="26"/>
          <w:szCs w:val="26"/>
        </w:rPr>
      </w:pPr>
      <w:r>
        <w:rPr>
          <w:rFonts w:ascii="Times New Roman" w:hAnsi="Times New Roman"/>
          <w:b/>
          <w:sz w:val="26"/>
          <w:szCs w:val="26"/>
        </w:rPr>
        <w:t>K § 10 až 12:</w:t>
      </w:r>
    </w:p>
    <w:p w:rsidR="00101DEB" w:rsidP="00101DEB">
      <w:pPr>
        <w:widowControl/>
        <w:bidi w:val="0"/>
        <w:jc w:val="both"/>
        <w:rPr>
          <w:rFonts w:ascii="Times New Roman" w:hAnsi="Times New Roman"/>
          <w:sz w:val="26"/>
          <w:szCs w:val="26"/>
        </w:rPr>
      </w:pPr>
      <w:r>
        <w:rPr>
          <w:rFonts w:ascii="Times New Roman" w:hAnsi="Times New Roman"/>
          <w:b/>
          <w:sz w:val="26"/>
          <w:szCs w:val="26"/>
        </w:rPr>
        <w:tab/>
      </w:r>
      <w:r w:rsidRPr="00D1742A">
        <w:rPr>
          <w:rFonts w:ascii="Times New Roman" w:hAnsi="Times New Roman"/>
          <w:sz w:val="26"/>
          <w:szCs w:val="26"/>
        </w:rPr>
        <w:t>Predmetné ustanovenia</w:t>
      </w:r>
      <w:r>
        <w:rPr>
          <w:rFonts w:ascii="Times New Roman" w:hAnsi="Times New Roman"/>
          <w:sz w:val="26"/>
          <w:szCs w:val="26"/>
        </w:rPr>
        <w:t xml:space="preserve"> obsahujú sankcie, ktoré sú ukladané za porušenie tohto zákona. Vzhľadom na to, že lobing bude podnikaním v rámci živnosti, navrhujeme, aby pokuty lobistom ukladal živnostenský úrad, okrem pokuty za porušenie zákazu lobingu podľa § 8. V konaní o správnych deliktoch podľa § 10 a priestupkoch podľa § 11 by bol vecne príslušný obvodný úrad.</w:t>
      </w:r>
    </w:p>
    <w:p w:rsidR="00101DEB" w:rsidP="00101DEB">
      <w:pPr>
        <w:widowControl/>
        <w:bidi w:val="0"/>
        <w:jc w:val="both"/>
        <w:rPr>
          <w:rFonts w:ascii="Times New Roman" w:hAnsi="Times New Roman"/>
          <w:sz w:val="26"/>
          <w:szCs w:val="26"/>
        </w:rPr>
      </w:pPr>
      <w:r>
        <w:rPr>
          <w:rFonts w:ascii="Times New Roman" w:hAnsi="Times New Roman"/>
          <w:sz w:val="26"/>
          <w:szCs w:val="26"/>
        </w:rPr>
        <w:tab/>
        <w:t>§ 12 ukladá povinnosť živnostenskému úradu informovať kanceláriu Národnej rady SR, resp. VÚC o uloženej sankcii, na účel zverejnenia v zozname lobistov.</w:t>
      </w:r>
    </w:p>
    <w:p w:rsidR="00101DEB" w:rsidP="00101DEB">
      <w:pPr>
        <w:widowControl/>
        <w:bidi w:val="0"/>
        <w:jc w:val="both"/>
        <w:rPr>
          <w:rFonts w:ascii="Times New Roman" w:hAnsi="Times New Roman"/>
          <w:sz w:val="26"/>
          <w:szCs w:val="26"/>
        </w:rPr>
      </w:pPr>
    </w:p>
    <w:p w:rsidR="00101DEB" w:rsidP="00101DEB">
      <w:pPr>
        <w:widowControl/>
        <w:bidi w:val="0"/>
        <w:jc w:val="both"/>
        <w:rPr>
          <w:rFonts w:ascii="Times New Roman" w:hAnsi="Times New Roman"/>
          <w:b/>
          <w:sz w:val="26"/>
          <w:szCs w:val="26"/>
        </w:rPr>
      </w:pPr>
      <w:r>
        <w:rPr>
          <w:rFonts w:ascii="Times New Roman" w:hAnsi="Times New Roman"/>
          <w:b/>
          <w:sz w:val="26"/>
          <w:szCs w:val="26"/>
        </w:rPr>
        <w:t>K § 13:</w:t>
      </w:r>
    </w:p>
    <w:p w:rsidR="00101DEB" w:rsidP="00101DEB">
      <w:pPr>
        <w:widowControl/>
        <w:bidi w:val="0"/>
        <w:jc w:val="both"/>
        <w:rPr>
          <w:rFonts w:ascii="Times New Roman" w:hAnsi="Times New Roman"/>
          <w:sz w:val="26"/>
          <w:szCs w:val="26"/>
        </w:rPr>
      </w:pPr>
      <w:r>
        <w:rPr>
          <w:rFonts w:ascii="Times New Roman" w:hAnsi="Times New Roman"/>
          <w:sz w:val="26"/>
          <w:szCs w:val="26"/>
        </w:rPr>
        <w:tab/>
      </w:r>
      <w:r w:rsidRPr="00717B9C">
        <w:rPr>
          <w:rFonts w:ascii="Times New Roman" w:hAnsi="Times New Roman"/>
          <w:sz w:val="26"/>
          <w:szCs w:val="26"/>
        </w:rPr>
        <w:t>Pokiaľ ide o osoby, u ktorých sa lobuje, tak návrh</w:t>
      </w:r>
      <w:r>
        <w:rPr>
          <w:rFonts w:ascii="Times New Roman" w:hAnsi="Times New Roman"/>
          <w:sz w:val="26"/>
          <w:szCs w:val="26"/>
        </w:rPr>
        <w:t xml:space="preserve"> zákona</w:t>
      </w:r>
      <w:r w:rsidRPr="00717B9C">
        <w:rPr>
          <w:rFonts w:ascii="Times New Roman" w:hAnsi="Times New Roman"/>
          <w:sz w:val="26"/>
          <w:szCs w:val="26"/>
        </w:rPr>
        <w:t xml:space="preserve"> nadväzuje na ústavný zákon o konflikte záujmov a za porušenie povinností uložených v návrhu verejným funkcionárom podľa ústavného zákona je možné začať konanie podľa ústavného zákona o konflikte záujmov.</w:t>
      </w:r>
    </w:p>
    <w:p w:rsidR="00101DEB" w:rsidP="00101DEB">
      <w:pPr>
        <w:widowControl/>
        <w:bidi w:val="0"/>
        <w:jc w:val="both"/>
        <w:rPr>
          <w:rFonts w:ascii="Times New Roman" w:hAnsi="Times New Roman"/>
          <w:sz w:val="26"/>
          <w:szCs w:val="26"/>
        </w:rPr>
      </w:pPr>
    </w:p>
    <w:p w:rsidR="00101DEB" w:rsidP="00101DEB">
      <w:pPr>
        <w:widowControl/>
        <w:bidi w:val="0"/>
        <w:jc w:val="both"/>
        <w:rPr>
          <w:rFonts w:ascii="Times New Roman" w:hAnsi="Times New Roman"/>
          <w:b/>
          <w:sz w:val="26"/>
          <w:szCs w:val="26"/>
        </w:rPr>
      </w:pPr>
      <w:r>
        <w:rPr>
          <w:rFonts w:ascii="Times New Roman" w:hAnsi="Times New Roman"/>
          <w:b/>
          <w:sz w:val="26"/>
          <w:szCs w:val="26"/>
        </w:rPr>
        <w:t>K § 14:</w:t>
      </w:r>
    </w:p>
    <w:p w:rsidR="00101DEB" w:rsidP="00101DEB">
      <w:pPr>
        <w:widowControl/>
        <w:bidi w:val="0"/>
        <w:jc w:val="both"/>
        <w:rPr>
          <w:rFonts w:ascii="Times New Roman" w:hAnsi="Times New Roman"/>
          <w:sz w:val="26"/>
          <w:szCs w:val="26"/>
        </w:rPr>
      </w:pPr>
      <w:r>
        <w:rPr>
          <w:rFonts w:ascii="Times New Roman" w:hAnsi="Times New Roman"/>
          <w:sz w:val="26"/>
          <w:szCs w:val="26"/>
        </w:rPr>
        <w:tab/>
        <w:t>§ 14 obsahuje spoločné ustanovenie ku konaniam vo veciach vedenia zoznamov lobistov, na ktoré sa nebude vzťahovať správny poriadok.</w:t>
      </w:r>
    </w:p>
    <w:p w:rsidR="00101DEB" w:rsidP="00101DEB">
      <w:pPr>
        <w:widowControl/>
        <w:bidi w:val="0"/>
        <w:jc w:val="both"/>
        <w:rPr>
          <w:rFonts w:ascii="Times New Roman" w:hAnsi="Times New Roman"/>
          <w:sz w:val="26"/>
          <w:szCs w:val="26"/>
        </w:rPr>
      </w:pPr>
    </w:p>
    <w:p w:rsidR="006B12AA" w:rsidP="00101DEB">
      <w:pPr>
        <w:widowControl/>
        <w:bidi w:val="0"/>
        <w:jc w:val="both"/>
        <w:rPr>
          <w:rFonts w:ascii="Times New Roman" w:hAnsi="Times New Roman"/>
          <w:sz w:val="26"/>
          <w:szCs w:val="26"/>
        </w:rPr>
      </w:pPr>
    </w:p>
    <w:p w:rsidR="00101DEB" w:rsidP="00101DEB">
      <w:pPr>
        <w:widowControl/>
        <w:bidi w:val="0"/>
        <w:jc w:val="both"/>
        <w:rPr>
          <w:rFonts w:ascii="Times New Roman" w:hAnsi="Times New Roman"/>
          <w:b/>
          <w:sz w:val="26"/>
          <w:szCs w:val="26"/>
        </w:rPr>
      </w:pPr>
      <w:r>
        <w:rPr>
          <w:rFonts w:ascii="Times New Roman" w:hAnsi="Times New Roman"/>
          <w:b/>
          <w:sz w:val="26"/>
          <w:szCs w:val="26"/>
        </w:rPr>
        <w:t>K čl. II a III:</w:t>
      </w:r>
    </w:p>
    <w:p w:rsidR="00101DEB" w:rsidP="00101DEB">
      <w:pPr>
        <w:widowControl/>
        <w:bidi w:val="0"/>
        <w:jc w:val="both"/>
        <w:rPr>
          <w:rFonts w:ascii="Times New Roman" w:hAnsi="Times New Roman"/>
          <w:sz w:val="26"/>
          <w:szCs w:val="26"/>
        </w:rPr>
      </w:pPr>
      <w:r>
        <w:rPr>
          <w:rFonts w:ascii="Times New Roman" w:hAnsi="Times New Roman"/>
          <w:b/>
          <w:sz w:val="26"/>
          <w:szCs w:val="26"/>
        </w:rPr>
        <w:tab/>
      </w:r>
      <w:r>
        <w:rPr>
          <w:rFonts w:ascii="Times New Roman" w:hAnsi="Times New Roman"/>
          <w:sz w:val="26"/>
          <w:szCs w:val="26"/>
        </w:rPr>
        <w:t>Predmetnými článkami sa navrhuje novelizovať zákon o rokovacom poriadku NR SR a zákon o advokácii. V zákone o rokovacom poriadku NR SR sa navrhuje explicitne ustanoviť, že Kancelária NR SR vykonáva činnosti vo veciach lobingu (t. j. vedenie zoznamu lobistov) a v zákone o advokácii sa navrhuje explicitne ustanoviť, že advokáti môžu vykonávať lobing ako podnikanie.</w:t>
      </w:r>
    </w:p>
    <w:p w:rsidR="00101DEB" w:rsidRPr="002C7323" w:rsidP="00101DEB">
      <w:pPr>
        <w:widowControl/>
        <w:bidi w:val="0"/>
        <w:jc w:val="both"/>
        <w:rPr>
          <w:rFonts w:ascii="Times New Roman" w:hAnsi="Times New Roman"/>
          <w:sz w:val="26"/>
          <w:szCs w:val="26"/>
        </w:rPr>
      </w:pPr>
    </w:p>
    <w:p w:rsidR="00101DEB" w:rsidP="00101DEB">
      <w:pPr>
        <w:widowControl/>
        <w:bidi w:val="0"/>
        <w:jc w:val="both"/>
        <w:rPr>
          <w:rFonts w:ascii="Times New Roman" w:hAnsi="Times New Roman"/>
          <w:b/>
          <w:sz w:val="26"/>
          <w:szCs w:val="26"/>
        </w:rPr>
      </w:pPr>
    </w:p>
    <w:p w:rsidR="00101DEB" w:rsidP="00101DEB">
      <w:pPr>
        <w:widowControl/>
        <w:bidi w:val="0"/>
        <w:jc w:val="both"/>
        <w:rPr>
          <w:rFonts w:ascii="Times New Roman" w:hAnsi="Times New Roman"/>
          <w:b/>
          <w:sz w:val="26"/>
          <w:szCs w:val="26"/>
        </w:rPr>
      </w:pPr>
      <w:r>
        <w:rPr>
          <w:rFonts w:ascii="Times New Roman" w:hAnsi="Times New Roman"/>
          <w:b/>
          <w:sz w:val="26"/>
          <w:szCs w:val="26"/>
        </w:rPr>
        <w:t>K čl. IV:</w:t>
      </w:r>
    </w:p>
    <w:p w:rsidR="00CE5BAC" w:rsidP="004958BF">
      <w:pPr>
        <w:widowControl/>
        <w:bidi w:val="0"/>
        <w:jc w:val="both"/>
        <w:rPr>
          <w:rFonts w:ascii="Times New Roman" w:hAnsi="Times New Roman"/>
        </w:rPr>
      </w:pPr>
      <w:r w:rsidR="00101DEB">
        <w:rPr>
          <w:rFonts w:ascii="Times New Roman" w:hAnsi="Times New Roman"/>
          <w:sz w:val="26"/>
          <w:szCs w:val="26"/>
        </w:rPr>
        <w:tab/>
        <w:t>Účinnosť sa navrhuje ustanoviť 1. januárom 20</w:t>
      </w:r>
      <w:r w:rsidR="004958BF">
        <w:rPr>
          <w:rFonts w:ascii="Times New Roman" w:hAnsi="Times New Roman"/>
          <w:sz w:val="26"/>
          <w:szCs w:val="26"/>
        </w:rPr>
        <w:t>15</w:t>
      </w:r>
      <w:r w:rsidR="00101DEB">
        <w:rPr>
          <w:rFonts w:ascii="Times New Roman" w:hAnsi="Times New Roman"/>
          <w:sz w:val="26"/>
          <w:szCs w:val="26"/>
        </w:rPr>
        <w:t>.</w:t>
      </w:r>
    </w:p>
    <w:sectPr>
      <w:footerReference w:type="even" r:id="rId4"/>
      <w:footerReference w:type="default" r:id="rId5"/>
      <w:pgSz w:w="11906" w:h="16838"/>
      <w:pgMar w:top="1417" w:right="1417" w:bottom="1417" w:left="1417" w:header="708" w:footer="708" w:gutter="0"/>
      <w:lnNumType w:distance="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841" w:rsidP="002F1841">
    <w:pPr>
      <w:pStyle w:val="Footer"/>
      <w:framePr w:vAnchor="text" w:hAnchor="margin" w:xAlign="right" w:y="1"/>
      <w:widowControl/>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F1841" w:rsidP="002F1841">
    <w:pPr>
      <w:pStyle w:val="Footer"/>
      <w:widowControl/>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841" w:rsidP="002F1841">
    <w:pPr>
      <w:pStyle w:val="Footer"/>
      <w:framePr w:vAnchor="text" w:hAnchor="margin" w:xAlign="right" w:y="1"/>
      <w:widowControl/>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E5938">
      <w:rPr>
        <w:rStyle w:val="PageNumber"/>
        <w:rFonts w:ascii="Times New Roman" w:hAnsi="Times New Roman"/>
        <w:noProof/>
      </w:rPr>
      <w:t>1</w:t>
    </w:r>
    <w:r>
      <w:rPr>
        <w:rStyle w:val="PageNumber"/>
        <w:rFonts w:ascii="Times New Roman" w:hAnsi="Times New Roman"/>
      </w:rPr>
      <w:fldChar w:fldCharType="end"/>
    </w:r>
  </w:p>
  <w:p w:rsidR="002F1841" w:rsidP="002F1841">
    <w:pPr>
      <w:pStyle w:val="Footer"/>
      <w:widowControl/>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D5D38"/>
    <w:multiLevelType w:val="hybridMultilevel"/>
    <w:tmpl w:val="5860D34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b/>
        <w:bCs/>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6B166D60"/>
    <w:multiLevelType w:val="hybridMultilevel"/>
    <w:tmpl w:val="59E03894"/>
    <w:lvl w:ilvl="0">
      <w:start w:val="1"/>
      <w:numFmt w:val="lowerLetter"/>
      <w:lvlText w:val="%1)"/>
      <w:lvlJc w:val="left"/>
      <w:pPr>
        <w:tabs>
          <w:tab w:val="num" w:pos="1770"/>
        </w:tabs>
        <w:ind w:left="1770" w:hanging="360"/>
      </w:pPr>
      <w:rPr>
        <w:rFonts w:cs="Times New Roman"/>
        <w:rtl w:val="0"/>
        <w:cs w:val="0"/>
      </w:rPr>
    </w:lvl>
    <w:lvl w:ilvl="1">
      <w:start w:val="1"/>
      <w:numFmt w:val="lowerLetter"/>
      <w:lvlText w:val="%2."/>
      <w:lvlJc w:val="left"/>
      <w:pPr>
        <w:tabs>
          <w:tab w:val="num" w:pos="2490"/>
        </w:tabs>
        <w:ind w:left="2490" w:hanging="360"/>
      </w:pPr>
      <w:rPr>
        <w:rFonts w:cs="Times New Roman"/>
        <w:rtl w:val="0"/>
        <w:cs w:val="0"/>
      </w:rPr>
    </w:lvl>
    <w:lvl w:ilvl="2">
      <w:start w:val="1"/>
      <w:numFmt w:val="lowerRoman"/>
      <w:lvlText w:val="%3."/>
      <w:lvlJc w:val="right"/>
      <w:pPr>
        <w:tabs>
          <w:tab w:val="num" w:pos="3210"/>
        </w:tabs>
        <w:ind w:left="3210" w:hanging="180"/>
      </w:pPr>
      <w:rPr>
        <w:rFonts w:cs="Times New Roman"/>
        <w:rtl w:val="0"/>
        <w:cs w:val="0"/>
      </w:rPr>
    </w:lvl>
    <w:lvl w:ilvl="3">
      <w:start w:val="1"/>
      <w:numFmt w:val="decimal"/>
      <w:lvlText w:val="%4."/>
      <w:lvlJc w:val="left"/>
      <w:pPr>
        <w:tabs>
          <w:tab w:val="num" w:pos="3930"/>
        </w:tabs>
        <w:ind w:left="3930" w:hanging="360"/>
      </w:pPr>
      <w:rPr>
        <w:rFonts w:cs="Times New Roman"/>
        <w:rtl w:val="0"/>
        <w:cs w:val="0"/>
      </w:rPr>
    </w:lvl>
    <w:lvl w:ilvl="4">
      <w:start w:val="1"/>
      <w:numFmt w:val="lowerLetter"/>
      <w:lvlText w:val="%5."/>
      <w:lvlJc w:val="left"/>
      <w:pPr>
        <w:tabs>
          <w:tab w:val="num" w:pos="4650"/>
        </w:tabs>
        <w:ind w:left="4650" w:hanging="360"/>
      </w:pPr>
      <w:rPr>
        <w:rFonts w:cs="Times New Roman"/>
        <w:rtl w:val="0"/>
        <w:cs w:val="0"/>
      </w:rPr>
    </w:lvl>
    <w:lvl w:ilvl="5">
      <w:start w:val="1"/>
      <w:numFmt w:val="lowerRoman"/>
      <w:lvlText w:val="%6."/>
      <w:lvlJc w:val="right"/>
      <w:pPr>
        <w:tabs>
          <w:tab w:val="num" w:pos="5370"/>
        </w:tabs>
        <w:ind w:left="5370" w:hanging="180"/>
      </w:pPr>
      <w:rPr>
        <w:rFonts w:cs="Times New Roman"/>
        <w:rtl w:val="0"/>
        <w:cs w:val="0"/>
      </w:rPr>
    </w:lvl>
    <w:lvl w:ilvl="6">
      <w:start w:val="1"/>
      <w:numFmt w:val="decimal"/>
      <w:lvlText w:val="%7."/>
      <w:lvlJc w:val="left"/>
      <w:pPr>
        <w:tabs>
          <w:tab w:val="num" w:pos="6090"/>
        </w:tabs>
        <w:ind w:left="6090" w:hanging="360"/>
      </w:pPr>
      <w:rPr>
        <w:rFonts w:cs="Times New Roman"/>
        <w:rtl w:val="0"/>
        <w:cs w:val="0"/>
      </w:rPr>
    </w:lvl>
    <w:lvl w:ilvl="7">
      <w:start w:val="1"/>
      <w:numFmt w:val="lowerLetter"/>
      <w:lvlText w:val="%8."/>
      <w:lvlJc w:val="left"/>
      <w:pPr>
        <w:tabs>
          <w:tab w:val="num" w:pos="6810"/>
        </w:tabs>
        <w:ind w:left="6810" w:hanging="360"/>
      </w:pPr>
      <w:rPr>
        <w:rFonts w:cs="Times New Roman"/>
        <w:rtl w:val="0"/>
        <w:cs w:val="0"/>
      </w:rPr>
    </w:lvl>
    <w:lvl w:ilvl="8">
      <w:start w:val="1"/>
      <w:numFmt w:val="lowerRoman"/>
      <w:lvlText w:val="%9."/>
      <w:lvlJc w:val="right"/>
      <w:pPr>
        <w:tabs>
          <w:tab w:val="num" w:pos="7530"/>
        </w:tabs>
        <w:ind w:left="7530" w:hanging="180"/>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stylePaneFormatFilter w:val="3F01"/>
  <w:doNotTrackMoves/>
  <w:defaultTabStop w:val="708"/>
  <w:hyphenationZone w:val="425"/>
  <w:noPunctuationKerning/>
  <w:characterSpacingControl w:val="doNotCompress"/>
  <w:compat/>
  <w:rsids>
    <w:rsidRoot w:val="00D96445"/>
    <w:rsid w:val="00101DEB"/>
    <w:rsid w:val="00292576"/>
    <w:rsid w:val="002C7323"/>
    <w:rsid w:val="002F1841"/>
    <w:rsid w:val="003D2BE0"/>
    <w:rsid w:val="004958BF"/>
    <w:rsid w:val="004D518E"/>
    <w:rsid w:val="00511CF3"/>
    <w:rsid w:val="005E3E58"/>
    <w:rsid w:val="005E5938"/>
    <w:rsid w:val="00685AC8"/>
    <w:rsid w:val="0069282D"/>
    <w:rsid w:val="006B12AA"/>
    <w:rsid w:val="00717B9C"/>
    <w:rsid w:val="00801564"/>
    <w:rsid w:val="00B278A7"/>
    <w:rsid w:val="00C80FF1"/>
    <w:rsid w:val="00CE5BAC"/>
    <w:rsid w:val="00D1742A"/>
    <w:rsid w:val="00D50EE1"/>
    <w:rsid w:val="00D96445"/>
    <w:rsid w:val="00DA7AAF"/>
    <w:rsid w:val="00E1405A"/>
    <w:rsid w:val="00E270A7"/>
    <w:rsid w:val="00EA4E93"/>
    <w:rsid w:val="00F2224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autoSpaceDE w:val="0"/>
      <w:autoSpaceDN w:val="0"/>
      <w:adjustRightInd w:val="0"/>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101DEB"/>
    <w:pPr>
      <w:keepNext/>
      <w:jc w:val="left"/>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kern w:val="32"/>
      <w:sz w:val="32"/>
      <w:szCs w:val="32"/>
      <w:rtl w:val="0"/>
      <w:cs w:val="0"/>
    </w:rPr>
  </w:style>
  <w:style w:type="paragraph" w:styleId="BodyText">
    <w:name w:val="Body Text"/>
    <w:basedOn w:val="Normal"/>
    <w:link w:val="BodyTextChar"/>
    <w:uiPriority w:val="99"/>
    <w:rsid w:val="00101DEB"/>
    <w:pPr>
      <w:spacing w:before="120"/>
      <w:jc w:val="both"/>
    </w:pPr>
    <w:rPr>
      <w:szCs w:val="20"/>
    </w:rPr>
  </w:style>
  <w:style w:type="character" w:customStyle="1" w:styleId="BodyTextChar">
    <w:name w:val="Body Text Char"/>
    <w:basedOn w:val="DefaultParagraphFont"/>
    <w:link w:val="BodyText"/>
    <w:uiPriority w:val="99"/>
    <w:semiHidden/>
    <w:locked/>
    <w:rPr>
      <w:rFonts w:cs="Times New Roman"/>
      <w:sz w:val="24"/>
      <w:szCs w:val="24"/>
      <w:rtl w:val="0"/>
      <w:cs w:val="0"/>
    </w:rPr>
  </w:style>
  <w:style w:type="paragraph" w:styleId="Footer">
    <w:name w:val="footer"/>
    <w:basedOn w:val="Normal"/>
    <w:link w:val="FooterChar"/>
    <w:uiPriority w:val="99"/>
    <w:rsid w:val="002F1841"/>
    <w:pPr>
      <w:tabs>
        <w:tab w:val="center" w:pos="4536"/>
        <w:tab w:val="right" w:pos="9072"/>
      </w:tabs>
      <w:jc w:val="left"/>
    </w:pPr>
  </w:style>
  <w:style w:type="character" w:customStyle="1" w:styleId="FooterChar">
    <w:name w:val="Footer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2F1841"/>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7</Pages>
  <Words>1925</Words>
  <Characters>10977</Characters>
  <Application>Microsoft Office Word</Application>
  <DocSecurity>0</DocSecurity>
  <Lines>0</Lines>
  <Paragraphs>0</Paragraphs>
  <ScaleCrop>false</ScaleCrop>
  <Company>Ministerstvo Spravodlivosti SR</Company>
  <LinksUpToDate>false</LinksUpToDate>
  <CharactersWithSpaces>12877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Marek.Kalavsky</dc:creator>
  <cp:lastModifiedBy>Gašparíková, Jarmila</cp:lastModifiedBy>
  <cp:revision>2</cp:revision>
  <cp:lastPrinted>2005-06-16T07:21:00Z</cp:lastPrinted>
  <dcterms:created xsi:type="dcterms:W3CDTF">2014-08-19T15:31:00Z</dcterms:created>
  <dcterms:modified xsi:type="dcterms:W3CDTF">2014-08-19T15:31:00Z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-1176107312</vt:i4>
  </property>
  <property fmtid="{D5CDD505-2E9C-101B-9397-08002B2CF9AE}" pid="3" name="_AuthorEmail">
    <vt:lpwstr>Marek.Kalavsky@justice.sk</vt:lpwstr>
  </property>
  <property fmtid="{D5CDD505-2E9C-101B-9397-08002B2CF9AE}" pid="4" name="_AuthorEmailDisplayName">
    <vt:lpwstr>KALAVSKY Marek</vt:lpwstr>
  </property>
  <property fmtid="{D5CDD505-2E9C-101B-9397-08002B2CF9AE}" pid="5" name="_EmailSubject">
    <vt:lpwstr>Zakon o lobingu - do NR SR</vt:lpwstr>
  </property>
  <property fmtid="{D5CDD505-2E9C-101B-9397-08002B2CF9AE}" pid="6" name="_ReviewingToolsShownOnce">
    <vt:lpwstr/>
  </property>
</Properties>
</file>