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719"/>
        <w:gridCol w:w="901"/>
        <w:gridCol w:w="3600"/>
        <w:gridCol w:w="1260"/>
        <w:gridCol w:w="1260"/>
        <w:gridCol w:w="1260"/>
        <w:gridCol w:w="4500"/>
        <w:gridCol w:w="720"/>
        <w:gridCol w:w="1620"/>
      </w:tblGrid>
      <w:tr>
        <w:tblPrEx>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84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9224D0">
            <w:pPr>
              <w:pStyle w:val="Heading1"/>
              <w:bidi w:val="0"/>
              <w:spacing w:after="0" w:line="240" w:lineRule="auto"/>
              <w:rPr>
                <w:rFonts w:ascii="Times New Roman" w:hAnsi="Times New Roman"/>
                <w:sz w:val="20"/>
                <w:szCs w:val="20"/>
              </w:rPr>
            </w:pPr>
            <w:r w:rsidRPr="009224D0">
              <w:rPr>
                <w:rFonts w:ascii="Times New Roman" w:hAnsi="Times New Roman"/>
                <w:sz w:val="20"/>
                <w:szCs w:val="20"/>
              </w:rPr>
              <w:t>TABUĽKA  ZHODY</w:t>
            </w:r>
          </w:p>
          <w:p w:rsidR="008C54C3" w:rsidRPr="009224D0" w:rsidP="00680BEE">
            <w:pPr>
              <w:pStyle w:val="Heading1"/>
              <w:bidi w:val="0"/>
              <w:spacing w:after="120" w:line="240" w:lineRule="auto"/>
              <w:rPr>
                <w:rFonts w:ascii="Times New Roman" w:hAnsi="Times New Roman"/>
                <w:b w:val="0"/>
                <w:bCs w:val="0"/>
                <w:sz w:val="20"/>
                <w:szCs w:val="20"/>
              </w:rPr>
            </w:pPr>
            <w:r w:rsidRPr="009224D0">
              <w:rPr>
                <w:rFonts w:ascii="Times New Roman" w:hAnsi="Times New Roman"/>
                <w:sz w:val="20"/>
                <w:szCs w:val="20"/>
              </w:rPr>
              <w:t>právn</w:t>
            </w:r>
            <w:r w:rsidRPr="009224D0" w:rsidR="00680BEE">
              <w:rPr>
                <w:rFonts w:ascii="Times New Roman" w:hAnsi="Times New Roman"/>
                <w:sz w:val="20"/>
                <w:szCs w:val="20"/>
              </w:rPr>
              <w:t>eho</w:t>
            </w:r>
            <w:r w:rsidRPr="009224D0">
              <w:rPr>
                <w:rFonts w:ascii="Times New Roman" w:hAnsi="Times New Roman"/>
                <w:sz w:val="20"/>
                <w:szCs w:val="20"/>
              </w:rPr>
              <w:t xml:space="preserve"> predpis</w:t>
            </w:r>
            <w:r w:rsidRPr="009224D0" w:rsidR="00680BEE">
              <w:rPr>
                <w:rFonts w:ascii="Times New Roman" w:hAnsi="Times New Roman"/>
                <w:sz w:val="20"/>
                <w:szCs w:val="20"/>
              </w:rPr>
              <w:t>u</w:t>
            </w:r>
            <w:r w:rsidRPr="009224D0">
              <w:rPr>
                <w:rFonts w:ascii="Times New Roman" w:hAnsi="Times New Roman"/>
                <w:sz w:val="20"/>
                <w:szCs w:val="20"/>
              </w:rPr>
              <w:t xml:space="preserve"> </w:t>
            </w:r>
            <w:r w:rsidRPr="009224D0" w:rsidR="00680BEE">
              <w:rPr>
                <w:rFonts w:ascii="Times New Roman" w:hAnsi="Times New Roman"/>
                <w:sz w:val="20"/>
                <w:szCs w:val="20"/>
              </w:rPr>
              <w:t>s právom Európskej únie</w:t>
            </w:r>
          </w:p>
        </w:tc>
      </w:tr>
      <w:tr>
        <w:tblPrEx>
          <w:tblW w:w="15840" w:type="dxa"/>
          <w:tblInd w:w="-31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9224D0">
            <w:pPr>
              <w:pStyle w:val="Heading4"/>
              <w:bidi w:val="0"/>
              <w:spacing w:after="0" w:line="240" w:lineRule="auto"/>
              <w:jc w:val="both"/>
              <w:rPr>
                <w:rFonts w:ascii="Times New Roman" w:hAnsi="Times New Roman"/>
                <w:sz w:val="20"/>
                <w:szCs w:val="20"/>
              </w:rPr>
            </w:pPr>
            <w:r w:rsidRPr="009224D0">
              <w:rPr>
                <w:rFonts w:ascii="Times New Roman" w:hAnsi="Times New Roman"/>
                <w:sz w:val="20"/>
                <w:szCs w:val="20"/>
              </w:rPr>
              <w:t>Názov smernice:</w:t>
            </w:r>
          </w:p>
        </w:tc>
        <w:tc>
          <w:tcPr>
            <w:tcW w:w="14220" w:type="dxa"/>
            <w:gridSpan w:val="7"/>
            <w:tcBorders>
              <w:top w:val="single" w:sz="4" w:space="0" w:color="auto"/>
              <w:left w:val="nil"/>
              <w:bottom w:val="single" w:sz="4" w:space="0" w:color="auto"/>
              <w:right w:val="single" w:sz="12" w:space="0" w:color="auto"/>
            </w:tcBorders>
            <w:textDirection w:val="lrTb"/>
            <w:vAlign w:val="top"/>
          </w:tcPr>
          <w:p w:rsidR="008C54C3" w:rsidRPr="009224D0" w:rsidP="007D1FAD">
            <w:pPr>
              <w:pStyle w:val="Heading4"/>
              <w:bidi w:val="0"/>
              <w:spacing w:before="60" w:after="60" w:line="240" w:lineRule="auto"/>
              <w:jc w:val="both"/>
              <w:rPr>
                <w:rFonts w:ascii="Times New Roman" w:hAnsi="Times New Roman"/>
                <w:b w:val="0"/>
                <w:bCs w:val="0"/>
                <w:sz w:val="20"/>
                <w:szCs w:val="20"/>
              </w:rPr>
            </w:pPr>
            <w:r w:rsidRPr="009224D0" w:rsidR="00615B90">
              <w:rPr>
                <w:rStyle w:val="Strong"/>
                <w:rFonts w:ascii="Times New Roman" w:hAnsi="Times New Roman"/>
                <w:b w:val="0"/>
                <w:bCs w:val="0"/>
                <w:color w:val="444444"/>
                <w:sz w:val="20"/>
                <w:szCs w:val="20"/>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w:t>
            </w:r>
          </w:p>
        </w:tc>
      </w:tr>
      <w:tr>
        <w:tblPrEx>
          <w:tblW w:w="15840" w:type="dxa"/>
          <w:tblInd w:w="-317" w:type="dxa"/>
          <w:tblLayout w:type="fixed"/>
          <w:tblCellMar>
            <w:left w:w="43" w:type="dxa"/>
            <w:right w:w="43" w:type="dxa"/>
          </w:tblCellMar>
        </w:tblPrEx>
        <w:trPr>
          <w:trHeight w:val="567"/>
        </w:trPr>
        <w:tc>
          <w:tcPr>
            <w:tcW w:w="6480"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9224D0">
            <w:pPr>
              <w:pStyle w:val="Heading4"/>
              <w:bidi w:val="0"/>
              <w:spacing w:before="120" w:after="0" w:line="240" w:lineRule="auto"/>
              <w:rPr>
                <w:rFonts w:ascii="Times New Roman" w:hAnsi="Times New Roman"/>
                <w:sz w:val="20"/>
                <w:szCs w:val="20"/>
              </w:rPr>
            </w:pPr>
            <w:r w:rsidRPr="009224D0">
              <w:rPr>
                <w:rFonts w:ascii="Times New Roman" w:hAnsi="Times New Roman"/>
                <w:sz w:val="20"/>
                <w:szCs w:val="20"/>
              </w:rPr>
              <w:t>Smernica ES</w:t>
            </w:r>
            <w:r w:rsidRPr="009224D0" w:rsidR="00A045C3">
              <w:rPr>
                <w:rFonts w:ascii="Times New Roman" w:hAnsi="Times New Roman"/>
                <w:sz w:val="20"/>
                <w:szCs w:val="20"/>
              </w:rPr>
              <w:t>/EÚ</w:t>
            </w:r>
          </w:p>
          <w:p w:rsidR="008C54C3" w:rsidRPr="009224D0">
            <w:pPr>
              <w:pStyle w:val="BodyText3"/>
              <w:bidi w:val="0"/>
              <w:spacing w:after="0" w:line="240" w:lineRule="exact"/>
              <w:rPr>
                <w:rFonts w:ascii="Times New Roman" w:hAnsi="Times New Roman"/>
                <w:sz w:val="20"/>
                <w:szCs w:val="20"/>
              </w:rPr>
            </w:pPr>
          </w:p>
        </w:tc>
        <w:tc>
          <w:tcPr>
            <w:tcW w:w="9360" w:type="dxa"/>
            <w:gridSpan w:val="5"/>
            <w:tcBorders>
              <w:top w:val="single" w:sz="4" w:space="0" w:color="auto"/>
              <w:left w:val="nil"/>
              <w:bottom w:val="single" w:sz="4" w:space="0" w:color="auto"/>
              <w:right w:val="single" w:sz="12" w:space="0" w:color="auto"/>
            </w:tcBorders>
            <w:textDirection w:val="lrTb"/>
            <w:vAlign w:val="top"/>
          </w:tcPr>
          <w:p w:rsidR="008C54C3" w:rsidRPr="009224D0">
            <w:pPr>
              <w:pStyle w:val="Heading4"/>
              <w:bidi w:val="0"/>
              <w:spacing w:before="120" w:after="0" w:line="240" w:lineRule="auto"/>
              <w:rPr>
                <w:rFonts w:ascii="Times New Roman" w:hAnsi="Times New Roman"/>
                <w:sz w:val="20"/>
                <w:szCs w:val="20"/>
              </w:rPr>
            </w:pPr>
            <w:r w:rsidRPr="009224D0">
              <w:rPr>
                <w:rFonts w:ascii="Times New Roman" w:hAnsi="Times New Roman"/>
                <w:sz w:val="20"/>
                <w:szCs w:val="20"/>
              </w:rPr>
              <w:t>Všeobecne záväzné právne predpisy Slovenskej republiky</w:t>
            </w:r>
          </w:p>
          <w:p w:rsidR="008C54C3" w:rsidRPr="009224D0">
            <w:pPr>
              <w:pStyle w:val="Header"/>
              <w:tabs>
                <w:tab w:val="left" w:pos="709"/>
              </w:tabs>
              <w:bidi w:val="0"/>
              <w:spacing w:after="0" w:line="240" w:lineRule="auto"/>
              <w:jc w:val="center"/>
              <w:rPr>
                <w:rFonts w:ascii="Times New Roman" w:hAnsi="Times New Roman"/>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Pr>
                <w:rFonts w:ascii="Times New Roman" w:hAnsi="Times New Roman"/>
                <w:sz w:val="20"/>
                <w:szCs w:val="20"/>
              </w:rPr>
              <w:t>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Pr>
                <w:rFonts w:ascii="Times New Roman" w:hAnsi="Times New Roman"/>
                <w:sz w:val="20"/>
                <w:szCs w:val="20"/>
              </w:rPr>
              <w:t>3</w:t>
            </w:r>
          </w:p>
        </w:tc>
        <w:tc>
          <w:tcPr>
            <w:tcW w:w="1260" w:type="dxa"/>
            <w:tcBorders>
              <w:top w:val="single" w:sz="4" w:space="0" w:color="auto"/>
              <w:left w:val="nil"/>
              <w:bottom w:val="single" w:sz="4" w:space="0" w:color="auto"/>
              <w:right w:val="single" w:sz="4"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BodyText2"/>
              <w:bidi w:val="0"/>
              <w:spacing w:after="0" w:line="240" w:lineRule="exact"/>
              <w:rPr>
                <w:rFonts w:ascii="Times New Roman" w:hAnsi="Times New Roman"/>
              </w:rPr>
            </w:pPr>
            <w:r w:rsidRPr="009224D0">
              <w:rPr>
                <w:rFonts w:ascii="Times New Roman" w:hAnsi="Times New Roman"/>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BodyText2"/>
              <w:bidi w:val="0"/>
              <w:spacing w:after="0" w:line="240" w:lineRule="exact"/>
              <w:rPr>
                <w:rFonts w:ascii="Times New Roman" w:hAnsi="Times New Roman"/>
              </w:rPr>
            </w:pPr>
            <w:r w:rsidRPr="009224D0">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Pr>
                <w:rFonts w:ascii="Times New Roman" w:hAnsi="Times New Roman"/>
                <w:sz w:val="20"/>
                <w:szCs w:val="20"/>
              </w:rPr>
              <w:t>7</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A9063F" w:rsidRPr="009224D0">
            <w:pPr>
              <w:bidi w:val="0"/>
              <w:spacing w:after="0" w:line="240" w:lineRule="auto"/>
              <w:jc w:val="center"/>
              <w:rPr>
                <w:rFonts w:ascii="Times New Roman" w:hAnsi="Times New Roman"/>
                <w:sz w:val="20"/>
                <w:szCs w:val="20"/>
              </w:rPr>
            </w:pPr>
            <w:r w:rsidRPr="009224D0" w:rsidR="005170A9">
              <w:rPr>
                <w:rFonts w:ascii="Times New Roman" w:hAnsi="Times New Roman"/>
                <w:sz w:val="20"/>
                <w:szCs w:val="20"/>
              </w:rPr>
              <w:t>8</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Článok</w:t>
            </w:r>
          </w:p>
          <w:p w:rsidR="00A9063F" w:rsidRPr="009224D0">
            <w:pPr>
              <w:pStyle w:val="Normlny"/>
              <w:bidi w:val="0"/>
              <w:spacing w:after="0" w:line="240" w:lineRule="auto"/>
              <w:jc w:val="center"/>
              <w:rPr>
                <w:rFonts w:ascii="Times New Roman" w:hAnsi="Times New Roman"/>
              </w:rPr>
            </w:pPr>
            <w:r w:rsidRPr="009224D0">
              <w:rPr>
                <w:rFonts w:ascii="Times New Roman" w:hAnsi="Times New Roman"/>
              </w:rPr>
              <w:t>(Č, O,</w:t>
            </w:r>
          </w:p>
          <w:p w:rsidR="00A9063F" w:rsidRPr="009224D0">
            <w:pPr>
              <w:pStyle w:val="Normlny"/>
              <w:bidi w:val="0"/>
              <w:spacing w:after="0" w:line="240" w:lineRule="auto"/>
              <w:jc w:val="center"/>
              <w:rPr>
                <w:rFonts w:ascii="Times New Roman" w:hAnsi="Times New Roman"/>
              </w:rPr>
            </w:pPr>
            <w:r w:rsidRPr="009224D0">
              <w:rPr>
                <w:rFonts w:ascii="Times New Roman" w:hAnsi="Times New Roman"/>
              </w:rPr>
              <w:t>V, P)</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Spôsob transp.</w:t>
            </w:r>
          </w:p>
          <w:p w:rsidR="00A9063F" w:rsidRPr="009224D0">
            <w:pPr>
              <w:pStyle w:val="Normlny"/>
              <w:bidi w:val="0"/>
              <w:spacing w:after="0" w:line="240" w:lineRule="auto"/>
              <w:jc w:val="center"/>
              <w:rPr>
                <w:rFonts w:ascii="Times New Roman" w:hAnsi="Times New Roman"/>
              </w:rPr>
            </w:pPr>
            <w:r w:rsidRPr="009224D0">
              <w:rPr>
                <w:rFonts w:ascii="Times New Roman" w:hAnsi="Times New Roman"/>
              </w:rPr>
              <w:t>(N, O, D, n.a.)</w:t>
            </w:r>
          </w:p>
        </w:tc>
        <w:tc>
          <w:tcPr>
            <w:tcW w:w="1260" w:type="dxa"/>
            <w:tcBorders>
              <w:top w:val="single" w:sz="4" w:space="0" w:color="auto"/>
              <w:left w:val="nil"/>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Číslo</w:t>
            </w:r>
          </w:p>
          <w:p w:rsidR="00A9063F" w:rsidRPr="009224D0">
            <w:pPr>
              <w:pStyle w:val="Normlny"/>
              <w:bidi w:val="0"/>
              <w:spacing w:after="0" w:line="240" w:lineRule="auto"/>
              <w:jc w:val="center"/>
              <w:rPr>
                <w:rFonts w:ascii="Times New Roman" w:hAnsi="Times New Roman"/>
              </w:rPr>
            </w:pPr>
            <w:r w:rsidRPr="009224D0">
              <w:rPr>
                <w:rFonts w:ascii="Times New Roman" w:hAnsi="Times New Roman"/>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Zhoda</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A9063F" w:rsidRPr="009224D0">
            <w:pPr>
              <w:pStyle w:val="Normlny"/>
              <w:bidi w:val="0"/>
              <w:spacing w:after="0" w:line="240" w:lineRule="auto"/>
              <w:jc w:val="center"/>
              <w:rPr>
                <w:rFonts w:ascii="Times New Roman" w:hAnsi="Times New Roman"/>
              </w:rPr>
            </w:pPr>
            <w:r w:rsidRPr="009224D0">
              <w:rPr>
                <w:rFonts w:ascii="Times New Roman" w:hAnsi="Times New Roman"/>
              </w:rPr>
              <w:t>Poznámky</w:t>
            </w: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7D1FAD" w:rsidRPr="00FE3637" w:rsidP="00B30A89">
            <w:pPr>
              <w:bidi w:val="0"/>
              <w:spacing w:after="0" w:line="240" w:lineRule="auto"/>
              <w:jc w:val="center"/>
              <w:rPr>
                <w:rFonts w:ascii="Times New Roman" w:hAnsi="Times New Roman"/>
                <w:sz w:val="22"/>
                <w:szCs w:val="22"/>
              </w:rPr>
            </w:pPr>
            <w:r w:rsidRPr="00FE3637" w:rsidR="008951DB">
              <w:rPr>
                <w:rFonts w:ascii="Times New Roman" w:hAnsi="Times New Roman"/>
                <w:sz w:val="22"/>
                <w:szCs w:val="22"/>
              </w:rPr>
              <w:t xml:space="preserve">Čl. </w:t>
            </w:r>
            <w:r w:rsidRPr="00FE3637" w:rsidR="00A47D2B">
              <w:rPr>
                <w:rFonts w:ascii="Times New Roman" w:hAnsi="Times New Roman"/>
                <w:sz w:val="22"/>
                <w:szCs w:val="22"/>
              </w:rPr>
              <w:t>7 ods. 1</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7D1FAD" w:rsidRPr="00FE3637" w:rsidP="00A47D2B">
            <w:pPr>
              <w:bidi w:val="0"/>
              <w:spacing w:after="0" w:line="240" w:lineRule="auto"/>
              <w:jc w:val="both"/>
              <w:rPr>
                <w:rFonts w:ascii="Times New Roman" w:hAnsi="Times New Roman"/>
                <w:sz w:val="22"/>
                <w:szCs w:val="22"/>
              </w:rPr>
            </w:pPr>
            <w:r w:rsidRPr="00FE3637" w:rsidR="00A47D2B">
              <w:rPr>
                <w:rFonts w:ascii="Times New Roman" w:hAnsi="Times New Roman"/>
                <w:color w:val="000000"/>
                <w:sz w:val="22"/>
                <w:szCs w:val="22"/>
                <w:shd w:val="clear" w:color="auto" w:fill="FFFFFF"/>
              </w:rPr>
              <w:t>1.   Obchodná praktika sa považuje za klamlivú, ak v skutkovej súvislosti, berúc do úvahy všetky jej črty, okolnosti a obmedzenia komunikačného prostriedku, opomenie podstatnú informáciu, ktorú priemerný spotrebiteľ potrebuje v závislosti od kontextu na to, aby urobil kvalifikované rozhodnutie o obchodnej transakcii, a tým zapríčiňuje alebo môže zapríčiniť, že priemerný spotrebiteľ urobí rozhodnutie o obchodnej transakcii, ktoré by inak neurobil.</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7D1FAD" w:rsidRPr="00FE3637" w:rsidP="00B30A89">
            <w:pPr>
              <w:bidi w:val="0"/>
              <w:spacing w:after="0" w:line="240" w:lineRule="auto"/>
              <w:jc w:val="center"/>
              <w:rPr>
                <w:rFonts w:ascii="Times New Roman" w:hAnsi="Times New Roman"/>
                <w:sz w:val="22"/>
                <w:szCs w:val="22"/>
              </w:rPr>
            </w:pPr>
            <w:r w:rsidRPr="00FE3637" w:rsidR="00A47D2B">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7D1FAD" w:rsidRPr="00FE3637" w:rsidP="00B30A89">
            <w:pPr>
              <w:bidi w:val="0"/>
              <w:spacing w:after="0" w:line="240" w:lineRule="auto"/>
              <w:jc w:val="center"/>
              <w:rPr>
                <w:rFonts w:ascii="Times New Roman" w:hAnsi="Times New Roman"/>
                <w:sz w:val="22"/>
                <w:szCs w:val="22"/>
              </w:rPr>
            </w:pPr>
            <w:r w:rsidRPr="00FE3637" w:rsidR="00A47D2B">
              <w:rPr>
                <w:rFonts w:ascii="Times New Roman" w:hAnsi="Times New Roman"/>
                <w:sz w:val="22"/>
                <w:szCs w:val="22"/>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D1FAD" w:rsidRPr="00FE3637" w:rsidP="00B30A89">
            <w:pPr>
              <w:bidi w:val="0"/>
              <w:spacing w:after="0" w:line="240" w:lineRule="auto"/>
              <w:jc w:val="center"/>
              <w:rPr>
                <w:rFonts w:ascii="Times New Roman" w:hAnsi="Times New Roman"/>
                <w:sz w:val="22"/>
                <w:szCs w:val="22"/>
              </w:rPr>
            </w:pPr>
            <w:r w:rsidRPr="00FE3637" w:rsidR="00A47D2B">
              <w:rPr>
                <w:rFonts w:ascii="Times New Roman" w:hAnsi="Times New Roman"/>
                <w:sz w:val="22"/>
                <w:szCs w:val="22"/>
              </w:rPr>
              <w:t>§ 8 ods. 3</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7D1FAD" w:rsidRPr="00FE3637" w:rsidP="00615B90">
            <w:pPr>
              <w:bidi w:val="0"/>
              <w:spacing w:after="0" w:line="240" w:lineRule="auto"/>
              <w:jc w:val="both"/>
              <w:rPr>
                <w:rFonts w:ascii="Times New Roman" w:hAnsi="Times New Roman"/>
                <w:sz w:val="22"/>
                <w:szCs w:val="22"/>
              </w:rPr>
            </w:pPr>
            <w:r w:rsidRPr="00FE3637" w:rsidR="00A47D2B">
              <w:rPr>
                <w:rFonts w:ascii="Times New Roman" w:hAnsi="Times New Roman"/>
                <w:bCs/>
                <w:sz w:val="22"/>
                <w:szCs w:val="22"/>
              </w:rPr>
              <w:t>(3)</w:t>
            </w:r>
            <w:r w:rsidRPr="00FE3637" w:rsidR="00A47D2B">
              <w:rPr>
                <w:rFonts w:ascii="Times New Roman" w:hAnsi="Times New Roman"/>
                <w:sz w:val="22"/>
                <w:szCs w:val="22"/>
              </w:rPr>
              <w:t xml:space="preserve"> Obchodná praktika sa tiež považuje za klamlivú, ak </w:t>
            </w:r>
            <w:r w:rsidRPr="00FE3637" w:rsidR="00FE3637">
              <w:rPr>
                <w:rFonts w:ascii="Times New Roman" w:hAnsi="Times New Roman"/>
                <w:sz w:val="22"/>
                <w:szCs w:val="22"/>
              </w:rPr>
              <w:t xml:space="preserve">s prihliadnutím na jej charakter, okolnosti a obmedzenia komunikačného prostriedku </w:t>
            </w:r>
            <w:r w:rsidRPr="00FE3637" w:rsidR="00A47D2B">
              <w:rPr>
                <w:rFonts w:ascii="Times New Roman" w:hAnsi="Times New Roman"/>
                <w:sz w:val="22"/>
                <w:szCs w:val="22"/>
              </w:rPr>
              <w:t>opomenie podstatnú informáciu, ktorú priemerný spotrebiteľ potrebuje v závislosti od kontextu na to, aby urobil rozhodnutie o obchodnej transakcii, a tým zapríčiňuje alebo môže zapríčiniť, že priemerný spotrebiteľ urobí rozhodnutie o obchodnej transakcii, ktoré by inak neurobil.</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B97F78" w:rsidRPr="009224D0" w:rsidP="00B30A89">
            <w:pPr>
              <w:bidi w:val="0"/>
              <w:spacing w:after="0" w:line="240" w:lineRule="auto"/>
              <w:jc w:val="center"/>
              <w:rPr>
                <w:rFonts w:ascii="Times New Roman" w:hAnsi="Times New Roman"/>
                <w:sz w:val="20"/>
                <w:szCs w:val="20"/>
              </w:rPr>
            </w:pPr>
            <w:r w:rsidR="00A47D2B">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7D1FAD" w:rsidRPr="009224D0" w:rsidP="00B30A89">
            <w:pPr>
              <w:bidi w:val="0"/>
              <w:spacing w:after="0" w:line="240" w:lineRule="auto"/>
              <w:jc w:val="both"/>
              <w:rPr>
                <w:rFonts w:ascii="Times New Roman" w:hAnsi="Times New Roman"/>
                <w:sz w:val="20"/>
                <w:szCs w:val="20"/>
              </w:rPr>
            </w:pPr>
          </w:p>
        </w:tc>
      </w:tr>
      <w:tr>
        <w:tblPrEx>
          <w:tblW w:w="15840" w:type="dxa"/>
          <w:tblInd w:w="-317" w:type="dxa"/>
          <w:tblLayout w:type="fixed"/>
          <w:tblCellMar>
            <w:left w:w="43" w:type="dxa"/>
            <w:right w:w="43" w:type="dxa"/>
          </w:tblCellMar>
        </w:tblPrEx>
        <w:tc>
          <w:tcPr>
            <w:tcW w:w="719" w:type="dxa"/>
            <w:tcBorders>
              <w:top w:val="single" w:sz="4" w:space="0" w:color="auto"/>
              <w:left w:val="single" w:sz="12" w:space="0" w:color="auto"/>
              <w:bottom w:val="single" w:sz="4" w:space="0" w:color="auto"/>
              <w:right w:val="single" w:sz="4" w:space="0" w:color="auto"/>
            </w:tcBorders>
            <w:textDirection w:val="lrTb"/>
            <w:vAlign w:val="top"/>
          </w:tcPr>
          <w:p w:rsidR="00A47D2B" w:rsidRPr="00FE3637">
            <w:pPr>
              <w:bidi w:val="0"/>
              <w:spacing w:after="0" w:line="240" w:lineRule="auto"/>
              <w:jc w:val="center"/>
              <w:rPr>
                <w:rFonts w:ascii="Times New Roman" w:hAnsi="Times New Roman"/>
                <w:sz w:val="22"/>
                <w:szCs w:val="22"/>
              </w:rPr>
            </w:pPr>
            <w:r w:rsidRPr="00FE3637" w:rsidR="00FE3637">
              <w:rPr>
                <w:rFonts w:ascii="Times New Roman" w:hAnsi="Times New Roman"/>
                <w:sz w:val="22"/>
                <w:szCs w:val="22"/>
              </w:rPr>
              <w:t>Čl. 13</w:t>
            </w:r>
          </w:p>
        </w:tc>
        <w:tc>
          <w:tcPr>
            <w:tcW w:w="4501" w:type="dxa"/>
            <w:gridSpan w:val="2"/>
            <w:tcBorders>
              <w:top w:val="single" w:sz="4" w:space="0" w:color="auto"/>
              <w:left w:val="single" w:sz="4" w:space="0" w:color="auto"/>
              <w:bottom w:val="single" w:sz="4" w:space="0" w:color="auto"/>
              <w:right w:val="single" w:sz="4" w:space="0" w:color="auto"/>
            </w:tcBorders>
            <w:textDirection w:val="lrTb"/>
            <w:vAlign w:val="top"/>
          </w:tcPr>
          <w:p w:rsidR="00FE3637" w:rsidRPr="008953EB" w:rsidP="00FE3637">
            <w:pPr>
              <w:bidi w:val="0"/>
              <w:adjustRightInd w:val="0"/>
              <w:spacing w:after="0" w:line="240" w:lineRule="auto"/>
              <w:rPr>
                <w:rFonts w:ascii="Times New Roman" w:eastAsia="EUAlbertina-Italic-Identity-H" w:hAnsi="Times New Roman"/>
                <w:i/>
                <w:iCs/>
                <w:color w:val="231F20"/>
                <w:sz w:val="22"/>
                <w:szCs w:val="22"/>
              </w:rPr>
            </w:pPr>
            <w:r w:rsidRPr="008953EB">
              <w:rPr>
                <w:rFonts w:ascii="Times New Roman" w:eastAsia="EUAlbertina-Bold-Identity-H" w:hAnsi="Times New Roman"/>
                <w:bCs/>
                <w:color w:val="231F20"/>
                <w:sz w:val="22"/>
                <w:szCs w:val="22"/>
              </w:rPr>
              <w:t>Sankcie</w:t>
            </w:r>
          </w:p>
          <w:p w:rsidR="00A47D2B" w:rsidRPr="00FE3637" w:rsidP="00FE3637">
            <w:pPr>
              <w:pStyle w:val="Normlny"/>
              <w:bidi w:val="0"/>
              <w:spacing w:after="0" w:line="240" w:lineRule="auto"/>
              <w:rPr>
                <w:rFonts w:ascii="Times New Roman" w:eastAsia="EUAlbertina-Regular-Identity-H" w:hAnsi="Times New Roman"/>
                <w:color w:val="231F20"/>
                <w:sz w:val="22"/>
                <w:szCs w:val="22"/>
              </w:rPr>
            </w:pPr>
            <w:r w:rsidRPr="00FE3637" w:rsidR="00FE3637">
              <w:rPr>
                <w:rFonts w:ascii="Times New Roman" w:hAnsi="Times New Roman"/>
                <w:color w:val="000000"/>
                <w:sz w:val="22"/>
                <w:szCs w:val="22"/>
                <w:shd w:val="clear" w:color="auto" w:fill="FFFFFF"/>
              </w:rPr>
              <w:t>Členské štáty stanovia sankcie za porušenie vnútroštátnych predpisov prijatých na základe tejto smernice a prijmú všetky nevyhnutné opatrenia na zabezpečenie ich vynútiteľnosti. Tieto sankcie musia byť účinné, primerané a odradzujúce.</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47D2B" w:rsidRPr="00FE3637">
            <w:pPr>
              <w:bidi w:val="0"/>
              <w:spacing w:after="0" w:line="240" w:lineRule="auto"/>
              <w:jc w:val="center"/>
              <w:rPr>
                <w:rFonts w:ascii="Times New Roman" w:hAnsi="Times New Roman"/>
                <w:sz w:val="22"/>
                <w:szCs w:val="22"/>
              </w:rPr>
            </w:pPr>
            <w:r w:rsidRPr="00FE3637" w:rsidR="00FE3637">
              <w:rPr>
                <w:rFonts w:ascii="Times New Roman" w:hAnsi="Times New Roman"/>
                <w:sz w:val="22"/>
                <w:szCs w:val="22"/>
              </w:rPr>
              <w:t>N</w:t>
            </w:r>
          </w:p>
        </w:tc>
        <w:tc>
          <w:tcPr>
            <w:tcW w:w="1260" w:type="dxa"/>
            <w:tcBorders>
              <w:top w:val="single" w:sz="4" w:space="0" w:color="auto"/>
              <w:left w:val="nil"/>
              <w:bottom w:val="single" w:sz="4" w:space="0" w:color="auto"/>
              <w:right w:val="single" w:sz="4" w:space="0" w:color="auto"/>
            </w:tcBorders>
            <w:textDirection w:val="lrTb"/>
            <w:vAlign w:val="top"/>
          </w:tcPr>
          <w:p w:rsidR="00A47D2B" w:rsidRPr="00FE3637">
            <w:pPr>
              <w:bidi w:val="0"/>
              <w:spacing w:after="0" w:line="240" w:lineRule="auto"/>
              <w:jc w:val="center"/>
              <w:rPr>
                <w:rFonts w:ascii="Times New Roman" w:hAnsi="Times New Roman"/>
                <w:sz w:val="22"/>
                <w:szCs w:val="22"/>
              </w:rPr>
            </w:pPr>
            <w:r w:rsidRPr="00FE3637" w:rsidR="00FE3637">
              <w:rPr>
                <w:rFonts w:ascii="Times New Roman" w:hAnsi="Times New Roman"/>
                <w:sz w:val="22"/>
                <w:szCs w:val="22"/>
              </w:rPr>
              <w:t>Zákon č. 250/2007 Z. 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8953EB" w:rsidRPr="00FE3637" w:rsidP="008953EB">
            <w:pPr>
              <w:bidi w:val="0"/>
              <w:spacing w:after="0" w:line="240" w:lineRule="auto"/>
              <w:jc w:val="center"/>
              <w:rPr>
                <w:rFonts w:ascii="Times New Roman" w:hAnsi="Times New Roman"/>
                <w:sz w:val="22"/>
                <w:szCs w:val="22"/>
              </w:rPr>
            </w:pPr>
            <w:r w:rsidRPr="00FE3637" w:rsidR="00FE3637">
              <w:rPr>
                <w:rFonts w:ascii="Times New Roman" w:hAnsi="Times New Roman"/>
                <w:sz w:val="22"/>
                <w:szCs w:val="22"/>
              </w:rPr>
              <w:t xml:space="preserve">§ 24 </w:t>
            </w:r>
          </w:p>
          <w:p w:rsidR="00FE3637" w:rsidRPr="00FE3637" w:rsidP="00FE3637">
            <w:pPr>
              <w:bidi w:val="0"/>
              <w:spacing w:after="0" w:line="240" w:lineRule="auto"/>
              <w:jc w:val="center"/>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FE3637" w:rsidRPr="008953EB" w:rsidP="00FE3637">
            <w:pPr>
              <w:pStyle w:val="BodyText2"/>
              <w:bidi w:val="0"/>
              <w:spacing w:after="0" w:line="240" w:lineRule="exact"/>
              <w:jc w:val="both"/>
              <w:rPr>
                <w:rFonts w:ascii="Times New Roman" w:hAnsi="Times New Roman"/>
                <w:bCs/>
                <w:sz w:val="22"/>
                <w:szCs w:val="22"/>
              </w:rPr>
            </w:pPr>
            <w:r w:rsidRPr="008953EB">
              <w:rPr>
                <w:rFonts w:ascii="Times New Roman" w:hAnsi="Times New Roman"/>
                <w:bCs/>
                <w:sz w:val="22"/>
                <w:szCs w:val="22"/>
              </w:rPr>
              <w:t>(1) Za porušenie povinností ustanovených týmto zákonom alebo právne záväznými aktmi Európskej únie v oblasti ochrany spotrebiteľa</w:t>
            </w:r>
            <w:hyperlink r:id="rId4" w:anchor="f6566619" w:history="1">
              <w:r w:rsidRPr="008953EB">
                <w:rPr>
                  <w:rStyle w:val="Hyperlink"/>
                  <w:rFonts w:ascii="Times New Roman" w:hAnsi="Times New Roman"/>
                  <w:color w:val="auto"/>
                  <w:sz w:val="22"/>
                  <w:szCs w:val="22"/>
                  <w:u w:val="none"/>
                  <w:effect w:val="none"/>
                  <w:vertAlign w:val="superscript"/>
                </w:rPr>
                <w:t>28)</w:t>
              </w:r>
            </w:hyperlink>
            <w:r w:rsidRPr="008953EB">
              <w:rPr>
                <w:rFonts w:ascii="Times New Roman" w:hAnsi="Times New Roman"/>
                <w:bCs/>
                <w:sz w:val="22"/>
                <w:szCs w:val="22"/>
              </w:rPr>
              <w:t xml:space="preserve">uloží orgán dozoru výrobcovi, predávajúcemu, dovozcovi, dodávateľovi alebo osobe podľa § 9a alebo § 26 pokutu do 66 400 eur; za opakované porušenie povinnosti počas 12 mesiacov uloží pokutu do </w:t>
            </w:r>
            <w:r w:rsidRPr="008953EB">
              <w:rPr>
                <w:rFonts w:ascii="Times New Roman" w:hAnsi="Times New Roman"/>
                <w:sz w:val="22"/>
                <w:szCs w:val="22"/>
              </w:rPr>
              <w:t>166 000 eur</w:t>
            </w:r>
            <w:r w:rsidRPr="008953EB">
              <w:rPr>
                <w:rFonts w:ascii="Times New Roman" w:hAnsi="Times New Roman"/>
                <w:bCs/>
                <w:sz w:val="22"/>
                <w:szCs w:val="22"/>
              </w:rPr>
              <w:t>.</w:t>
            </w:r>
          </w:p>
          <w:p w:rsidR="00FE3637" w:rsidRPr="008953EB" w:rsidP="00FE3637">
            <w:pPr>
              <w:pStyle w:val="BodyText2"/>
              <w:bidi w:val="0"/>
              <w:spacing w:after="0" w:line="240" w:lineRule="exact"/>
              <w:jc w:val="both"/>
              <w:rPr>
                <w:rFonts w:ascii="Times New Roman" w:hAnsi="Times New Roman"/>
                <w:bCs/>
                <w:sz w:val="22"/>
                <w:szCs w:val="22"/>
              </w:rPr>
            </w:pPr>
            <w:bookmarkStart w:id="0" w:name="p24-2"/>
            <w:bookmarkEnd w:id="0"/>
            <w:r w:rsidRPr="008953EB">
              <w:rPr>
                <w:rFonts w:ascii="Times New Roman" w:hAnsi="Times New Roman"/>
                <w:bCs/>
                <w:sz w:val="22"/>
                <w:szCs w:val="22"/>
              </w:rPr>
              <w:t>(2) Orgán dozoru uloží výrobcovi, predávajúcemu, dovozcovi, dodávateľovi alebo osobe uvedenej v </w:t>
            </w:r>
            <w:hyperlink r:id="rId4" w:anchor="f6566466" w:history="1">
              <w:r w:rsidRPr="008953EB">
                <w:rPr>
                  <w:rStyle w:val="Hyperlink"/>
                  <w:rFonts w:ascii="Times New Roman" w:hAnsi="Times New Roman"/>
                  <w:color w:val="auto"/>
                  <w:sz w:val="22"/>
                  <w:szCs w:val="22"/>
                  <w:u w:val="none"/>
                  <w:effect w:val="none"/>
                </w:rPr>
                <w:t>§ 26</w:t>
              </w:r>
            </w:hyperlink>
            <w:r w:rsidRPr="008953EB">
              <w:rPr>
                <w:rFonts w:ascii="Times New Roman" w:hAnsi="Times New Roman"/>
                <w:sz w:val="22"/>
                <w:szCs w:val="22"/>
              </w:rPr>
              <w:t>,</w:t>
            </w:r>
            <w:r w:rsidRPr="008953EB">
              <w:rPr>
                <w:rFonts w:ascii="Times New Roman" w:hAnsi="Times New Roman"/>
                <w:bCs/>
                <w:sz w:val="22"/>
                <w:szCs w:val="22"/>
              </w:rPr>
              <w:t xml:space="preserve"> ktorá vyrobila, predala, doviezla alebo dodala výrobok, ktorého vada spôsobila ujmu na živote alebo zdraví, pokutu do 332 000 eur. Rovnakú pokutu uloží tomu, kto takú ujmu spôsobil vadným poskytnutím služby. Pokutu nemožno uložiť osobe, ktorá preukáže, že ujme nemohla zabrániť ani pri vynaložení všetkého úsilia, ktoré od nej bolo možné požadovať.</w:t>
            </w:r>
          </w:p>
          <w:p w:rsidR="00FE3637" w:rsidRPr="008953EB" w:rsidP="00FE3637">
            <w:pPr>
              <w:pStyle w:val="BodyText2"/>
              <w:bidi w:val="0"/>
              <w:spacing w:after="0" w:line="240" w:lineRule="exact"/>
              <w:jc w:val="both"/>
              <w:rPr>
                <w:rFonts w:ascii="Times New Roman" w:hAnsi="Times New Roman"/>
                <w:bCs/>
                <w:sz w:val="22"/>
                <w:szCs w:val="22"/>
              </w:rPr>
            </w:pPr>
            <w:bookmarkStart w:id="1" w:name="p24-3"/>
            <w:bookmarkEnd w:id="1"/>
            <w:r w:rsidRPr="008953EB">
              <w:rPr>
                <w:rFonts w:ascii="Times New Roman" w:hAnsi="Times New Roman"/>
                <w:bCs/>
                <w:sz w:val="22"/>
                <w:szCs w:val="22"/>
              </w:rPr>
              <w:t>(3) Výrobcovi, predávajúcemu, dovozcovi, dodávateľovi alebo osobe podľa § 9a alebo § 26, ktorá marí, ruší alebo inak sťažuje výkon dozoru, prípadne nesplní záväzný pokyn podľa </w:t>
            </w:r>
            <w:hyperlink r:id="rId4" w:anchor="f6566383" w:history="1">
              <w:r w:rsidRPr="008953EB">
                <w:rPr>
                  <w:rStyle w:val="Hyperlink"/>
                  <w:rFonts w:ascii="Times New Roman" w:hAnsi="Times New Roman"/>
                  <w:color w:val="auto"/>
                  <w:sz w:val="22"/>
                  <w:szCs w:val="22"/>
                  <w:u w:val="none"/>
                  <w:effect w:val="none"/>
                </w:rPr>
                <w:t>§ 20 ods. 3 písm. h)</w:t>
              </w:r>
            </w:hyperlink>
            <w:r w:rsidRPr="008953EB">
              <w:rPr>
                <w:rFonts w:ascii="Times New Roman" w:hAnsi="Times New Roman"/>
                <w:sz w:val="22"/>
                <w:szCs w:val="22"/>
              </w:rPr>
              <w:t>,</w:t>
            </w:r>
            <w:r w:rsidRPr="008953EB">
              <w:rPr>
                <w:rFonts w:ascii="Times New Roman" w:hAnsi="Times New Roman"/>
                <w:bCs/>
                <w:sz w:val="22"/>
                <w:szCs w:val="22"/>
              </w:rPr>
              <w:t xml:space="preserve"> uloží orgán dozoru poriadkovú pokutu do 1660 eur, a to aj opakovane.</w:t>
            </w:r>
          </w:p>
          <w:p w:rsidR="00FE3637" w:rsidRPr="008953EB" w:rsidP="00FE3637">
            <w:pPr>
              <w:pStyle w:val="BodyText2"/>
              <w:bidi w:val="0"/>
              <w:spacing w:after="0" w:line="240" w:lineRule="exact"/>
              <w:jc w:val="both"/>
              <w:rPr>
                <w:rFonts w:ascii="Times New Roman" w:hAnsi="Times New Roman"/>
                <w:bCs/>
                <w:sz w:val="22"/>
                <w:szCs w:val="22"/>
              </w:rPr>
            </w:pPr>
            <w:r w:rsidRPr="008953EB">
              <w:rPr>
                <w:rFonts w:ascii="Times New Roman" w:hAnsi="Times New Roman"/>
                <w:bCs/>
                <w:sz w:val="22"/>
                <w:szCs w:val="22"/>
              </w:rPr>
              <w:t>(4) Pokutu podľa odseku 1 nemožno uložiť, ak bola uložená pokuta podľa osobitného zákona alebo ak možno uložiť pokutu podľa odseku 2.</w:t>
            </w:r>
          </w:p>
          <w:p w:rsidR="00FE3637" w:rsidRPr="008953EB" w:rsidP="00FE3637">
            <w:pPr>
              <w:pStyle w:val="BodyText2"/>
              <w:bidi w:val="0"/>
              <w:spacing w:after="0" w:line="240" w:lineRule="exact"/>
              <w:jc w:val="both"/>
              <w:rPr>
                <w:rFonts w:ascii="Times New Roman" w:hAnsi="Times New Roman"/>
                <w:bCs/>
                <w:sz w:val="22"/>
                <w:szCs w:val="22"/>
              </w:rPr>
            </w:pPr>
            <w:bookmarkStart w:id="2" w:name="p24-5"/>
            <w:bookmarkEnd w:id="2"/>
            <w:r w:rsidRPr="008953EB">
              <w:rPr>
                <w:rFonts w:ascii="Times New Roman" w:hAnsi="Times New Roman"/>
                <w:bCs/>
                <w:sz w:val="22"/>
                <w:szCs w:val="22"/>
              </w:rPr>
              <w:t>(5) Pri určení výšky pokuty sa prihliada najmä na charakter protiprávneho konania, závažnosť porušenia povinnosti, spôsob a následky porušenia povinnosti.</w:t>
            </w:r>
          </w:p>
          <w:p w:rsidR="00FE3637" w:rsidRPr="008953EB" w:rsidP="00FE3637">
            <w:pPr>
              <w:pStyle w:val="BodyText2"/>
              <w:bidi w:val="0"/>
              <w:spacing w:after="0" w:line="240" w:lineRule="exact"/>
              <w:jc w:val="both"/>
              <w:rPr>
                <w:rFonts w:ascii="Times New Roman" w:hAnsi="Times New Roman"/>
                <w:bCs/>
                <w:sz w:val="22"/>
                <w:szCs w:val="22"/>
              </w:rPr>
            </w:pPr>
            <w:bookmarkStart w:id="3" w:name="p24-6"/>
            <w:bookmarkEnd w:id="3"/>
            <w:r w:rsidRPr="008953EB">
              <w:rPr>
                <w:rFonts w:ascii="Times New Roman" w:hAnsi="Times New Roman"/>
                <w:bCs/>
                <w:sz w:val="22"/>
                <w:szCs w:val="22"/>
              </w:rPr>
              <w:t>(6) Výnosy pokút uložených podľa odsekov 1 až 3 sú príjmom štátneho rozpočtu.</w:t>
            </w:r>
          </w:p>
          <w:p w:rsidR="00FE3637" w:rsidRPr="008953EB" w:rsidP="00FE3637">
            <w:pPr>
              <w:pStyle w:val="BodyText2"/>
              <w:bidi w:val="0"/>
              <w:spacing w:after="0" w:line="240" w:lineRule="exact"/>
              <w:jc w:val="both"/>
              <w:rPr>
                <w:rFonts w:ascii="Times New Roman" w:hAnsi="Times New Roman"/>
                <w:bCs/>
                <w:sz w:val="22"/>
                <w:szCs w:val="22"/>
              </w:rPr>
            </w:pPr>
            <w:bookmarkStart w:id="4" w:name="p24-7"/>
            <w:bookmarkEnd w:id="4"/>
            <w:r w:rsidRPr="008953EB">
              <w:rPr>
                <w:rFonts w:ascii="Times New Roman" w:hAnsi="Times New Roman"/>
                <w:bCs/>
                <w:sz w:val="22"/>
                <w:szCs w:val="22"/>
              </w:rPr>
              <w:t>(7)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štyroch rokov odo dňa, keď k porušeniu povinnosti došlo.</w:t>
            </w:r>
          </w:p>
          <w:p w:rsidR="00FE3637" w:rsidRPr="008953EB" w:rsidP="00FE3637">
            <w:pPr>
              <w:pStyle w:val="BodyText2"/>
              <w:bidi w:val="0"/>
              <w:spacing w:after="0" w:line="240" w:lineRule="exact"/>
              <w:jc w:val="both"/>
              <w:rPr>
                <w:rFonts w:ascii="Times New Roman" w:hAnsi="Times New Roman"/>
                <w:bCs/>
                <w:sz w:val="22"/>
                <w:szCs w:val="22"/>
              </w:rPr>
            </w:pPr>
            <w:bookmarkStart w:id="5" w:name="p24-8"/>
            <w:bookmarkEnd w:id="5"/>
            <w:r w:rsidRPr="008953EB">
              <w:rPr>
                <w:rFonts w:ascii="Times New Roman" w:hAnsi="Times New Roman"/>
                <w:bCs/>
                <w:sz w:val="22"/>
                <w:szCs w:val="22"/>
              </w:rPr>
              <w:t>(8) Opakované marenie, rušenie alebo sťažovanie výkonu dozoru podľa odseku 3 sa považuje za závažné porušenie povinnosti.</w:t>
            </w:r>
            <w:hyperlink r:id="rId4" w:anchor="f7290260" w:history="1">
              <w:r w:rsidRPr="008953EB">
                <w:rPr>
                  <w:rStyle w:val="Hyperlink"/>
                  <w:rFonts w:ascii="Times New Roman" w:hAnsi="Times New Roman"/>
                  <w:bCs/>
                  <w:color w:val="auto"/>
                  <w:sz w:val="22"/>
                  <w:szCs w:val="22"/>
                  <w:u w:val="none"/>
                  <w:effect w:val="none"/>
                  <w:vertAlign w:val="superscript"/>
                </w:rPr>
                <w:t>28a</w:t>
              </w:r>
              <w:r w:rsidRPr="008953EB">
                <w:rPr>
                  <w:rStyle w:val="Hyperlink"/>
                  <w:rFonts w:ascii="Times New Roman" w:hAnsi="Times New Roman"/>
                  <w:bCs/>
                  <w:color w:val="auto"/>
                  <w:sz w:val="22"/>
                  <w:szCs w:val="22"/>
                  <w:u w:val="none"/>
                  <w:effect w:val="none"/>
                </w:rPr>
                <w:t>)</w:t>
              </w:r>
            </w:hyperlink>
          </w:p>
          <w:p w:rsidR="00FE3637" w:rsidRPr="00FE3637" w:rsidP="00FE3637">
            <w:pPr>
              <w:pStyle w:val="BodyText2"/>
              <w:bidi w:val="0"/>
              <w:spacing w:after="0" w:line="240" w:lineRule="exact"/>
              <w:jc w:val="both"/>
              <w:rPr>
                <w:rFonts w:ascii="Times New Roman" w:hAnsi="Times New Roman"/>
                <w:bCs/>
                <w:sz w:val="22"/>
                <w:szCs w:val="22"/>
              </w:rPr>
            </w:pPr>
          </w:p>
          <w:p w:rsidR="00A47D2B" w:rsidRPr="00FE3637">
            <w:pPr>
              <w:pStyle w:val="BodyText2"/>
              <w:bidi w:val="0"/>
              <w:spacing w:after="0" w:line="240" w:lineRule="exact"/>
              <w:jc w:val="left"/>
              <w:rPr>
                <w:rFonts w:ascii="Times New Roman" w:hAnsi="Times New Roman"/>
                <w:sz w:val="22"/>
                <w:szCs w:val="22"/>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47D2B" w:rsidRPr="009224D0">
            <w:pPr>
              <w:bidi w:val="0"/>
              <w:spacing w:after="0" w:line="240" w:lineRule="auto"/>
              <w:jc w:val="center"/>
              <w:rPr>
                <w:rFonts w:ascii="Times New Roman" w:hAnsi="Times New Roman"/>
                <w:sz w:val="20"/>
                <w:szCs w:val="20"/>
              </w:rPr>
            </w:pPr>
            <w:r w:rsidR="00E447C8">
              <w:rPr>
                <w:rFonts w:ascii="Times New Roman" w:hAnsi="Times New Roman"/>
                <w:sz w:val="20"/>
                <w:szCs w:val="20"/>
              </w:rPr>
              <w:t>Ú</w:t>
            </w:r>
          </w:p>
        </w:tc>
        <w:tc>
          <w:tcPr>
            <w:tcW w:w="1620" w:type="dxa"/>
            <w:tcBorders>
              <w:top w:val="single" w:sz="4" w:space="0" w:color="auto"/>
              <w:left w:val="single" w:sz="4" w:space="0" w:color="auto"/>
              <w:bottom w:val="single" w:sz="4" w:space="0" w:color="auto"/>
              <w:right w:val="single" w:sz="12" w:space="0" w:color="auto"/>
            </w:tcBorders>
            <w:textDirection w:val="lrTb"/>
            <w:vAlign w:val="top"/>
          </w:tcPr>
          <w:p w:rsidR="00A47D2B" w:rsidRPr="009224D0">
            <w:pPr>
              <w:pStyle w:val="Heading1"/>
              <w:bidi w:val="0"/>
              <w:spacing w:after="0" w:line="240" w:lineRule="auto"/>
              <w:rPr>
                <w:rFonts w:ascii="Times New Roman" w:hAnsi="Times New Roman"/>
                <w:b w:val="0"/>
                <w:bCs w:val="0"/>
                <w:sz w:val="20"/>
                <w:szCs w:val="20"/>
              </w:rPr>
            </w:pPr>
          </w:p>
        </w:tc>
      </w:tr>
    </w:tbl>
    <w:p w:rsidR="008C54C3" w:rsidRPr="009224D0">
      <w:pPr>
        <w:autoSpaceDE/>
        <w:autoSpaceDN/>
        <w:bidi w:val="0"/>
        <w:ind w:left="360"/>
        <w:rPr>
          <w:rFonts w:ascii="Times New Roman" w:hAnsi="Times New Roman"/>
          <w:sz w:val="20"/>
          <w:szCs w:val="20"/>
        </w:rPr>
      </w:pPr>
    </w:p>
    <w:p w:rsidR="008C54C3" w:rsidRPr="009224D0" w:rsidP="00961B6E">
      <w:pPr>
        <w:autoSpaceDE/>
        <w:autoSpaceDN/>
        <w:bidi w:val="0"/>
        <w:ind w:hanging="426"/>
        <w:rPr>
          <w:rFonts w:ascii="Times New Roman" w:hAnsi="Times New Roman"/>
          <w:sz w:val="20"/>
          <w:szCs w:val="20"/>
        </w:rPr>
      </w:pPr>
      <w:r w:rsidRPr="009224D0">
        <w:rPr>
          <w:rFonts w:ascii="Times New Roman" w:hAnsi="Times New Roman"/>
          <w:sz w:val="20"/>
          <w:szCs w:val="20"/>
        </w:rPr>
        <w:t>LEGENDA:</w:t>
      </w:r>
    </w:p>
    <w:tbl>
      <w:tblPr>
        <w:tblStyle w:val="TableGrid"/>
        <w:tblW w:w="1587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269"/>
        <w:gridCol w:w="4111"/>
        <w:gridCol w:w="2268"/>
        <w:gridCol w:w="7229"/>
      </w:tblGrid>
      <w:tr>
        <w:tblPrEx>
          <w:tblW w:w="1587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9" w:type="dxa"/>
            <w:tcBorders>
              <w:top w:val="none" w:sz="0" w:space="0" w:color="auto"/>
              <w:left w:val="none" w:sz="0" w:space="0" w:color="auto"/>
              <w:bottom w:val="none" w:sz="0" w:space="0" w:color="auto"/>
              <w:right w:val="none" w:sz="0" w:space="0" w:color="auto"/>
            </w:tcBorders>
            <w:textDirection w:val="lrTb"/>
            <w:vAlign w:val="top"/>
          </w:tcPr>
          <w:p w:rsidR="008C54C3" w:rsidRPr="009224D0">
            <w:pPr>
              <w:pStyle w:val="Normlny"/>
              <w:autoSpaceDE/>
              <w:autoSpaceDN/>
              <w:bidi w:val="0"/>
              <w:spacing w:after="60"/>
              <w:rPr>
                <w:rFonts w:ascii="Times New Roman" w:hAnsi="Times New Roman"/>
                <w:lang w:eastAsia="sk-SK"/>
              </w:rPr>
            </w:pPr>
            <w:r w:rsidRPr="009224D0">
              <w:rPr>
                <w:rFonts w:ascii="Times New Roman" w:hAnsi="Times New Roman"/>
                <w:lang w:eastAsia="sk-SK"/>
              </w:rPr>
              <w:t>V stĺpci (1):</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Č – článok</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O – odsek</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V – veta</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 xml:space="preserve">P – </w:t>
            </w:r>
            <w:r w:rsidRPr="009224D0" w:rsidR="00DA0F6C">
              <w:rPr>
                <w:rFonts w:ascii="Times New Roman" w:hAnsi="Times New Roman"/>
                <w:sz w:val="20"/>
                <w:szCs w:val="20"/>
              </w:rPr>
              <w:t>číslo</w:t>
            </w:r>
            <w:r w:rsidRPr="009224D0">
              <w:rPr>
                <w:rFonts w:ascii="Times New Roman" w:hAnsi="Times New Roman"/>
                <w:sz w:val="20"/>
                <w:szCs w:val="20"/>
              </w:rPr>
              <w:t xml:space="preserve"> (</w:t>
            </w:r>
            <w:r w:rsidRPr="009224D0" w:rsidR="00DA0F6C">
              <w:rPr>
                <w:rFonts w:ascii="Times New Roman" w:hAnsi="Times New Roman"/>
                <w:sz w:val="20"/>
                <w:szCs w:val="20"/>
              </w:rPr>
              <w:t>písmeno</w:t>
            </w:r>
            <w:r w:rsidRPr="009224D0">
              <w:rPr>
                <w:rFonts w:ascii="Times New Roman" w:hAnsi="Times New Roman"/>
                <w:sz w:val="20"/>
                <w:szCs w:val="20"/>
              </w:rPr>
              <w:t>)</w:t>
            </w:r>
          </w:p>
          <w:p w:rsidR="008C54C3" w:rsidRPr="009224D0">
            <w:pPr>
              <w:autoSpaceDE/>
              <w:autoSpaceDN/>
              <w:bidi w:val="0"/>
              <w:rPr>
                <w:rFonts w:ascii="Times New Roman" w:hAnsi="Times New Roman"/>
                <w:sz w:val="20"/>
                <w:szCs w:val="20"/>
              </w:rPr>
            </w:pPr>
          </w:p>
        </w:tc>
        <w:tc>
          <w:tcPr>
            <w:tcW w:w="4111" w:type="dxa"/>
            <w:tcBorders>
              <w:top w:val="none" w:sz="0" w:space="0" w:color="auto"/>
              <w:left w:val="none" w:sz="0" w:space="0" w:color="auto"/>
              <w:bottom w:val="none" w:sz="0" w:space="0" w:color="auto"/>
              <w:right w:val="none" w:sz="0" w:space="0" w:color="auto"/>
            </w:tcBorders>
            <w:textDirection w:val="lrTb"/>
            <w:vAlign w:val="top"/>
          </w:tcPr>
          <w:p w:rsidR="008C54C3" w:rsidRPr="009224D0">
            <w:pPr>
              <w:pStyle w:val="Normlny"/>
              <w:autoSpaceDE/>
              <w:autoSpaceDN/>
              <w:bidi w:val="0"/>
              <w:spacing w:after="60"/>
              <w:rPr>
                <w:rFonts w:ascii="Times New Roman" w:hAnsi="Times New Roman"/>
                <w:lang w:eastAsia="sk-SK"/>
              </w:rPr>
            </w:pPr>
            <w:r w:rsidRPr="009224D0">
              <w:rPr>
                <w:rFonts w:ascii="Times New Roman" w:hAnsi="Times New Roman"/>
                <w:lang w:eastAsia="sk-SK"/>
              </w:rPr>
              <w:t>V stĺpci (3):</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N – bežná transpozícia</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O – transpozícia s možnosťou voľby</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D – transpozícia podľa úvahy (dobrovoľná)</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n.a. – transpozícia sa neuskutočňuje</w:t>
            </w:r>
          </w:p>
        </w:tc>
        <w:tc>
          <w:tcPr>
            <w:tcW w:w="2268" w:type="dxa"/>
            <w:tcBorders>
              <w:top w:val="none" w:sz="0" w:space="0" w:color="auto"/>
              <w:left w:val="none" w:sz="0" w:space="0" w:color="auto"/>
              <w:bottom w:val="none" w:sz="0" w:space="0" w:color="auto"/>
              <w:right w:val="none" w:sz="0" w:space="0" w:color="auto"/>
            </w:tcBorders>
            <w:textDirection w:val="lrTb"/>
            <w:vAlign w:val="top"/>
          </w:tcPr>
          <w:p w:rsidR="008C54C3" w:rsidRPr="009224D0">
            <w:pPr>
              <w:pStyle w:val="Normlny"/>
              <w:autoSpaceDE/>
              <w:autoSpaceDN/>
              <w:bidi w:val="0"/>
              <w:spacing w:after="60"/>
              <w:rPr>
                <w:rFonts w:ascii="Times New Roman" w:hAnsi="Times New Roman"/>
                <w:lang w:eastAsia="sk-SK"/>
              </w:rPr>
            </w:pPr>
            <w:r w:rsidRPr="009224D0">
              <w:rPr>
                <w:rFonts w:ascii="Times New Roman" w:hAnsi="Times New Roman"/>
                <w:lang w:eastAsia="sk-SK"/>
              </w:rPr>
              <w:t>V stĺpci (5):</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Č – článok</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 – paragraf</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O – odsek</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V – veta</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P – písmeno (číslo)</w:t>
            </w:r>
          </w:p>
        </w:tc>
        <w:tc>
          <w:tcPr>
            <w:tcW w:w="7229" w:type="dxa"/>
            <w:tcBorders>
              <w:top w:val="none" w:sz="0" w:space="0" w:color="auto"/>
              <w:left w:val="none" w:sz="0" w:space="0" w:color="auto"/>
              <w:bottom w:val="none" w:sz="0" w:space="0" w:color="auto"/>
              <w:right w:val="none" w:sz="0" w:space="0" w:color="auto"/>
            </w:tcBorders>
            <w:textDirection w:val="lrTb"/>
            <w:vAlign w:val="top"/>
          </w:tcPr>
          <w:p w:rsidR="008C54C3" w:rsidRPr="009224D0">
            <w:pPr>
              <w:pStyle w:val="Normlny"/>
              <w:autoSpaceDE/>
              <w:autoSpaceDN/>
              <w:bidi w:val="0"/>
              <w:spacing w:after="60"/>
              <w:rPr>
                <w:rFonts w:ascii="Times New Roman" w:hAnsi="Times New Roman"/>
                <w:lang w:eastAsia="sk-SK"/>
              </w:rPr>
            </w:pPr>
            <w:r w:rsidRPr="009224D0">
              <w:rPr>
                <w:rFonts w:ascii="Times New Roman" w:hAnsi="Times New Roman"/>
                <w:lang w:eastAsia="sk-SK"/>
              </w:rPr>
              <w:t>V stĺpci (7):</w:t>
            </w:r>
          </w:p>
          <w:p w:rsidR="008C54C3" w:rsidRPr="009224D0" w:rsidP="008C54C3">
            <w:pPr>
              <w:autoSpaceDE/>
              <w:autoSpaceDN/>
              <w:bidi w:val="0"/>
              <w:ind w:left="290" w:hanging="290"/>
              <w:rPr>
                <w:rFonts w:ascii="Times New Roman" w:hAnsi="Times New Roman"/>
                <w:sz w:val="20"/>
                <w:szCs w:val="20"/>
              </w:rPr>
            </w:pPr>
            <w:r w:rsidRPr="009224D0">
              <w:rPr>
                <w:rFonts w:ascii="Times New Roman" w:hAnsi="Times New Roman"/>
                <w:sz w:val="20"/>
                <w:szCs w:val="20"/>
              </w:rPr>
              <w:t>Ú – úplná zhoda (ak bolo ustanovenie smernice prebraté v celom rozsahu, správne, v príslušnej form</w:t>
            </w:r>
            <w:r w:rsidRPr="009224D0" w:rsidR="00391DC5">
              <w:rPr>
                <w:rFonts w:ascii="Times New Roman" w:hAnsi="Times New Roman"/>
                <w:sz w:val="20"/>
                <w:szCs w:val="20"/>
              </w:rPr>
              <w:t>e</w:t>
            </w:r>
            <w:r w:rsidRPr="009224D0">
              <w:rPr>
                <w:rFonts w:ascii="Times New Roman" w:hAnsi="Times New Roman"/>
                <w:sz w:val="20"/>
                <w:szCs w:val="20"/>
              </w:rPr>
              <w:t xml:space="preserve">, so zabezpečenou inštitucionálnou </w:t>
            </w:r>
            <w:r w:rsidRPr="009224D0" w:rsidR="00873DF3">
              <w:rPr>
                <w:rFonts w:ascii="Times New Roman" w:hAnsi="Times New Roman"/>
                <w:sz w:val="20"/>
                <w:szCs w:val="20"/>
              </w:rPr>
              <w:t>i</w:t>
            </w:r>
            <w:r w:rsidRPr="009224D0">
              <w:rPr>
                <w:rFonts w:ascii="Times New Roman" w:hAnsi="Times New Roman"/>
                <w:sz w:val="20"/>
                <w:szCs w:val="20"/>
              </w:rPr>
              <w:t>nfraštruktúrou, s príslušnými sankciami a vo vzájomnej súvislosti)</w:t>
            </w:r>
          </w:p>
          <w:p w:rsidR="008C54C3" w:rsidRPr="009224D0">
            <w:pPr>
              <w:autoSpaceDE/>
              <w:autoSpaceDN/>
              <w:bidi w:val="0"/>
              <w:rPr>
                <w:rFonts w:ascii="Times New Roman" w:hAnsi="Times New Roman"/>
                <w:sz w:val="20"/>
                <w:szCs w:val="20"/>
              </w:rPr>
            </w:pPr>
            <w:r w:rsidRPr="009224D0">
              <w:rPr>
                <w:rFonts w:ascii="Times New Roman" w:hAnsi="Times New Roman"/>
                <w:sz w:val="20"/>
                <w:szCs w:val="20"/>
              </w:rPr>
              <w:t>Č – čiastočná zhoda (ak minimálne jedna z podmienok úplnej zhody nie je splnená)</w:t>
            </w:r>
          </w:p>
          <w:p w:rsidR="008C54C3" w:rsidRPr="009224D0">
            <w:pPr>
              <w:pStyle w:val="BodyTextIndent2"/>
              <w:bidi w:val="0"/>
              <w:rPr>
                <w:rFonts w:ascii="Times New Roman" w:hAnsi="Times New Roman"/>
              </w:rPr>
            </w:pPr>
            <w:r w:rsidRPr="009224D0">
              <w:rPr>
                <w:rFonts w:ascii="Times New Roman" w:hAnsi="Times New Roman"/>
              </w:rPr>
              <w:t>Ž – žiadna zhoda (ak nebola dosiahnutá ani úplná ani čiast</w:t>
            </w:r>
            <w:r w:rsidRPr="009224D0" w:rsidR="00873DF3">
              <w:rPr>
                <w:rFonts w:ascii="Times New Roman" w:hAnsi="Times New Roman"/>
              </w:rPr>
              <w:t>očná</w:t>
            </w:r>
            <w:r w:rsidRPr="009224D0">
              <w:rPr>
                <w:rFonts w:ascii="Times New Roman" w:hAnsi="Times New Roman"/>
              </w:rPr>
              <w:t xml:space="preserve"> zhoda alebo k prebratiu dôjde v budúcnosti)</w:t>
            </w:r>
          </w:p>
          <w:p w:rsidR="008C54C3" w:rsidRPr="009224D0">
            <w:pPr>
              <w:autoSpaceDE/>
              <w:autoSpaceDN/>
              <w:bidi w:val="0"/>
              <w:ind w:left="290" w:hanging="290"/>
              <w:rPr>
                <w:rFonts w:ascii="Times New Roman" w:hAnsi="Times New Roman"/>
                <w:sz w:val="20"/>
                <w:szCs w:val="20"/>
              </w:rPr>
            </w:pPr>
            <w:r w:rsidRPr="009224D0">
              <w:rPr>
                <w:rFonts w:ascii="Times New Roman" w:hAnsi="Times New Roman"/>
                <w:sz w:val="20"/>
                <w:szCs w:val="20"/>
              </w:rPr>
              <w:t>n.a. – neaplikovateľnosť (ak sa ustanovenie smernice netýka SR alebo nie je potrebné ho prebrať)</w:t>
            </w:r>
          </w:p>
        </w:tc>
      </w:tr>
    </w:tbl>
    <w:p w:rsidR="008C54C3" w:rsidRPr="009224D0">
      <w:pPr>
        <w:autoSpaceDE/>
        <w:autoSpaceDN/>
        <w:bidi w:val="0"/>
        <w:rPr>
          <w:rFonts w:ascii="Times New Roman" w:hAnsi="Times New Roman"/>
          <w:sz w:val="20"/>
          <w:szCs w:val="20"/>
        </w:rPr>
      </w:pPr>
    </w:p>
    <w:p w:rsidR="008C54C3" w:rsidRPr="009224D0">
      <w:pPr>
        <w:autoSpaceDE/>
        <w:autoSpaceDN/>
        <w:bidi w:val="0"/>
        <w:rPr>
          <w:rFonts w:ascii="Times New Roman" w:hAnsi="Times New Roman"/>
          <w:sz w:val="20"/>
          <w:szCs w:val="20"/>
        </w:rPr>
      </w:pPr>
    </w:p>
    <w:tbl>
      <w:tblPr>
        <w:tblStyle w:val="TableNormal"/>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006"/>
        <w:gridCol w:w="14834"/>
      </w:tblGrid>
      <w:tr>
        <w:tblPrEx>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5840" w:type="dxa"/>
            <w:gridSpan w:val="2"/>
            <w:tcBorders>
              <w:top w:val="single" w:sz="12" w:space="0" w:color="auto"/>
              <w:left w:val="single" w:sz="12" w:space="0" w:color="auto"/>
              <w:bottom w:val="single" w:sz="4" w:space="0" w:color="auto"/>
              <w:right w:val="single" w:sz="12" w:space="0" w:color="auto"/>
            </w:tcBorders>
            <w:textDirection w:val="lrTb"/>
            <w:vAlign w:val="top"/>
          </w:tcPr>
          <w:p w:rsidR="008C54C3" w:rsidRPr="009224D0">
            <w:pPr>
              <w:pStyle w:val="Heading2"/>
              <w:bidi w:val="0"/>
              <w:spacing w:after="0" w:line="240" w:lineRule="auto"/>
              <w:rPr>
                <w:rFonts w:ascii="Times New Roman" w:hAnsi="Times New Roman"/>
              </w:rPr>
            </w:pPr>
            <w:r w:rsidRPr="009224D0">
              <w:rPr>
                <w:rFonts w:ascii="Times New Roman" w:hAnsi="Times New Roman"/>
              </w:rPr>
              <w:t xml:space="preserve">Zoznam všeobecne záväzných právnych predpisov preberajúcich smernicu </w:t>
            </w:r>
            <w:r w:rsidRPr="009224D0" w:rsidR="007D1FAD">
              <w:rPr>
                <w:rFonts w:ascii="Times New Roman" w:hAnsi="Times New Roman"/>
              </w:rPr>
              <w:t>20</w:t>
            </w:r>
            <w:r w:rsidR="00FE3637">
              <w:rPr>
                <w:rFonts w:ascii="Times New Roman" w:hAnsi="Times New Roman"/>
              </w:rPr>
              <w:t>05</w:t>
            </w:r>
            <w:r w:rsidRPr="009224D0" w:rsidR="007D1FAD">
              <w:rPr>
                <w:rFonts w:ascii="Times New Roman" w:hAnsi="Times New Roman"/>
              </w:rPr>
              <w:t>/</w:t>
            </w:r>
            <w:r w:rsidR="00FE3637">
              <w:rPr>
                <w:rFonts w:ascii="Times New Roman" w:hAnsi="Times New Roman"/>
              </w:rPr>
              <w:t>29</w:t>
            </w:r>
            <w:r w:rsidRPr="009224D0" w:rsidR="007D1FAD">
              <w:rPr>
                <w:rFonts w:ascii="Times New Roman" w:hAnsi="Times New Roman"/>
              </w:rPr>
              <w:t>/E</w:t>
            </w:r>
            <w:r w:rsidR="00FE3637">
              <w:rPr>
                <w:rFonts w:ascii="Times New Roman" w:hAnsi="Times New Roman"/>
              </w:rPr>
              <w:t>S</w:t>
            </w:r>
            <w:r w:rsidRPr="009224D0" w:rsidR="007D1FAD">
              <w:rPr>
                <w:rFonts w:ascii="Times New Roman" w:hAnsi="Times New Roman"/>
              </w:rPr>
              <w:t xml:space="preserve"> </w:t>
            </w:r>
          </w:p>
          <w:p w:rsidR="008C54C3" w:rsidRPr="009224D0">
            <w:pPr>
              <w:bidi w:val="0"/>
              <w:spacing w:after="0" w:line="240" w:lineRule="auto"/>
              <w:jc w:val="center"/>
              <w:rPr>
                <w:rFonts w:ascii="Times New Roman" w:hAnsi="Times New Roman"/>
                <w:sz w:val="20"/>
                <w:szCs w:val="20"/>
              </w:rPr>
            </w:pP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8C54C3" w:rsidRPr="009224D0">
            <w:pPr>
              <w:bidi w:val="0"/>
              <w:spacing w:after="120" w:line="240" w:lineRule="auto"/>
              <w:jc w:val="center"/>
              <w:rPr>
                <w:rFonts w:ascii="Times New Roman" w:hAnsi="Times New Roman"/>
                <w:sz w:val="20"/>
                <w:szCs w:val="20"/>
              </w:rPr>
            </w:pPr>
            <w:r w:rsidRPr="009224D0">
              <w:rPr>
                <w:rFonts w:ascii="Times New Roman" w:hAnsi="Times New Roman"/>
                <w:sz w:val="20"/>
                <w:szCs w:val="20"/>
              </w:rPr>
              <w:t>Por. č.</w:t>
            </w:r>
          </w:p>
        </w:tc>
        <w:tc>
          <w:tcPr>
            <w:tcW w:w="14834" w:type="dxa"/>
            <w:tcBorders>
              <w:top w:val="single" w:sz="4" w:space="0" w:color="auto"/>
              <w:left w:val="single" w:sz="4" w:space="0" w:color="auto"/>
              <w:bottom w:val="single" w:sz="4" w:space="0" w:color="auto"/>
              <w:right w:val="single" w:sz="12" w:space="0" w:color="auto"/>
            </w:tcBorders>
            <w:textDirection w:val="lrTb"/>
            <w:vAlign w:val="top"/>
          </w:tcPr>
          <w:p w:rsidR="008C54C3" w:rsidRPr="009224D0">
            <w:pPr>
              <w:pStyle w:val="Normlny"/>
              <w:bidi w:val="0"/>
              <w:spacing w:after="0" w:line="240" w:lineRule="auto"/>
              <w:rPr>
                <w:rFonts w:ascii="Times New Roman" w:hAnsi="Times New Roman"/>
                <w:lang w:eastAsia="sk-SK"/>
              </w:rPr>
            </w:pPr>
            <w:r w:rsidRPr="009224D0">
              <w:rPr>
                <w:rFonts w:ascii="Times New Roman" w:hAnsi="Times New Roman"/>
                <w:lang w:eastAsia="sk-SK"/>
              </w:rPr>
              <w:t>Názov predpisu</w:t>
            </w:r>
          </w:p>
        </w:tc>
      </w:tr>
      <w:tr>
        <w:tblPrEx>
          <w:tblW w:w="15840" w:type="dxa"/>
          <w:tblInd w:w="-317" w:type="dxa"/>
          <w:tblLayout w:type="fixed"/>
          <w:tblCellMar>
            <w:left w:w="43" w:type="dxa"/>
            <w:right w:w="43" w:type="dxa"/>
          </w:tblCellMar>
        </w:tblPrEx>
        <w:trPr>
          <w:cantSplit/>
        </w:trPr>
        <w:tc>
          <w:tcPr>
            <w:tcW w:w="1006" w:type="dxa"/>
            <w:tcBorders>
              <w:top w:val="single" w:sz="4" w:space="0" w:color="auto"/>
              <w:left w:val="single" w:sz="12" w:space="0" w:color="auto"/>
              <w:bottom w:val="single" w:sz="12" w:space="0" w:color="auto"/>
              <w:right w:val="single" w:sz="4" w:space="0" w:color="auto"/>
            </w:tcBorders>
            <w:textDirection w:val="lrTb"/>
            <w:vAlign w:val="top"/>
          </w:tcPr>
          <w:p w:rsidR="009E686C" w:rsidRPr="009224D0" w:rsidP="00FE3637">
            <w:pPr>
              <w:bidi w:val="0"/>
              <w:spacing w:after="0" w:line="240" w:lineRule="auto"/>
              <w:jc w:val="center"/>
              <w:rPr>
                <w:rFonts w:ascii="Times New Roman" w:hAnsi="Times New Roman"/>
                <w:sz w:val="20"/>
                <w:szCs w:val="20"/>
              </w:rPr>
            </w:pPr>
            <w:r>
              <w:rPr>
                <w:rFonts w:ascii="Times New Roman" w:hAnsi="Times New Roman"/>
                <w:sz w:val="20"/>
                <w:szCs w:val="20"/>
              </w:rPr>
              <w:t>1.</w:t>
            </w:r>
          </w:p>
        </w:tc>
        <w:tc>
          <w:tcPr>
            <w:tcW w:w="14834" w:type="dxa"/>
            <w:tcBorders>
              <w:top w:val="single" w:sz="4" w:space="0" w:color="auto"/>
              <w:left w:val="single" w:sz="4" w:space="0" w:color="auto"/>
              <w:bottom w:val="single" w:sz="12" w:space="0" w:color="auto"/>
              <w:right w:val="single" w:sz="12" w:space="0" w:color="auto"/>
            </w:tcBorders>
            <w:textDirection w:val="lrTb"/>
            <w:vAlign w:val="top"/>
          </w:tcPr>
          <w:p w:rsidR="000D6155" w:rsidRPr="00FE3637" w:rsidP="00545F7B">
            <w:pPr>
              <w:pStyle w:val="abc"/>
              <w:bidi w:val="0"/>
              <w:spacing w:after="0" w:line="240" w:lineRule="auto"/>
              <w:rPr>
                <w:rFonts w:ascii="Times New Roman" w:hAnsi="Times New Roman"/>
                <w:bCs/>
              </w:rPr>
            </w:pPr>
            <w:r w:rsidRPr="009224D0" w:rsidR="009224D0">
              <w:rPr>
                <w:rFonts w:ascii="Times New Roman" w:hAnsi="Times New Roman"/>
                <w:bCs/>
              </w:rPr>
              <w:t>Zákon č. 250/2007 Z. z. o ochrane spotrebiteľa a o zmene zákona Slovenskej národnej rady č. 372/1990 Zb. o priestupkoch v znení neskorších predpisov</w:t>
            </w:r>
            <w:r w:rsidR="008E767B">
              <w:rPr>
                <w:rFonts w:ascii="Times New Roman" w:hAnsi="Times New Roman"/>
                <w:bCs/>
              </w:rPr>
              <w:t xml:space="preserve"> </w:t>
            </w:r>
            <w:r w:rsidRPr="009224D0" w:rsidR="008E767B">
              <w:rPr>
                <w:rFonts w:ascii="Times New Roman" w:hAnsi="Times New Roman"/>
                <w:bCs/>
              </w:rPr>
              <w:t>v znení neskorších predpisov</w:t>
            </w:r>
            <w:r w:rsidR="009224D0">
              <w:rPr>
                <w:rFonts w:ascii="Times New Roman" w:hAnsi="Times New Roman"/>
                <w:bCs/>
              </w:rPr>
              <w:t>,</w:t>
            </w:r>
          </w:p>
        </w:tc>
      </w:tr>
    </w:tbl>
    <w:p w:rsidR="008C54C3" w:rsidRPr="009224D0">
      <w:pPr>
        <w:pStyle w:val="Header"/>
        <w:tabs>
          <w:tab w:val="clear" w:pos="4536"/>
          <w:tab w:val="clear" w:pos="9072"/>
        </w:tabs>
        <w:autoSpaceDE/>
        <w:autoSpaceDN/>
        <w:bidi w:val="0"/>
        <w:rPr>
          <w:rFonts w:ascii="Times New Roman" w:hAnsi="Times New Roman"/>
          <w:sz w:val="20"/>
          <w:szCs w:val="20"/>
        </w:rPr>
      </w:pPr>
    </w:p>
    <w:sectPr w:rsidSect="00961B6E">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MS Mincho"/>
    <w:panose1 w:val="00000000000000000000"/>
    <w:charset w:val="80"/>
    <w:family w:val="auto"/>
    <w:pitch w:val="default"/>
    <w:sig w:usb0="00000000" w:usb1="00000000" w:usb2="00000000" w:usb3="00000000" w:csb0="00020000" w:csb1="00000000"/>
  </w:font>
  <w:font w:name="EUAlbertina-Bold-Identity-H">
    <w:altName w:val="MS Mincho"/>
    <w:panose1 w:val="00000000000000000000"/>
    <w:charset w:val="80"/>
    <w:family w:val="auto"/>
    <w:pitch w:val="default"/>
    <w:sig w:usb0="00000000" w:usb1="00000000" w:usb2="00000000" w:usb3="00000000" w:csb0="00020000" w:csb1="00000000"/>
  </w:font>
  <w:font w:name="EUAlbertina-Italic-Identity-H">
    <w:altName w:val="MS Mincho"/>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EUAlbertina-Italic-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8E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36722">
      <w:rPr>
        <w:rStyle w:val="PageNumber"/>
        <w:rFonts w:ascii="Times New Roman" w:hAnsi="Times New Roman"/>
        <w:noProof/>
      </w:rPr>
      <w:t>1</w:t>
    </w:r>
    <w:r>
      <w:rPr>
        <w:rStyle w:val="PageNumber"/>
        <w:rFonts w:ascii="Times New Roman" w:hAnsi="Times New Roman"/>
      </w:rPr>
      <w:fldChar w:fldCharType="end"/>
    </w:r>
  </w:p>
  <w:p w:rsidR="002F28E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386F"/>
    <w:rsid w:val="000262BE"/>
    <w:rsid w:val="00050F3E"/>
    <w:rsid w:val="000671B8"/>
    <w:rsid w:val="000A58F0"/>
    <w:rsid w:val="000B550F"/>
    <w:rsid w:val="000D128F"/>
    <w:rsid w:val="000D42BF"/>
    <w:rsid w:val="000D6155"/>
    <w:rsid w:val="000F012D"/>
    <w:rsid w:val="000F5ACC"/>
    <w:rsid w:val="00106800"/>
    <w:rsid w:val="00162950"/>
    <w:rsid w:val="001A2A8D"/>
    <w:rsid w:val="001B3407"/>
    <w:rsid w:val="002108D4"/>
    <w:rsid w:val="002144B9"/>
    <w:rsid w:val="00253385"/>
    <w:rsid w:val="00254BE2"/>
    <w:rsid w:val="0026018E"/>
    <w:rsid w:val="0027273E"/>
    <w:rsid w:val="002B2733"/>
    <w:rsid w:val="002E693B"/>
    <w:rsid w:val="002F28E6"/>
    <w:rsid w:val="00324D3D"/>
    <w:rsid w:val="00326CF3"/>
    <w:rsid w:val="00344C11"/>
    <w:rsid w:val="003536F2"/>
    <w:rsid w:val="00355B61"/>
    <w:rsid w:val="0037371F"/>
    <w:rsid w:val="00391DC5"/>
    <w:rsid w:val="003D6931"/>
    <w:rsid w:val="003E6E73"/>
    <w:rsid w:val="003F7F45"/>
    <w:rsid w:val="00414331"/>
    <w:rsid w:val="0044319A"/>
    <w:rsid w:val="00451A1D"/>
    <w:rsid w:val="0046242F"/>
    <w:rsid w:val="0048476E"/>
    <w:rsid w:val="004D3558"/>
    <w:rsid w:val="00503B5B"/>
    <w:rsid w:val="00504FDF"/>
    <w:rsid w:val="005170A9"/>
    <w:rsid w:val="0052525B"/>
    <w:rsid w:val="00545F7B"/>
    <w:rsid w:val="005539C1"/>
    <w:rsid w:val="0055534B"/>
    <w:rsid w:val="00555D02"/>
    <w:rsid w:val="00566703"/>
    <w:rsid w:val="005A005E"/>
    <w:rsid w:val="005F4E99"/>
    <w:rsid w:val="005F564D"/>
    <w:rsid w:val="006000BD"/>
    <w:rsid w:val="00604B13"/>
    <w:rsid w:val="0061245F"/>
    <w:rsid w:val="00615B90"/>
    <w:rsid w:val="00670229"/>
    <w:rsid w:val="00680BEE"/>
    <w:rsid w:val="006A47E3"/>
    <w:rsid w:val="00731A45"/>
    <w:rsid w:val="00766000"/>
    <w:rsid w:val="00782B72"/>
    <w:rsid w:val="0078408B"/>
    <w:rsid w:val="007C0B9D"/>
    <w:rsid w:val="007D1FAD"/>
    <w:rsid w:val="007E1205"/>
    <w:rsid w:val="008152F9"/>
    <w:rsid w:val="00823E68"/>
    <w:rsid w:val="008676AA"/>
    <w:rsid w:val="00873DF3"/>
    <w:rsid w:val="0087667B"/>
    <w:rsid w:val="008951DB"/>
    <w:rsid w:val="008953EB"/>
    <w:rsid w:val="008C54C3"/>
    <w:rsid w:val="008D24E9"/>
    <w:rsid w:val="008D53FB"/>
    <w:rsid w:val="008E767B"/>
    <w:rsid w:val="00911CF5"/>
    <w:rsid w:val="009224D0"/>
    <w:rsid w:val="0092347F"/>
    <w:rsid w:val="00933B47"/>
    <w:rsid w:val="00933FAE"/>
    <w:rsid w:val="00961B6E"/>
    <w:rsid w:val="009B2E65"/>
    <w:rsid w:val="009C72B6"/>
    <w:rsid w:val="009E686C"/>
    <w:rsid w:val="009F2EB9"/>
    <w:rsid w:val="00A045C3"/>
    <w:rsid w:val="00A20B8B"/>
    <w:rsid w:val="00A46370"/>
    <w:rsid w:val="00A47D2B"/>
    <w:rsid w:val="00A67F19"/>
    <w:rsid w:val="00A9063F"/>
    <w:rsid w:val="00AE1A81"/>
    <w:rsid w:val="00AF48B7"/>
    <w:rsid w:val="00B01A62"/>
    <w:rsid w:val="00B215C5"/>
    <w:rsid w:val="00B30A89"/>
    <w:rsid w:val="00B36722"/>
    <w:rsid w:val="00B61661"/>
    <w:rsid w:val="00B66E5D"/>
    <w:rsid w:val="00B708E6"/>
    <w:rsid w:val="00B71293"/>
    <w:rsid w:val="00B81EE7"/>
    <w:rsid w:val="00B97F78"/>
    <w:rsid w:val="00BA49E7"/>
    <w:rsid w:val="00BD45F5"/>
    <w:rsid w:val="00C04312"/>
    <w:rsid w:val="00C519F5"/>
    <w:rsid w:val="00C7034B"/>
    <w:rsid w:val="00C771D0"/>
    <w:rsid w:val="00C93B26"/>
    <w:rsid w:val="00C96D14"/>
    <w:rsid w:val="00CB0725"/>
    <w:rsid w:val="00CC5EA7"/>
    <w:rsid w:val="00CF05BF"/>
    <w:rsid w:val="00D011ED"/>
    <w:rsid w:val="00D31C18"/>
    <w:rsid w:val="00D3700B"/>
    <w:rsid w:val="00D65FCC"/>
    <w:rsid w:val="00D705C2"/>
    <w:rsid w:val="00D803E7"/>
    <w:rsid w:val="00DA0F6C"/>
    <w:rsid w:val="00DA779D"/>
    <w:rsid w:val="00DC7345"/>
    <w:rsid w:val="00DD03CA"/>
    <w:rsid w:val="00DE4455"/>
    <w:rsid w:val="00E447C8"/>
    <w:rsid w:val="00E648FE"/>
    <w:rsid w:val="00E676B9"/>
    <w:rsid w:val="00E93F55"/>
    <w:rsid w:val="00EA1DD3"/>
    <w:rsid w:val="00EA507B"/>
    <w:rsid w:val="00F3425C"/>
    <w:rsid w:val="00F42650"/>
    <w:rsid w:val="00F45BE1"/>
    <w:rsid w:val="00F926D4"/>
    <w:rsid w:val="00F94ADA"/>
    <w:rsid w:val="00FA5C49"/>
    <w:rsid w:val="00FB511B"/>
    <w:rsid w:val="00FE3637"/>
    <w:rsid w:val="00FE540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
    <w:semiHidden/>
    <w:unhideWhenUsed/>
    <w:qFormat/>
    <w:rsid w:val="008D24E9"/>
    <w:pPr>
      <w:keepNext/>
      <w:spacing w:before="240" w:after="60"/>
      <w:jc w:val="left"/>
      <w:outlineLvl w:val="2"/>
    </w:pPr>
    <w:rPr>
      <w:rFonts w:asciiTheme="majorHAnsi" w:eastAsiaTheme="majorEastAsia" w:hAnsiTheme="majorHAnsi"/>
      <w:b/>
      <w:bCs/>
      <w:sz w:val="26"/>
      <w:szCs w:val="26"/>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sid w:val="008D24E9"/>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table" w:styleId="TableGrid">
    <w:name w:val="Table Grid"/>
    <w:basedOn w:val="TableNormal"/>
    <w:uiPriority w:val="59"/>
    <w:rsid w:val="0096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5B90"/>
    <w:rPr>
      <w:rFonts w:cs="Times New Roman"/>
      <w:b/>
      <w:rtl w:val="0"/>
      <w:cs w:val="0"/>
    </w:rPr>
  </w:style>
  <w:style w:type="character" w:styleId="Hyperlink">
    <w:name w:val="Hyperlink"/>
    <w:basedOn w:val="DefaultParagraphFont"/>
    <w:uiPriority w:val="99"/>
    <w:unhideWhenUsed/>
    <w:rsid w:val="00CC5EA7"/>
    <w:rPr>
      <w:rFonts w:cs="Times New Roman"/>
      <w:color w:val="05507A"/>
      <w:u w:val="none"/>
      <w:effect w:val="none"/>
      <w:rtl w:val="0"/>
      <w:cs w:val="0"/>
    </w:rPr>
  </w:style>
  <w:style w:type="character" w:customStyle="1" w:styleId="num1">
    <w:name w:val="num1"/>
    <w:rsid w:val="00CC5EA7"/>
    <w:rPr>
      <w:b/>
      <w:color w:val="303030"/>
    </w:rPr>
  </w:style>
  <w:style w:type="paragraph" w:customStyle="1" w:styleId="l41">
    <w:name w:val="l41"/>
    <w:basedOn w:val="Normal"/>
    <w:rsid w:val="00DC7345"/>
    <w:pPr>
      <w:autoSpaceDE/>
      <w:autoSpaceDN/>
      <w:jc w:val="both"/>
    </w:pPr>
  </w:style>
  <w:style w:type="paragraph" w:customStyle="1" w:styleId="l51">
    <w:name w:val="l51"/>
    <w:basedOn w:val="Normal"/>
    <w:rsid w:val="00DC7345"/>
    <w:pPr>
      <w:autoSpaceDE/>
      <w:autoSpaceDN/>
      <w:jc w:val="both"/>
    </w:pPr>
  </w:style>
  <w:style w:type="paragraph" w:customStyle="1" w:styleId="l31">
    <w:name w:val="l31"/>
    <w:basedOn w:val="Normal"/>
    <w:rsid w:val="00C04312"/>
    <w:pPr>
      <w:autoSpaceDE/>
      <w:autoSpaceDN/>
      <w:jc w:val="both"/>
    </w:pPr>
  </w:style>
  <w:style w:type="paragraph" w:customStyle="1" w:styleId="l21">
    <w:name w:val="l21"/>
    <w:basedOn w:val="Normal"/>
    <w:rsid w:val="005539C1"/>
    <w:pPr>
      <w:autoSpaceDE/>
      <w:autoSpaceDN/>
      <w:jc w:val="both"/>
    </w:pPr>
  </w:style>
  <w:style w:type="paragraph" w:styleId="BalloonText">
    <w:name w:val="Balloon Text"/>
    <w:basedOn w:val="Normal"/>
    <w:link w:val="TextbublinyChar"/>
    <w:uiPriority w:val="99"/>
    <w:semiHidden/>
    <w:unhideWhenUsed/>
    <w:rsid w:val="0046242F"/>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242F"/>
    <w:rPr>
      <w:rFonts w:ascii="Tahoma" w:hAnsi="Tahoma" w:cs="Tahoma"/>
      <w:sz w:val="16"/>
      <w:szCs w:val="16"/>
      <w:rtl w:val="0"/>
      <w:cs w:val="0"/>
    </w:rPr>
  </w:style>
  <w:style w:type="character" w:customStyle="1" w:styleId="num">
    <w:name w:val="num"/>
    <w:rsid w:val="008D24E9"/>
  </w:style>
  <w:style w:type="character" w:customStyle="1" w:styleId="apple-converted-space">
    <w:name w:val="apple-converted-space"/>
    <w:rsid w:val="008D24E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onypreludi.sk/zz/2007-250"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760</Words>
  <Characters>4338</Characters>
  <Application>Microsoft Office Word</Application>
  <DocSecurity>0</DocSecurity>
  <Lines>0</Lines>
  <Paragraphs>0</Paragraphs>
  <ScaleCrop>false</ScaleCrop>
  <Company>ÚV SR</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Talapkova Denisa</cp:lastModifiedBy>
  <cp:revision>2</cp:revision>
  <cp:lastPrinted>2014-06-27T11:44:00Z</cp:lastPrinted>
  <dcterms:created xsi:type="dcterms:W3CDTF">2014-07-01T17:14:00Z</dcterms:created>
  <dcterms:modified xsi:type="dcterms:W3CDTF">2014-07-01T17:14:00Z</dcterms:modified>
</cp:coreProperties>
</file>