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2E2B1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</w:t>
      </w:r>
      <w:r w:rsidR="00ED4B79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oložka</w:t>
      </w:r>
    </w:p>
    <w:p w:rsidR="00593F1E" w:rsidRPr="002E2B1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2E2B1F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2E2B1F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E2B1F" w:rsidRPr="007E6826" w:rsidP="002E2B1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E2B1F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7E6826" w:rsidR="007E6826">
        <w:rPr>
          <w:rFonts w:ascii="Times New Roman" w:hAnsi="Times New Roman"/>
          <w:bCs/>
          <w:color w:val="000000"/>
          <w:sz w:val="24"/>
          <w:szCs w:val="24"/>
          <w:lang w:val="sk-SK"/>
        </w:rPr>
        <w:t>Návrh zákona, ktorým sa mení a dopĺňa zákon č. 250/2007 Z. z. o ochrane spotrebiteľa a o zmene zákona Slovenskej národnej rady č. 372/1990 Zb. o priestupkoch v znení neskorších predpisov v znení neskorších predpisov a o zmene a doplnení niektorých zákonov</w:t>
      </w:r>
    </w:p>
    <w:p w:rsidR="002E2B1F" w:rsidRPr="002E2B1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E2B1F" w:rsidR="00593F1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E2B1F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655D04">
        <w:rPr>
          <w:rFonts w:ascii="Times New Roman" w:hAnsi="Times New Roman"/>
          <w:color w:val="000000"/>
          <w:sz w:val="24"/>
          <w:szCs w:val="24"/>
          <w:lang w:val="sk-SK"/>
        </w:rPr>
        <w:t>bezpredmetné.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E2B1F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 w:rsid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 w:rsidR="00C0401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 w:rsidR="00C0401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 w:rsidP="006311C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311C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311C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311C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E2B1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E2B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2E2B1F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P="002E2B1F">
      <w:pPr>
        <w:widowControl/>
        <w:bidi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color w:val="000000"/>
          <w:sz w:val="24"/>
          <w:szCs w:val="24"/>
          <w:lang w:val="sk-SK"/>
        </w:rPr>
        <w:t>  </w:t>
      </w:r>
      <w:r w:rsidRPr="002E2B1F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</w:t>
      </w:r>
    </w:p>
    <w:p w:rsidR="002E2B1F" w:rsidRPr="002E2B1F" w:rsidP="002E2B1F">
      <w:pPr>
        <w:widowControl/>
        <w:bidi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2E2B1F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E2B1F" w:rsidRPr="002E2B1F" w:rsidP="002E2B1F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Nie sú navrhované.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E2B1F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E2B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E2B1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C0401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C0401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  <w:sectPr>
          <w:pgSz w:w="12240" w:h="15840"/>
          <w:pgMar w:top="1440" w:right="1440" w:bottom="1440" w:left="1440" w:header="708" w:footer="708" w:gutter="0"/>
          <w:lnNumType w:distance="0"/>
          <w:cols w:space="708"/>
          <w:bidi w:val="0"/>
        </w:sectPr>
      </w:pPr>
    </w:p>
    <w:p w:rsidR="00C0401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C04018" w:rsidRPr="00C04018" w:rsidP="00C04018">
      <w:pPr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k-SK" w:eastAsia="sk-SK"/>
        </w:rPr>
      </w:pPr>
      <w:r w:rsidRPr="00C04018">
        <w:rPr>
          <w:rFonts w:ascii="Times New Roman" w:hAnsi="Times New Roman"/>
          <w:b/>
          <w:bCs/>
          <w:sz w:val="28"/>
          <w:szCs w:val="28"/>
          <w:lang w:val="sk-SK" w:eastAsia="sk-SK"/>
        </w:rPr>
        <w:t>Vplyvy na podnikateľské prostredie</w:t>
      </w:r>
    </w:p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bCs/>
                <w:sz w:val="28"/>
                <w:szCs w:val="28"/>
                <w:lang w:val="sk-SK" w:eastAsia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3.1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. Ktoré podnikateľské subjekty budú predkladaným návrhom ovplyvnené a aký je ich počet?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04018" w:rsidP="006311C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Predkladaný návrh zákona bude mať </w:t>
            </w:r>
            <w:r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pozitívny 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>vplyv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na </w:t>
            </w:r>
            <w:r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>mnohých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p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>redajcov tovaru</w:t>
            </w:r>
            <w:r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, ktorí predávajú alebo majú záujem predávať na príležitostných trhoch alebo ambulantne, ako aj na 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organizátorov </w:t>
            </w:r>
            <w:r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príležitostných trhov. Odhad počtu </w:t>
            </w:r>
            <w:r w:rsidRPr="00970362"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na slovenskom trhu </w:t>
            </w:r>
            <w:r w:rsidR="006311C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je v tisícoch až desaťtisícoch. </w:t>
            </w:r>
          </w:p>
          <w:p w:rsidR="00B44C73" w:rsidRPr="00C04018" w:rsidP="00B44C73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Návrh môže mať negatívny vplyv na maloobchodné predajne, ktorým sa zvýši konkurencia. 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4018" w:rsidRPr="00C04018" w:rsidP="00C04018">
            <w:pPr>
              <w:widowControl/>
              <w:tabs>
                <w:tab w:val="left" w:pos="3305"/>
              </w:tabs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3.2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. Aký je predpokladaný charakter a rozsah nákladov a prínosov?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V dôsledku prijatia navrhovanej legislatívy možno očakávať zvýšenie </w:t>
            </w:r>
            <w:r w:rsidR="00B44C73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ponuky </w:t>
            </w:r>
            <w:r w:rsidR="00C64E8A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a dostupnosti </w:t>
            </w:r>
            <w:r w:rsidR="00B44C73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tovaru predávaného na príležitostných trhoch alebo ambulantne, čím sa podporí predaj a výber v prospech spotrebiteľov. </w:t>
            </w:r>
          </w:p>
          <w:p w:rsidR="00B44C73" w:rsidRPr="00B44C73" w:rsidP="00B44C73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Možno tiež očakávať zníženie objemu predaja v maloobchodných predajniach, ktorým sa zvýši konkurencia. 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3.3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. Aká je predpokladaná výška administratívnych nákladov, ktoré podniky vynaložia v súvislosti s implementáciou návrhu?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4018" w:rsidRPr="00C04018" w:rsidP="00B44C73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>N</w:t>
            </w:r>
            <w:r w:rsidR="00B44C73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ávrh neprinesie 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zvýšenie </w:t>
            </w:r>
            <w:r w:rsidRPr="00C04018" w:rsidR="00B44C73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administratívnych 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nákladov.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3.4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. Aké sú dôsledky pripravovaného návrhu pre fungovanie podnikateľských subjektov na slovenskom trhu (ako sa zmenia operácie na trhu?)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04018" w:rsidRPr="00C04018" w:rsidP="00B44C73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="00B44C73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Návrh podporí rozvoj predaja na príležitostných trhoch alebo ambulantne a môže mierne obmedziť predaj v predajniach. 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3.5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. Aké sú predpokladané spoločensko – ekonomické dôsledky pripravovaných regulácií?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04018" w:rsidRPr="00C04018" w:rsidP="002C797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>S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>poločensko</w:t>
            </w: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>-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>ekonomické dôsledky</w:t>
            </w: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budú skôr pozitívne, pretože sa podporí maloobchodný predaj na príležitostných trhoch a ambulantnou formou</w:t>
            </w:r>
            <w:r w:rsidRPr="00970362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. </w:t>
            </w: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Pre niektorých predajcov (napr. drobných remeselníkov) predstavujú významný, ak nie jediný zdroj príjmov. </w:t>
            </w:r>
          </w:p>
        </w:tc>
      </w:tr>
    </w:tbl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p w:rsidR="00C04018" w:rsidRPr="00C04018" w:rsidP="00C04018">
      <w:pPr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k-SK" w:eastAsia="sk-SK"/>
        </w:rPr>
      </w:pPr>
      <w:r w:rsidRPr="00C04018">
        <w:rPr>
          <w:rFonts w:ascii="Times New Roman" w:hAnsi="Times New Roman"/>
          <w:b/>
          <w:bCs/>
          <w:sz w:val="28"/>
          <w:szCs w:val="28"/>
          <w:lang w:val="sk-SK" w:eastAsia="sk-SK"/>
        </w:rPr>
        <w:t>Sociálne vplyvy – vplyvy na hospodárenie obyvateľstva, sociálnu exklúziu, rovnosť príležitostí a rodovú rovnosť a na zamestnanosť</w:t>
      </w:r>
    </w:p>
    <w:p w:rsidR="00C04018" w:rsidRPr="00C04018" w:rsidP="00C04018">
      <w:pPr>
        <w:widowControl/>
        <w:bidi w:val="0"/>
        <w:adjustRightInd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 w:eastAsia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2C797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4.1.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Identifikujte vplyv na hospodárenie  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971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2C797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>P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redpokladá sa </w:t>
            </w: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pozitívny 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vplyv na hospodárenie domácností</w:t>
            </w: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, pretože zvýšená ponuka prinesie aj nižšie ceny. 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2C7971" w:rsidP="002C797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Prvé dva ukazovatele nemožno kvantifikovať, pretože nie sú dostupné žiadne zdroje ohľadom vplyvu predaja na príležitostných trhoch a ambulantnou formou na tieto údaje. </w:t>
            </w:r>
          </w:p>
          <w:p w:rsidR="002C7971" w:rsidRPr="00C04018" w:rsidP="002C7971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Tretí ukazovateľ možno odhadnúť na desaťtisíce až stotisíce.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- Rast alebo pokles príjmov/výdavkov                  za jednotlivé ovplyvnené  skupiny domácností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4.2.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4018" w:rsidRPr="00C04018" w:rsidP="00C64E8A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="002C7971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Rozšírením ponuky a najmä dostupnosti tovarov sa zvýši </w:t>
            </w:r>
            <w:r w:rsidR="00C64E8A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prístup k tovarom.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>4.3.</w:t>
            </w:r>
            <w:r w:rsidRPr="00C04018">
              <w:rPr>
                <w:rFonts w:ascii="Times New Roman" w:hAnsi="Times New Roman"/>
                <w:lang w:val="sk-SK" w:eastAsia="sk-SK"/>
              </w:rPr>
              <w:t xml:space="preserve">  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Zhodnoťte vplyv na rovnosť príležitostí: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Zhodnoťte vplyv na rodovú rovnosť.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4E8A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64E8A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Nepredpokladá sa vplyv na rodovú rovnosť.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  <w:t xml:space="preserve">4.4. </w:t>
            </w:r>
            <w:r w:rsidRP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Zhodnoťte vplyvy na zamestnanosť.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Cs/>
                <w:sz w:val="24"/>
                <w:szCs w:val="24"/>
                <w:lang w:val="sk-SK" w:eastAsia="sk-SK"/>
              </w:rPr>
              <w:t>Aké sú  vplyvy na zamestnanosť 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Cs/>
                <w:sz w:val="24"/>
                <w:szCs w:val="24"/>
                <w:lang w:val="sk-SK" w:eastAsia="sk-SK"/>
              </w:rPr>
              <w:t>Ktoré skupiny zamestnancov budú ohrozené schválením predkladaného materiálu ?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 w:eastAsia="sk-SK"/>
              </w:rPr>
            </w:pPr>
            <w:r w:rsidRPr="00C04018">
              <w:rPr>
                <w:rFonts w:ascii="Times New Roman" w:hAnsi="Times New Roman"/>
                <w:bCs/>
                <w:sz w:val="24"/>
                <w:szCs w:val="24"/>
                <w:lang w:val="sk-SK" w:eastAsia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4E8A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64E8A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>V</w:t>
            </w:r>
            <w:r w:rsidRPr="00C04018" w:rsid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>plyv na zamestnanosť</w:t>
            </w: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predpokladáme skôr pozitívny (rozvoj predaja na trhových miestach)</w:t>
            </w:r>
            <w:r w:rsidRPr="00C04018" w:rsidR="00C04018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. </w:t>
            </w:r>
          </w:p>
          <w:p w:rsid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="00C64E8A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V malej miere môže dôjsť k poklesu zamestnanosti v maloobchodných predajniach. </w:t>
            </w:r>
          </w:p>
          <w:p w:rsidR="00C64E8A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Materiál nespôsobí hromadné prepúšťanie. </w:t>
            </w: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C04018" w:rsidRPr="00C04018" w:rsidP="00C04018">
            <w:pPr>
              <w:widowControl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</w:tc>
      </w:tr>
    </w:tbl>
    <w:p w:rsidR="00C04018" w:rsidRPr="002E2B1F" w:rsidP="006B626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E2B1F"/>
    <w:rsid w:val="00133B03"/>
    <w:rsid w:val="001B7E07"/>
    <w:rsid w:val="002704AC"/>
    <w:rsid w:val="002C7971"/>
    <w:rsid w:val="002E2B1F"/>
    <w:rsid w:val="00593F1E"/>
    <w:rsid w:val="006311C1"/>
    <w:rsid w:val="00655D04"/>
    <w:rsid w:val="006B626A"/>
    <w:rsid w:val="007C6426"/>
    <w:rsid w:val="007E6826"/>
    <w:rsid w:val="00970362"/>
    <w:rsid w:val="00A33B12"/>
    <w:rsid w:val="00A85FE8"/>
    <w:rsid w:val="00B44C73"/>
    <w:rsid w:val="00C04018"/>
    <w:rsid w:val="00C64E8A"/>
    <w:rsid w:val="00ED4B79"/>
    <w:rsid w:val="00FC73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26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26A"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663</Words>
  <Characters>3785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Kopcanova Ivana</dc:creator>
  <cp:lastModifiedBy>Gašparíková, Jarmila</cp:lastModifiedBy>
  <cp:revision>2</cp:revision>
  <cp:lastPrinted>2014-06-27T10:20:00Z</cp:lastPrinted>
  <dcterms:created xsi:type="dcterms:W3CDTF">2014-07-02T13:14:00Z</dcterms:created>
  <dcterms:modified xsi:type="dcterms:W3CDTF">2014-07-02T13:14:00Z</dcterms:modified>
</cp:coreProperties>
</file>