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EC65CE">
      <w:pPr>
        <w:ind w:left="4248"/>
        <w:jc w:val="right"/>
        <w:rPr>
          <w:sz w:val="28"/>
        </w:rPr>
      </w:pPr>
      <w:r w:rsidR="00EC5F3F">
        <w:rPr>
          <w:sz w:val="28"/>
        </w:rPr>
        <w:t xml:space="preserve">                                    </w:t>
      </w:r>
    </w:p>
    <w:p w:rsidR="00EC5F3F" w:rsidRPr="006229BF">
      <w:pPr>
        <w:ind w:left="4248"/>
        <w:jc w:val="right"/>
      </w:pPr>
      <w:r>
        <w:rPr>
          <w:sz w:val="28"/>
        </w:rPr>
        <w:t xml:space="preserve">    </w:t>
      </w:r>
      <w:r w:rsidRPr="006229BF" w:rsidR="006229BF">
        <w:t>51</w:t>
      </w:r>
      <w:r w:rsidRPr="006229BF" w:rsidR="00985280">
        <w:t>.</w:t>
      </w:r>
      <w:r w:rsidRPr="006229BF">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Pr="006F0167" w:rsidR="00874D27">
        <w:t>844</w:t>
      </w:r>
      <w:r w:rsidRPr="00053FB9" w:rsidR="003371B9">
        <w:t>/</w:t>
      </w:r>
      <w:r w:rsidR="00053FB9">
        <w:t>201</w:t>
      </w:r>
      <w:r w:rsidR="006229BF">
        <w:t>4</w:t>
      </w:r>
    </w:p>
    <w:p w:rsidR="0004001B" w:rsidP="00067F0B">
      <w:pPr>
        <w:ind w:left="3540" w:firstLine="708"/>
        <w:rPr>
          <w:b/>
        </w:rPr>
      </w:pPr>
    </w:p>
    <w:p w:rsidR="00576DE1" w:rsidP="00067F0B">
      <w:pPr>
        <w:ind w:left="3540" w:firstLine="708"/>
        <w:rPr>
          <w:b/>
        </w:rPr>
      </w:pPr>
    </w:p>
    <w:p w:rsidR="00AC2960" w:rsidP="00067F0B">
      <w:pPr>
        <w:ind w:left="3540" w:firstLine="708"/>
        <w:rPr>
          <w:b/>
        </w:rPr>
      </w:pPr>
      <w:r w:rsidR="007A696F">
        <w:rPr>
          <w:b/>
        </w:rPr>
        <w:t xml:space="preserve">         </w:t>
      </w:r>
      <w:r w:rsidR="002F69A0">
        <w:rPr>
          <w:b/>
        </w:rPr>
        <w:t>305</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6229BF">
        <w:rPr>
          <w:b/>
        </w:rPr>
        <w:t>o</w:t>
      </w:r>
      <w:r w:rsidR="00272FA8">
        <w:rPr>
          <w:b/>
        </w:rPr>
        <w:t xml:space="preserve"> </w:t>
      </w:r>
      <w:r w:rsidR="006229BF">
        <w:rPr>
          <w:b/>
        </w:rPr>
        <w:t>1</w:t>
      </w:r>
      <w:r w:rsidR="000B5848">
        <w:rPr>
          <w:b/>
        </w:rPr>
        <w:t>7</w:t>
      </w:r>
      <w:r w:rsidR="00C72FBD">
        <w:rPr>
          <w:b/>
        </w:rPr>
        <w:t xml:space="preserve">. </w:t>
      </w:r>
      <w:r w:rsidR="006229BF">
        <w:rPr>
          <w:b/>
        </w:rPr>
        <w:t>júna</w:t>
      </w:r>
      <w:r w:rsidR="00830899">
        <w:rPr>
          <w:b/>
        </w:rPr>
        <w:t xml:space="preserve"> 201</w:t>
      </w:r>
      <w:r w:rsidR="006229BF">
        <w:rPr>
          <w:b/>
        </w:rPr>
        <w:t>4</w:t>
      </w:r>
    </w:p>
    <w:p w:rsidR="00576DE1" w:rsidP="00576DE1">
      <w:pPr>
        <w:pStyle w:val="BodyText"/>
        <w:spacing w:after="0"/>
        <w:jc w:val="both"/>
        <w:rPr>
          <w:b/>
        </w:rPr>
      </w:pPr>
    </w:p>
    <w:p w:rsidR="00EC5F3F" w:rsidRPr="005D2E69" w:rsidP="00EC65CE">
      <w:pPr>
        <w:pStyle w:val="BodyText"/>
        <w:spacing w:after="0"/>
        <w:ind w:firstLine="426"/>
        <w:jc w:val="both"/>
      </w:pPr>
      <w:r w:rsidRPr="005D2E69">
        <w:t>Výbor Národnej rady Sl</w:t>
      </w:r>
      <w:r w:rsidRPr="005D2E69" w:rsidR="003371B9">
        <w:t>ovenskej republiky pre financie a</w:t>
      </w:r>
      <w:r w:rsidRPr="005D2E69">
        <w:t xml:space="preserve"> rozpočet </w:t>
      </w:r>
      <w:r w:rsidRPr="005D2E69" w:rsidR="00F966EF">
        <w:t>prerokoval</w:t>
      </w:r>
      <w:r w:rsidRPr="00B8757A" w:rsidR="00B8757A">
        <w:t xml:space="preserve"> </w:t>
      </w:r>
      <w:r w:rsidR="00874D27">
        <w:t>v</w:t>
      </w:r>
      <w:r w:rsidRPr="00874D27" w:rsidR="00874D27">
        <w:t>ládny návrh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r w:rsidR="00874D27">
        <w:t xml:space="preserve">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EC65CE">
      <w:pPr>
        <w:numPr>
          <w:ilvl w:val="0"/>
          <w:numId w:val="1"/>
        </w:numPr>
        <w:tabs>
          <w:tab w:val="clear" w:pos="306"/>
          <w:tab w:val="num" w:pos="426"/>
        </w:tabs>
        <w:ind w:hanging="306"/>
        <w:jc w:val="both"/>
        <w:rPr>
          <w:b/>
        </w:rPr>
      </w:pPr>
      <w:r w:rsidR="00777CFA">
        <w:rPr>
          <w:b/>
        </w:rPr>
        <w:t>s</w:t>
      </w:r>
      <w:r>
        <w:rPr>
          <w:b/>
        </w:rPr>
        <w:t>úhlasí</w:t>
      </w:r>
    </w:p>
    <w:p w:rsidR="00EC65CE" w:rsidP="00EC65CE">
      <w:pPr>
        <w:pStyle w:val="BodyText"/>
        <w:spacing w:after="0"/>
        <w:jc w:val="both"/>
      </w:pPr>
    </w:p>
    <w:p w:rsidR="004D397F" w:rsidRPr="00D64717" w:rsidP="00EC65CE">
      <w:pPr>
        <w:pStyle w:val="BodyText"/>
        <w:spacing w:after="0"/>
        <w:ind w:firstLine="426"/>
        <w:jc w:val="both"/>
      </w:pPr>
      <w:r w:rsidR="00321A20">
        <w:t>s</w:t>
      </w:r>
      <w:r w:rsidRPr="00A73ECD" w:rsidR="00B614DE">
        <w:t> </w:t>
      </w:r>
      <w:r w:rsidR="00874D27">
        <w:t>v</w:t>
      </w:r>
      <w:r w:rsidRPr="00874D27" w:rsidR="00874D27">
        <w:t>ládny</w:t>
      </w:r>
      <w:r w:rsidR="00874D27">
        <w:t>m</w:t>
      </w:r>
      <w:r w:rsidRPr="00874D27" w:rsidR="00874D27">
        <w:t xml:space="preserve"> návrh</w:t>
      </w:r>
      <w:r w:rsidR="00874D27">
        <w:t>om</w:t>
      </w:r>
      <w:r w:rsidRPr="00874D27" w:rsidR="00874D27">
        <w:t xml:space="preserve">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EC65CE">
      <w:pPr>
        <w:pStyle w:val="Heading7"/>
        <w:widowControl/>
        <w:numPr>
          <w:ilvl w:val="0"/>
          <w:numId w:val="1"/>
        </w:numPr>
        <w:tabs>
          <w:tab w:val="clear" w:pos="306"/>
          <w:tab w:val="num" w:pos="426"/>
        </w:tabs>
        <w:ind w:hanging="306"/>
        <w:rPr>
          <w:bCs/>
          <w:lang w:val="sk-SK"/>
        </w:rPr>
      </w:pPr>
      <w:r w:rsidRPr="00067F0B" w:rsidR="00EC5F3F">
        <w:rPr>
          <w:lang w:val="sk-SK"/>
        </w:rPr>
        <w:t>odporúča</w:t>
      </w:r>
      <w:r w:rsidRPr="00067F0B" w:rsidR="00EC5F3F">
        <w:rPr>
          <w:bCs/>
          <w:lang w:val="sk-SK"/>
        </w:rPr>
        <w:t xml:space="preserve"> </w:t>
      </w:r>
    </w:p>
    <w:p w:rsidR="00EC5F3F" w:rsidP="00EC65CE">
      <w:pPr>
        <w:pStyle w:val="Heading7"/>
        <w:widowControl/>
        <w:ind w:left="0" w:firstLine="426"/>
        <w:rPr>
          <w:lang w:val="sk-SK"/>
        </w:rPr>
      </w:pPr>
      <w:r w:rsidRPr="00067F0B">
        <w:rPr>
          <w:lang w:val="sk-SK"/>
        </w:rPr>
        <w:t>Národnej rade Slovenskej republiky</w:t>
      </w:r>
    </w:p>
    <w:p w:rsidR="00777CFA" w:rsidP="005B36AB">
      <w:pPr>
        <w:pStyle w:val="Heading1"/>
        <w:ind w:left="1416" w:firstLine="708"/>
        <w:jc w:val="both"/>
      </w:pPr>
    </w:p>
    <w:p w:rsidR="00EC5F3F" w:rsidRPr="00E20A99" w:rsidP="00EC65CE">
      <w:pPr>
        <w:pStyle w:val="Heading1"/>
        <w:ind w:left="0" w:firstLine="426"/>
        <w:jc w:val="both"/>
      </w:pPr>
      <w:r w:rsidRPr="00874D27" w:rsidR="00874D27">
        <w:rPr>
          <w:b w:val="0"/>
        </w:rPr>
        <w:t>vládny návrh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r w:rsidR="00874D27">
        <w:t xml:space="preserve"> </w:t>
      </w:r>
      <w:r w:rsidRPr="00E20A99" w:rsidR="00F33022">
        <w:t xml:space="preserve">schváliť </w:t>
      </w:r>
      <w:r w:rsidR="00F33022">
        <w:t>s pozmeňujúcim</w:t>
      </w:r>
      <w:r w:rsidR="0094789F">
        <w:t>i</w:t>
      </w:r>
      <w:r w:rsidR="00F33022">
        <w:t xml:space="preserve"> a doplňujúcim</w:t>
      </w:r>
      <w:r w:rsidR="0094789F">
        <w:t>i</w:t>
      </w:r>
      <w:r w:rsidR="00F33022">
        <w:t xml:space="preserve"> </w:t>
      </w:r>
      <w:r w:rsidRPr="00E20A99" w:rsidR="00F33022">
        <w:t>návrh</w:t>
      </w:r>
      <w:r w:rsidR="0094789F">
        <w:t xml:space="preserve">mi </w:t>
      </w:r>
      <w:r w:rsidRPr="00E20A99" w:rsidR="00F33022">
        <w:t xml:space="preserve">tak, ako </w:t>
      </w:r>
      <w:r w:rsidR="00C3180D">
        <w:t>sú</w:t>
      </w:r>
      <w:r w:rsidR="0094789F">
        <w:t xml:space="preserve"> uvedené</w:t>
      </w:r>
      <w:r w:rsidR="00F33022">
        <w:t xml:space="preserve"> </w:t>
      </w:r>
      <w:r w:rsidRPr="00E20A99" w:rsidR="00F33022">
        <w:t>v prílohe tohto uznesenia</w:t>
      </w:r>
      <w:r w:rsidR="00C20BCB">
        <w:t>;</w:t>
      </w:r>
    </w:p>
    <w:p w:rsidR="00E13467" w:rsidP="000139BA">
      <w:pPr>
        <w:ind w:left="1416"/>
        <w:jc w:val="both"/>
        <w:rPr>
          <w:b/>
        </w:rPr>
      </w:pPr>
      <w:r>
        <w:rPr>
          <w:b/>
        </w:rPr>
        <w:tab/>
      </w:r>
    </w:p>
    <w:p w:rsidR="00777CFA" w:rsidP="000139BA">
      <w:pPr>
        <w:ind w:left="1416"/>
        <w:jc w:val="both"/>
        <w:rPr>
          <w:b/>
        </w:rPr>
      </w:pPr>
    </w:p>
    <w:p w:rsidR="00AC2960" w:rsidP="000139BA">
      <w:pPr>
        <w:ind w:left="1416"/>
        <w:jc w:val="both"/>
        <w:rPr>
          <w:b/>
        </w:rPr>
      </w:pPr>
    </w:p>
    <w:p w:rsidR="00067F0B" w:rsidP="00EC65CE">
      <w:pPr>
        <w:pStyle w:val="Heading5"/>
        <w:numPr>
          <w:ilvl w:val="0"/>
          <w:numId w:val="1"/>
        </w:numPr>
        <w:tabs>
          <w:tab w:val="clear" w:pos="306"/>
          <w:tab w:val="num" w:pos="426"/>
        </w:tabs>
        <w:ind w:hanging="306"/>
      </w:pPr>
      <w:r w:rsidR="00EC5F3F">
        <w:t>ukladá</w:t>
      </w:r>
    </w:p>
    <w:p w:rsidR="00EC5F3F" w:rsidP="00EC65CE">
      <w:pPr>
        <w:pStyle w:val="Heading5"/>
        <w:ind w:firstLine="426"/>
      </w:pPr>
      <w:r>
        <w:t>predsedovi výboru</w:t>
      </w:r>
    </w:p>
    <w:p w:rsidR="00777CFA" w:rsidP="00117627">
      <w:r w:rsidR="00BD7172">
        <w:t xml:space="preserve"> </w:t>
      </w:r>
      <w:r w:rsidR="00E20A99">
        <w:t xml:space="preserve"> </w:t>
      </w:r>
      <w:r w:rsidR="00117627">
        <w:tab/>
        <w:tab/>
        <w:tab/>
      </w:r>
    </w:p>
    <w:p w:rsidR="006229BF" w:rsidRPr="006229BF" w:rsidP="00EC65CE">
      <w:pPr>
        <w:pStyle w:val="BodyTextIndent3"/>
        <w:ind w:left="0" w:firstLine="426"/>
        <w:rPr>
          <w:lang w:val="sk-SK"/>
        </w:rPr>
      </w:pPr>
      <w:r w:rsidRPr="006229BF">
        <w:rPr>
          <w:lang w:val="sk-SK"/>
        </w:rPr>
        <w:t>informovať predsedu Ná</w:t>
      </w:r>
      <w:r w:rsidRPr="006229BF">
        <w:rPr>
          <w:lang w:val="sk-SK"/>
        </w:rPr>
        <w:t>rodnej rady Slovenskej republiky o výsledku prerokovania uvedeného vládneho návrhu zákona vo výbore.</w:t>
      </w:r>
    </w:p>
    <w:p w:rsidR="005919F9" w:rsidP="006229BF">
      <w:pPr>
        <w:pStyle w:val="BodyTextIndent3"/>
        <w:ind w:left="0" w:firstLine="426"/>
      </w:pPr>
    </w:p>
    <w:p w:rsidR="00AC2960" w:rsidP="00C739C2">
      <w:pPr>
        <w:rPr>
          <w:b/>
          <w:bCs w:val="0"/>
        </w:rPr>
      </w:pPr>
      <w:r w:rsidR="00E20A99">
        <w:t xml:space="preserve">                                                              </w:t>
      </w:r>
    </w:p>
    <w:p w:rsidR="0052115B">
      <w:pPr>
        <w:ind w:left="5664" w:firstLine="708"/>
        <w:rPr>
          <w:b/>
          <w:bCs w:val="0"/>
        </w:rPr>
      </w:pPr>
    </w:p>
    <w:p w:rsidR="00FD225F" w:rsidP="00FD225F">
      <w:pPr>
        <w:ind w:left="6372" w:firstLine="708"/>
        <w:rPr>
          <w:b/>
        </w:rPr>
      </w:pPr>
      <w:r>
        <w:rPr>
          <w:b/>
          <w:bCs w:val="0"/>
        </w:rPr>
        <w:t>Daniel  D u c h o ň</w:t>
      </w:r>
    </w:p>
    <w:p w:rsidR="00FD225F" w:rsidP="00FD225F">
      <w:pPr>
        <w:ind w:left="5664" w:firstLine="708"/>
      </w:pPr>
      <w:r>
        <w:t xml:space="preserve">                predseda výboru</w:t>
      </w:r>
    </w:p>
    <w:p w:rsidR="00FD225F" w:rsidP="00FD225F">
      <w:pPr>
        <w:jc w:val="both"/>
        <w:rPr>
          <w:b/>
        </w:rPr>
      </w:pPr>
      <w:r>
        <w:rPr>
          <w:b/>
        </w:rPr>
        <w:t xml:space="preserve">      </w:t>
      </w:r>
    </w:p>
    <w:p w:rsidR="00FD225F" w:rsidP="00FD225F">
      <w:pPr>
        <w:jc w:val="both"/>
        <w:rPr>
          <w:b/>
        </w:rPr>
      </w:pPr>
      <w:r>
        <w:rPr>
          <w:b/>
        </w:rPr>
        <w:t xml:space="preserve">      Milan Mojš</w:t>
      </w:r>
    </w:p>
    <w:p w:rsidR="00FD225F" w:rsidP="00FD225F">
      <w:pPr>
        <w:jc w:val="both"/>
        <w:rPr>
          <w:b/>
        </w:rPr>
      </w:pPr>
      <w:r>
        <w:rPr>
          <w:b/>
        </w:rPr>
        <w:t xml:space="preserve">      Ivan Šve</w:t>
      </w:r>
      <w:r>
        <w:rPr>
          <w:b/>
        </w:rPr>
        <w:t>jna</w:t>
      </w:r>
    </w:p>
    <w:p w:rsidR="00FD225F" w:rsidP="00FD225F">
      <w:r>
        <w:t xml:space="preserve">  overovateľ výboru</w:t>
      </w:r>
    </w:p>
    <w:p w:rsidR="00A45E0F" w:rsidP="00FD225F">
      <w:pPr>
        <w:ind w:left="5664" w:firstLine="708"/>
      </w:pPr>
    </w:p>
    <w:p w:rsidR="00576DE1"/>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272FA8">
        <w:rPr>
          <w:b/>
        </w:rPr>
        <w:t xml:space="preserve"> </w:t>
      </w:r>
      <w:r w:rsidR="002F69A0">
        <w:rPr>
          <w:b/>
        </w:rPr>
        <w:t>305</w:t>
      </w:r>
    </w:p>
    <w:p w:rsidR="000D14F9" w:rsidRPr="003371B9" w:rsidP="000D14F9">
      <w:pPr>
        <w:jc w:val="right"/>
      </w:pPr>
      <w:r w:rsidR="008C471D">
        <w:rPr>
          <w:bCs w:val="0"/>
        </w:rPr>
        <w:t>51</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8C471D">
        <w:rPr>
          <w:b/>
          <w:bCs w:val="0"/>
        </w:rPr>
        <w:t>e</w:t>
      </w:r>
      <w:r w:rsidR="00AA25C0">
        <w:rPr>
          <w:b/>
          <w:bCs w:val="0"/>
        </w:rPr>
        <w:t xml:space="preserve"> a doplňujúc</w:t>
      </w:r>
      <w:r w:rsidR="008C471D">
        <w:rPr>
          <w:b/>
          <w:bCs w:val="0"/>
        </w:rPr>
        <w:t>e</w:t>
      </w:r>
      <w:r w:rsidR="00A45E0F">
        <w:rPr>
          <w:b/>
          <w:bCs w:val="0"/>
        </w:rPr>
        <w:t xml:space="preserve"> </w:t>
      </w:r>
      <w:r w:rsidR="0063617C">
        <w:rPr>
          <w:b/>
          <w:bCs w:val="0"/>
        </w:rPr>
        <w:t>návrh</w:t>
      </w:r>
      <w:r w:rsidR="008C471D">
        <w:rPr>
          <w:b/>
          <w:bCs w:val="0"/>
        </w:rPr>
        <w:t>y</w:t>
      </w:r>
    </w:p>
    <w:p w:rsidR="003371B9" w:rsidP="00C739C2">
      <w:pPr>
        <w:pStyle w:val="Heading1"/>
        <w:ind w:left="360"/>
        <w:jc w:val="center"/>
      </w:pPr>
      <w:r w:rsidR="00117627">
        <w:t>k</w:t>
      </w:r>
      <w:r w:rsidR="00AC2960">
        <w:t> </w:t>
      </w:r>
      <w:r w:rsidR="00874D27">
        <w:t>vládnemu</w:t>
      </w:r>
      <w:r w:rsidRPr="00874D27" w:rsidR="00874D27">
        <w:t xml:space="preserve"> návrh</w:t>
      </w:r>
      <w:r w:rsidR="00874D27">
        <w:t>u</w:t>
      </w:r>
      <w:r w:rsidRPr="00874D27" w:rsidR="00874D27">
        <w:t xml:space="preserve"> zákona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(tlač 967)</w:t>
      </w:r>
    </w:p>
    <w:p w:rsidR="000D14F9" w:rsidP="000D14F9">
      <w:pPr>
        <w:rPr>
          <w:b/>
          <w:bCs w:val="0"/>
        </w:rPr>
      </w:pPr>
      <w:r>
        <w:rPr>
          <w:b/>
          <w:bCs w:val="0"/>
        </w:rPr>
        <w:t xml:space="preserve">––––––––––––––––––––––––––––––––––––––––––––––––––––––––––––––––––––––––––––––  </w:t>
      </w:r>
    </w:p>
    <w:p w:rsidR="00E32877" w:rsidRPr="00E32877" w:rsidP="00E32877">
      <w:pPr>
        <w:numPr>
          <w:ilvl w:val="0"/>
          <w:numId w:val="40"/>
        </w:numPr>
        <w:jc w:val="both"/>
        <w:rPr>
          <w:b/>
        </w:rPr>
      </w:pPr>
      <w:r w:rsidRPr="00E32877">
        <w:rPr>
          <w:b/>
        </w:rPr>
        <w:t>K čl. I.  § 1 ods. 1</w:t>
      </w:r>
    </w:p>
    <w:p w:rsidR="00E32877" w:rsidRPr="00C10CE9" w:rsidP="00E32877">
      <w:pPr>
        <w:ind w:left="705"/>
        <w:jc w:val="both"/>
      </w:pPr>
      <w:r w:rsidRPr="00C10CE9">
        <w:t xml:space="preserve">V § </w:t>
      </w:r>
      <w:r>
        <w:t xml:space="preserve">1 ods. 1 sa za </w:t>
      </w:r>
      <w:r w:rsidRPr="00C10CE9">
        <w:t xml:space="preserve"> </w:t>
      </w:r>
      <w:r>
        <w:t>slová „informačného systému“ vkladajú slová „Centrálny elektronický priečinok“</w:t>
      </w:r>
      <w:r w:rsidRPr="00B3485E">
        <w:t xml:space="preserve"> </w:t>
      </w:r>
      <w:r>
        <w:t>a  za slovami „colnými predpi</w:t>
      </w:r>
      <w:r>
        <w:t xml:space="preserve">smi </w:t>
      </w:r>
      <w:r>
        <w:rPr>
          <w:vertAlign w:val="superscript"/>
        </w:rPr>
        <w:t>1</w:t>
      </w:r>
      <w:r>
        <w:t>)“ sa spojka „a“ nahrádza čiarkou.</w:t>
      </w:r>
    </w:p>
    <w:p w:rsidR="00E32877" w:rsidP="00E32877">
      <w:pPr>
        <w:ind w:left="3538"/>
        <w:jc w:val="both"/>
      </w:pPr>
    </w:p>
    <w:p w:rsidR="00E32877" w:rsidRPr="00C10CE9" w:rsidP="00E32877">
      <w:pPr>
        <w:ind w:left="3538"/>
        <w:jc w:val="both"/>
      </w:pPr>
      <w:r w:rsidRPr="00C10CE9">
        <w:t>Ide o</w:t>
      </w:r>
      <w:r>
        <w:t> legislatívno-technickú úpravu, ktorou sa zosúlaďuje</w:t>
      </w:r>
      <w:r w:rsidRPr="00C10CE9">
        <w:t xml:space="preserve"> </w:t>
      </w:r>
      <w:r>
        <w:t>terminológia používaná v texte zákona a zároveň sa upravuje gramatická správnosť textu zákona.</w:t>
      </w:r>
    </w:p>
    <w:p w:rsidR="00E32877" w:rsidRPr="005863BD" w:rsidP="00E32877">
      <w:pPr>
        <w:overflowPunct w:val="0"/>
        <w:autoSpaceDE w:val="0"/>
        <w:autoSpaceDN w:val="0"/>
      </w:pPr>
      <w:r>
        <w:rPr>
          <w:lang w:val="cs-CZ"/>
        </w:rPr>
        <w:t>           </w:t>
      </w:r>
    </w:p>
    <w:p w:rsidR="00E32877" w:rsidRPr="00E32877" w:rsidP="00E32877">
      <w:pPr>
        <w:numPr>
          <w:ilvl w:val="0"/>
          <w:numId w:val="40"/>
        </w:numPr>
        <w:jc w:val="both"/>
        <w:rPr>
          <w:b/>
        </w:rPr>
      </w:pPr>
      <w:r w:rsidRPr="00E32877">
        <w:rPr>
          <w:b/>
        </w:rPr>
        <w:t>K čl. I § 8 ods. 2</w:t>
      </w:r>
    </w:p>
    <w:p w:rsidR="00E32877" w:rsidRPr="00C10CE9" w:rsidP="00C67189">
      <w:pPr>
        <w:ind w:left="705"/>
        <w:jc w:val="both"/>
      </w:pPr>
      <w:r w:rsidRPr="00E32877">
        <w:t>V § 8 ods. 2 sa slová</w:t>
      </w:r>
      <w:r>
        <w:t xml:space="preserve"> „účely komunikácie“ nahrádzajú slovami „účely elektronickej komunikácie“ </w:t>
      </w:r>
    </w:p>
    <w:p w:rsidR="00E32877" w:rsidP="00E32877">
      <w:pPr>
        <w:ind w:left="3538"/>
        <w:jc w:val="both"/>
      </w:pPr>
      <w:r w:rsidRPr="00C10CE9">
        <w:t>Ide o</w:t>
      </w:r>
      <w:r>
        <w:t> legislatívno-technickú úpravu, ktorou sa zosúlaďuje</w:t>
      </w:r>
      <w:r w:rsidRPr="00C10CE9">
        <w:t xml:space="preserve"> </w:t>
      </w:r>
      <w:r>
        <w:t>terminológia používaná v texte zákona.</w:t>
      </w:r>
    </w:p>
    <w:p w:rsidR="00E32877" w:rsidP="00E32877">
      <w:pPr>
        <w:ind w:left="3538"/>
        <w:jc w:val="both"/>
      </w:pPr>
      <w:r>
        <w:t xml:space="preserve"> </w:t>
      </w:r>
    </w:p>
    <w:p w:rsidR="00E32877" w:rsidRPr="00E32877" w:rsidP="00E32877">
      <w:pPr>
        <w:numPr>
          <w:ilvl w:val="0"/>
          <w:numId w:val="40"/>
        </w:numPr>
        <w:jc w:val="both"/>
        <w:rPr>
          <w:b/>
        </w:rPr>
      </w:pPr>
      <w:r w:rsidRPr="00E32877">
        <w:rPr>
          <w:b/>
        </w:rPr>
        <w:t>K čl. II  (1. bod návrhu)</w:t>
      </w:r>
    </w:p>
    <w:p w:rsidR="00E32877" w:rsidP="00E32877">
      <w:pPr>
        <w:jc w:val="both"/>
      </w:pPr>
      <w:r w:rsidRPr="00C10CE9">
        <w:t xml:space="preserve">    </w:t>
      </w:r>
      <w:r>
        <w:tab/>
      </w:r>
      <w:r w:rsidRPr="00C10CE9">
        <w:t>V</w:t>
      </w:r>
      <w:r>
        <w:t> čl. II 1. bod návrhu znie:</w:t>
      </w:r>
    </w:p>
    <w:p w:rsidR="00E32877" w:rsidRPr="00697E35" w:rsidP="00C67189">
      <w:pPr>
        <w:ind w:left="708"/>
        <w:jc w:val="both"/>
      </w:pPr>
      <w:r w:rsidRPr="00697E35">
        <w:t xml:space="preserve">1. V § 21 ods. 1 písm. a) sa na </w:t>
      </w:r>
      <w:r w:rsidRPr="00697E35">
        <w:t xml:space="preserve">konci </w:t>
      </w:r>
      <w:r>
        <w:t>slovo „alebo“ nahrádza čiarkou a </w:t>
      </w:r>
      <w:r w:rsidRPr="00697E35">
        <w:t>pripájajú</w:t>
      </w:r>
      <w:r>
        <w:t xml:space="preserve"> sa</w:t>
      </w:r>
      <w:r w:rsidRPr="00697E35">
        <w:t xml:space="preserve"> tieto slová: „doklad o pobyte s elektronickým čipom a bezpečnostný osobný kód podľa osobitného predpisu,</w:t>
      </w:r>
      <w:r w:rsidRPr="00697E35">
        <w:rPr>
          <w:vertAlign w:val="superscript"/>
        </w:rPr>
        <w:t>15a</w:t>
      </w:r>
      <w:r w:rsidRPr="00697E35">
        <w:t xml:space="preserve">) alebo“. </w:t>
      </w:r>
    </w:p>
    <w:p w:rsidR="00E32877" w:rsidRPr="00697E35" w:rsidP="00E32877">
      <w:pPr>
        <w:jc w:val="both"/>
      </w:pPr>
    </w:p>
    <w:p w:rsidR="00E32877" w:rsidRPr="00697E35" w:rsidP="00E32877">
      <w:pPr>
        <w:ind w:firstLine="708"/>
        <w:jc w:val="both"/>
      </w:pPr>
      <w:r w:rsidRPr="00697E35">
        <w:t xml:space="preserve">Poznámka pod čiarou k odkazu 15a znie: </w:t>
      </w:r>
    </w:p>
    <w:p w:rsidR="00E32877" w:rsidRPr="00697E35" w:rsidP="00C67189">
      <w:pPr>
        <w:ind w:left="708"/>
        <w:jc w:val="both"/>
      </w:pPr>
      <w:r w:rsidRPr="00697E35">
        <w:t>„</w:t>
      </w:r>
      <w:r w:rsidRPr="00697E35">
        <w:rPr>
          <w:vertAlign w:val="superscript"/>
        </w:rPr>
        <w:t>15a</w:t>
      </w:r>
      <w:r w:rsidRPr="00697E35">
        <w:t>) Zákon č. 404/2011 Z. z. o pobyte cudzin</w:t>
      </w:r>
      <w:r w:rsidRPr="00697E35">
        <w:t xml:space="preserve">cov a o zmene a doplnení niektorých zákonov v znení neskorších predpisov.“. </w:t>
      </w:r>
    </w:p>
    <w:p w:rsidR="00C67189" w:rsidP="00E32877">
      <w:pPr>
        <w:ind w:left="3538"/>
        <w:jc w:val="both"/>
      </w:pPr>
    </w:p>
    <w:p w:rsidR="00E32877" w:rsidP="00E32877">
      <w:pPr>
        <w:ind w:left="3538"/>
        <w:jc w:val="both"/>
      </w:pPr>
      <w:r w:rsidRPr="00C10CE9">
        <w:t>Ide o</w:t>
      </w:r>
      <w:r>
        <w:t> legislatívno-technickú úpravu. V zmysle legislatívnych pravidiel tvorby zákonov sa pri viacerých možnostiach kladie vylučovacia spojka medzi</w:t>
      </w:r>
      <w:r w:rsidRPr="00C10CE9">
        <w:t xml:space="preserve"> </w:t>
      </w:r>
      <w:r>
        <w:t>posledné dve možnosti.</w:t>
      </w:r>
    </w:p>
    <w:p w:rsidR="00E32877" w:rsidP="00E32877">
      <w:pPr>
        <w:ind w:left="3538"/>
        <w:jc w:val="both"/>
      </w:pPr>
    </w:p>
    <w:p w:rsidR="00E32877" w:rsidRPr="00E32877" w:rsidP="00E32877">
      <w:pPr>
        <w:numPr>
          <w:ilvl w:val="0"/>
          <w:numId w:val="40"/>
        </w:numPr>
        <w:jc w:val="both"/>
        <w:rPr>
          <w:b/>
        </w:rPr>
      </w:pPr>
      <w:r w:rsidRPr="00E32877">
        <w:rPr>
          <w:b/>
        </w:rPr>
        <w:t>K čl. II (3. bod návrhu)</w:t>
      </w:r>
    </w:p>
    <w:p w:rsidR="00E32877" w:rsidRPr="00C10CE9" w:rsidP="00E32877">
      <w:pPr>
        <w:jc w:val="both"/>
      </w:pPr>
      <w:r w:rsidRPr="00C10CE9">
        <w:t xml:space="preserve">    </w:t>
      </w:r>
      <w:r>
        <w:tab/>
      </w:r>
      <w:r w:rsidRPr="00C10CE9">
        <w:t>V</w:t>
      </w:r>
      <w:r>
        <w:t xml:space="preserve"> čl. II 3. bod návrhu </w:t>
      </w:r>
      <w:r w:rsidRPr="00C10CE9">
        <w:t xml:space="preserve">sa </w:t>
      </w:r>
      <w:r>
        <w:t xml:space="preserve">slová „uvádzacej vete“ nahrádzajú slovami „úvodnej vete“ </w:t>
      </w:r>
    </w:p>
    <w:p w:rsidR="00E32877" w:rsidP="00E32877">
      <w:pPr>
        <w:ind w:left="3538"/>
        <w:jc w:val="both"/>
      </w:pPr>
    </w:p>
    <w:p w:rsidR="00E32877" w:rsidP="00E32877">
      <w:pPr>
        <w:ind w:left="3538"/>
        <w:jc w:val="both"/>
      </w:pPr>
      <w:r w:rsidRPr="00C10CE9">
        <w:t>Ide o</w:t>
      </w:r>
      <w:r>
        <w:t> legislatívno-technickú úpravu, v zmysle legislatívnych pravidiel tvorby zákonov.</w:t>
      </w:r>
    </w:p>
    <w:p w:rsidR="007C224A" w:rsidP="00E32877">
      <w:pPr>
        <w:ind w:left="3538"/>
        <w:jc w:val="both"/>
      </w:pPr>
    </w:p>
    <w:p w:rsidR="007C224A" w:rsidP="00E32877">
      <w:pPr>
        <w:ind w:left="3538"/>
        <w:jc w:val="both"/>
      </w:pPr>
    </w:p>
    <w:p w:rsidR="00E32877" w:rsidRPr="00C67189" w:rsidP="00C67189">
      <w:pPr>
        <w:pStyle w:val="WW-Default"/>
        <w:numPr>
          <w:ilvl w:val="0"/>
          <w:numId w:val="40"/>
        </w:numPr>
        <w:jc w:val="both"/>
        <w:rPr>
          <w:b/>
          <w:sz w:val="24"/>
          <w:szCs w:val="24"/>
        </w:rPr>
      </w:pPr>
      <w:r w:rsidRPr="00C67189">
        <w:rPr>
          <w:b/>
          <w:sz w:val="24"/>
          <w:szCs w:val="24"/>
        </w:rPr>
        <w:t>K čl. II</w:t>
      </w:r>
    </w:p>
    <w:p w:rsidR="00E32877" w:rsidP="00C67189">
      <w:pPr>
        <w:pStyle w:val="WW-Default"/>
        <w:ind w:left="360" w:firstLine="348"/>
        <w:jc w:val="both"/>
        <w:rPr>
          <w:sz w:val="24"/>
          <w:szCs w:val="24"/>
        </w:rPr>
      </w:pPr>
      <w:r>
        <w:rPr>
          <w:sz w:val="24"/>
          <w:szCs w:val="24"/>
        </w:rPr>
        <w:t xml:space="preserve">Za bod 6 sa vkladajú nové body 7 až 9, ktoré znejú: </w:t>
      </w:r>
    </w:p>
    <w:p w:rsidR="007C224A" w:rsidP="00C67189">
      <w:pPr>
        <w:pStyle w:val="WW-Default"/>
        <w:ind w:left="360" w:firstLine="348"/>
        <w:jc w:val="both"/>
        <w:rPr>
          <w:sz w:val="24"/>
          <w:szCs w:val="24"/>
        </w:rPr>
      </w:pPr>
    </w:p>
    <w:p w:rsidR="00E32877" w:rsidP="00C67189">
      <w:pPr>
        <w:ind w:firstLine="708"/>
        <w:jc w:val="both"/>
        <w:rPr>
          <w:rFonts w:ascii="Arial Narrow" w:eastAsia="Calibri" w:hAnsi="Arial Narrow"/>
          <w:sz w:val="22"/>
          <w:szCs w:val="22"/>
          <w:lang w:eastAsia="en-US"/>
        </w:rPr>
      </w:pPr>
      <w:r>
        <w:t>„7.  § 36  sa dopĺňa odsekom 6, ktorý znie:</w:t>
      </w:r>
    </w:p>
    <w:p w:rsidR="00E32877" w:rsidP="00C67189">
      <w:pPr>
        <w:ind w:left="708"/>
        <w:jc w:val="both"/>
      </w:pPr>
      <w:r>
        <w:rPr>
          <w:rFonts w:eastAsia="Calibri"/>
          <w:lang w:eastAsia="en-US"/>
        </w:rPr>
        <w:t>„(6) O</w:t>
      </w:r>
      <w:r>
        <w:t>soba, ktorá žiada o vykonanie zaručenej konverzie, môže z formátov elektronických dokumentov, ktoré možno použiť na účely vytvorenia novovzniknutého elektronického dokumentu zo zaručenej konverzie podľa 35 ods. 1 písm. b) a c) vybrať jeden konkrétny formát, ktorý bude použitý na účely tejto zaručenej konverzie a skontrolovať správnosť novovzniknutého elektronického dokumentu a úplnosť vykonanej zaručenej konverzie.“.</w:t>
      </w:r>
    </w:p>
    <w:p w:rsidR="00E32877" w:rsidP="00E32877">
      <w:pPr>
        <w:jc w:val="both"/>
        <w:rPr>
          <w:rFonts w:ascii="Arial Narrow" w:eastAsia="Calibri" w:hAnsi="Arial Narrow"/>
          <w:sz w:val="22"/>
          <w:szCs w:val="22"/>
          <w:lang w:eastAsia="en-US"/>
        </w:rPr>
      </w:pPr>
    </w:p>
    <w:p w:rsidR="00E32877" w:rsidP="00E32877">
      <w:pPr>
        <w:ind w:left="3261"/>
        <w:jc w:val="both"/>
      </w:pPr>
      <w:r>
        <w:t>V súčasne platnom zákone č. 305/2013 Z.z. o e- Governmente sa dopĺňa procesná úprava umožňujúca voliteľnú voľbu formátu na základe potrieb osoby, ktorá žiada o vykonanie zaručenej konverzie a zároveň sa zvyšuje garancia správnych výstupov zaručenej konverzie.</w:t>
      </w:r>
    </w:p>
    <w:p w:rsidR="00E32877" w:rsidP="007C224A">
      <w:pPr>
        <w:pStyle w:val="WW-Default"/>
        <w:jc w:val="both"/>
      </w:pPr>
    </w:p>
    <w:p w:rsidR="00E32877" w:rsidRPr="00C67189" w:rsidP="007C224A">
      <w:pPr>
        <w:pStyle w:val="WW-Default"/>
        <w:ind w:firstLine="708"/>
        <w:jc w:val="both"/>
        <w:rPr>
          <w:sz w:val="24"/>
          <w:szCs w:val="24"/>
        </w:rPr>
      </w:pPr>
      <w:r w:rsidRPr="00C67189">
        <w:rPr>
          <w:rFonts w:eastAsia="Times New Roman"/>
          <w:sz w:val="24"/>
          <w:szCs w:val="24"/>
          <w:lang w:eastAsia="sk-SK"/>
        </w:rPr>
        <w:t>8.</w:t>
      </w:r>
      <w:r w:rsidRPr="00C67189">
        <w:rPr>
          <w:sz w:val="24"/>
          <w:szCs w:val="24"/>
        </w:rPr>
        <w:t xml:space="preserve">  V § 59 ods. 1 písmeno e) znie:</w:t>
      </w:r>
    </w:p>
    <w:p w:rsidR="00E32877" w:rsidRPr="00C67189" w:rsidP="007C224A">
      <w:pPr>
        <w:pStyle w:val="ListParagraph"/>
        <w:tabs>
          <w:tab w:val="left" w:pos="993"/>
        </w:tabs>
        <w:spacing w:after="0" w:line="240" w:lineRule="auto"/>
        <w:ind w:left="709"/>
        <w:rPr>
          <w:rFonts w:ascii="Times New Roman" w:hAnsi="Times New Roman"/>
          <w:sz w:val="24"/>
          <w:szCs w:val="24"/>
        </w:rPr>
      </w:pPr>
      <w:r w:rsidRPr="00C67189" w:rsidR="00C67189">
        <w:rPr>
          <w:rFonts w:ascii="Times New Roman" w:hAnsi="Times New Roman"/>
          <w:sz w:val="24"/>
          <w:szCs w:val="24"/>
        </w:rPr>
        <w:tab/>
      </w:r>
      <w:r w:rsidRPr="00C67189">
        <w:rPr>
          <w:rFonts w:ascii="Times New Roman" w:hAnsi="Times New Roman"/>
          <w:sz w:val="24"/>
          <w:szCs w:val="24"/>
        </w:rPr>
        <w:t xml:space="preserve">„e) na účely zaručenej konverzie </w:t>
        <w:tab/>
      </w:r>
    </w:p>
    <w:p w:rsidR="00E32877" w:rsidRPr="00C67189" w:rsidP="007C224A">
      <w:pPr>
        <w:pStyle w:val="ListParagraph"/>
        <w:spacing w:after="0" w:line="240" w:lineRule="auto"/>
        <w:ind w:left="993"/>
        <w:jc w:val="both"/>
        <w:rPr>
          <w:rFonts w:ascii="Times New Roman" w:hAnsi="Times New Roman"/>
          <w:sz w:val="24"/>
          <w:szCs w:val="24"/>
        </w:rPr>
      </w:pPr>
      <w:r w:rsidRPr="00C67189">
        <w:rPr>
          <w:rFonts w:ascii="Times New Roman" w:hAnsi="Times New Roman"/>
          <w:sz w:val="24"/>
          <w:szCs w:val="24"/>
        </w:rPr>
        <w:t>1. formáty elektronických dokumentov, ktoré je možné použiť na účely zaručenej konverzie a spôsob ich vytvárania,</w:t>
      </w:r>
    </w:p>
    <w:p w:rsidR="00E32877" w:rsidRPr="00C67189" w:rsidP="007C224A">
      <w:pPr>
        <w:pStyle w:val="ListParagraph"/>
        <w:spacing w:after="0" w:line="240" w:lineRule="auto"/>
        <w:ind w:left="709" w:firstLine="284"/>
        <w:jc w:val="both"/>
        <w:rPr>
          <w:rFonts w:ascii="Times New Roman" w:hAnsi="Times New Roman"/>
          <w:sz w:val="24"/>
          <w:szCs w:val="24"/>
        </w:rPr>
      </w:pPr>
      <w:r w:rsidRPr="00C67189">
        <w:rPr>
          <w:rFonts w:ascii="Times New Roman" w:hAnsi="Times New Roman"/>
          <w:sz w:val="24"/>
          <w:szCs w:val="24"/>
        </w:rPr>
        <w:t>2. spôsob posudzovania úrovne záruk poskytnutých bezpečnostnými prvkami,</w:t>
      </w:r>
    </w:p>
    <w:p w:rsidR="00E32877" w:rsidRPr="00C67189" w:rsidP="007C224A">
      <w:pPr>
        <w:pStyle w:val="ListParagraph"/>
        <w:spacing w:after="0" w:line="240" w:lineRule="auto"/>
        <w:ind w:left="993"/>
        <w:jc w:val="both"/>
        <w:rPr>
          <w:rFonts w:ascii="Times New Roman" w:hAnsi="Times New Roman"/>
          <w:sz w:val="24"/>
          <w:szCs w:val="24"/>
          <w:lang w:eastAsia="en-US"/>
        </w:rPr>
      </w:pPr>
      <w:r w:rsidRPr="00C67189">
        <w:rPr>
          <w:rFonts w:ascii="Times New Roman" w:hAnsi="Times New Roman"/>
          <w:sz w:val="24"/>
          <w:szCs w:val="24"/>
        </w:rPr>
        <w:t>3.</w:t>
      </w:r>
      <w:r w:rsidRPr="00C67189">
        <w:rPr>
          <w:rFonts w:ascii="Times New Roman" w:hAnsi="Times New Roman"/>
          <w:sz w:val="24"/>
          <w:szCs w:val="24"/>
          <w:lang w:eastAsia="en-US"/>
        </w:rPr>
        <w:t xml:space="preserve"> spôsob vyhotovenia osvedčovacej doložky a podrobnosti o jej forme a spôsob zverejnenia elektronického formulára pre osvedčovaciu doložku,</w:t>
      </w:r>
    </w:p>
    <w:p w:rsidR="00E32877" w:rsidRPr="00C67189" w:rsidP="007C224A">
      <w:pPr>
        <w:pStyle w:val="ListParagraph"/>
        <w:spacing w:after="0" w:line="240" w:lineRule="auto"/>
        <w:ind w:left="993"/>
        <w:jc w:val="both"/>
        <w:rPr>
          <w:rFonts w:ascii="Times New Roman" w:hAnsi="Times New Roman"/>
          <w:sz w:val="24"/>
          <w:szCs w:val="24"/>
          <w:lang w:eastAsia="en-US"/>
        </w:rPr>
      </w:pPr>
      <w:r w:rsidRPr="00C67189">
        <w:rPr>
          <w:rFonts w:ascii="Times New Roman" w:hAnsi="Times New Roman"/>
          <w:sz w:val="24"/>
          <w:szCs w:val="24"/>
          <w:lang w:eastAsia="en-US"/>
        </w:rPr>
        <w:t>4.</w:t>
      </w:r>
      <w:r w:rsidRPr="00C67189">
        <w:rPr>
          <w:rFonts w:ascii="Times New Roman" w:hAnsi="Times New Roman"/>
          <w:sz w:val="24"/>
          <w:szCs w:val="24"/>
        </w:rPr>
        <w:t xml:space="preserve"> podrobnosti o </w:t>
      </w:r>
      <w:r w:rsidRPr="00C67189">
        <w:rPr>
          <w:rFonts w:ascii="Times New Roman" w:hAnsi="Times New Roman"/>
          <w:sz w:val="24"/>
          <w:szCs w:val="24"/>
          <w:lang w:eastAsia="en-US"/>
        </w:rPr>
        <w:t xml:space="preserve">obsahu evidencie záznamov o vykonanej zaručenej konverzii a formu tejto evidencie, </w:t>
      </w:r>
    </w:p>
    <w:p w:rsidR="00E32877" w:rsidRPr="00C67189" w:rsidP="007C224A">
      <w:pPr>
        <w:pStyle w:val="ListParagraph"/>
        <w:spacing w:after="0" w:line="240" w:lineRule="auto"/>
        <w:ind w:left="709"/>
        <w:jc w:val="both"/>
        <w:rPr>
          <w:rFonts w:ascii="Times New Roman" w:hAnsi="Times New Roman"/>
          <w:sz w:val="24"/>
          <w:szCs w:val="24"/>
          <w:lang w:eastAsia="en-US"/>
        </w:rPr>
      </w:pPr>
      <w:r w:rsidRPr="00C67189">
        <w:rPr>
          <w:rFonts w:ascii="Times New Roman" w:hAnsi="Times New Roman"/>
          <w:sz w:val="24"/>
          <w:szCs w:val="24"/>
          <w:lang w:eastAsia="en-US"/>
        </w:rPr>
        <w:t xml:space="preserve">     5. obsah záznamu o vykonanej zaručenej konverzii,</w:t>
      </w:r>
    </w:p>
    <w:p w:rsidR="00E32877" w:rsidRPr="00C67189" w:rsidP="007C224A">
      <w:pPr>
        <w:pStyle w:val="ListParagraph"/>
        <w:spacing w:after="0" w:line="240" w:lineRule="auto"/>
        <w:ind w:left="709" w:firstLine="284"/>
        <w:jc w:val="both"/>
        <w:rPr>
          <w:rFonts w:ascii="Times New Roman" w:hAnsi="Times New Roman"/>
          <w:sz w:val="24"/>
          <w:szCs w:val="24"/>
          <w:lang w:eastAsia="en-US"/>
        </w:rPr>
      </w:pPr>
      <w:r w:rsidRPr="00C67189">
        <w:rPr>
          <w:rFonts w:ascii="Times New Roman" w:hAnsi="Times New Roman"/>
          <w:sz w:val="24"/>
          <w:szCs w:val="24"/>
          <w:lang w:eastAsia="en-US"/>
        </w:rPr>
        <w:t xml:space="preserve">6. sadzobník úhrad za zaručenú konverziu,“. </w:t>
      </w:r>
    </w:p>
    <w:p w:rsidR="007C224A" w:rsidP="00E32877">
      <w:pPr>
        <w:ind w:left="3261"/>
        <w:jc w:val="both"/>
      </w:pPr>
    </w:p>
    <w:p w:rsidR="00E32877" w:rsidRPr="00C67189" w:rsidP="00E32877">
      <w:pPr>
        <w:ind w:left="3261"/>
        <w:jc w:val="both"/>
      </w:pPr>
      <w:r w:rsidRPr="00C67189">
        <w:t>V súčasnosti platný zákon č. 305/2013 Z.z. o e- Governmente nedostatočne korešponduje s nutným obsahom vykonávacieho predpisu o zaručenej konverzii, pretože zákon neobsahuje najmä základné ustanovenia o spôsobe posudzovania úrovne záruk poskytnutých bezpečnostnými prvkami, o spôsobe vyhotovenia osvedčovacej doložky, ani  o forme evidencie záznamov o vykonanej konverzii, a preto nemôže splnomocňovacie ustanovenie obsahovať podrobnosti o týchto problematikách. Ide o legislatívno-technickú úpravu.</w:t>
      </w:r>
    </w:p>
    <w:p w:rsidR="00E32877" w:rsidRPr="00C67189" w:rsidP="00E32877">
      <w:pPr>
        <w:pStyle w:val="WW-Default"/>
        <w:jc w:val="both"/>
        <w:rPr>
          <w:b/>
          <w:sz w:val="24"/>
          <w:szCs w:val="24"/>
        </w:rPr>
      </w:pPr>
    </w:p>
    <w:p w:rsidR="00E32877" w:rsidRPr="00C67189" w:rsidP="00C67189">
      <w:pPr>
        <w:pStyle w:val="WW-Default"/>
        <w:ind w:left="360" w:firstLine="348"/>
        <w:jc w:val="both"/>
        <w:rPr>
          <w:sz w:val="24"/>
          <w:szCs w:val="24"/>
        </w:rPr>
      </w:pPr>
      <w:r w:rsidR="00C67189">
        <w:rPr>
          <w:sz w:val="24"/>
          <w:szCs w:val="24"/>
        </w:rPr>
        <w:t xml:space="preserve">9.  </w:t>
      </w:r>
      <w:r w:rsidRPr="00C67189">
        <w:rPr>
          <w:sz w:val="24"/>
          <w:szCs w:val="24"/>
        </w:rPr>
        <w:t>V § 60 ods. 5 prvej vete sa slová „jedného roka“ nahrádzajú slovami „troch rokov“.“.</w:t>
      </w:r>
    </w:p>
    <w:p w:rsidR="00C67189" w:rsidP="00C67189">
      <w:pPr>
        <w:ind w:left="720"/>
      </w:pPr>
    </w:p>
    <w:p w:rsidR="00E32877" w:rsidRPr="00C67189" w:rsidP="00C67189">
      <w:pPr>
        <w:ind w:left="720" w:firstLine="273"/>
      </w:pPr>
      <w:r w:rsidRPr="00C67189">
        <w:t>Doterajší bod 7 sa primerane prečísluje.</w:t>
      </w:r>
    </w:p>
    <w:p w:rsidR="00E32877" w:rsidRPr="00C67189" w:rsidP="00C67189">
      <w:pPr>
        <w:tabs>
          <w:tab w:val="left" w:pos="993"/>
        </w:tabs>
        <w:jc w:val="both"/>
      </w:pPr>
      <w:r w:rsidRPr="00C67189">
        <w:t xml:space="preserve">  </w:t>
        <w:tab/>
        <w:t>Tieto nové body 7 až 9 nadobudnú účinnosť dňom vyhlásenia.</w:t>
      </w:r>
    </w:p>
    <w:p w:rsidR="00E32877" w:rsidRPr="00C67189" w:rsidP="00E32877">
      <w:pPr>
        <w:jc w:val="both"/>
      </w:pPr>
    </w:p>
    <w:p w:rsidR="007A696F" w:rsidRPr="00C67189" w:rsidP="007C224A">
      <w:pPr>
        <w:ind w:left="3261"/>
        <w:jc w:val="both"/>
      </w:pPr>
      <w:r w:rsidRPr="00C67189" w:rsidR="00E32877">
        <w:t xml:space="preserve">Vzhľadom na neexistenciu informačného systému integrovaných obslužných miest (IS IOM) nemôže žiadny súčasný ani budúci prevádzkovateľ integrovaných obslužných miest splniť podmienku prepojenia na IS IOM, čoho následkom by bolo zrušenie všetkých existujúcich integrovaných obslužných miest (IOM) v SR. Do IS IOM budú časom zapojené všetky elektronické služby orgánov verejnej moci a prevádzkovatelia IOM budú cez IS IOM tieto služby sprostredkúvať. Preto sa navrhuje prechodné obdobie troch rokov, ktoré je potrebné na dobudovanie tohto informačného systému a tiež ide zároveň o zladenie s 3 ročným prechodným obdobím na spustenie viacerých spoločných modulov ústredného portálu verejnej správy. </w:t>
      </w: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48"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848"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48"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24A">
      <w:rPr>
        <w:rStyle w:val="PageNumber"/>
        <w:noProof/>
      </w:rPr>
      <w:t>3</w:t>
    </w:r>
    <w:r>
      <w:rPr>
        <w:rStyle w:val="PageNumber"/>
      </w:rPr>
      <w:fldChar w:fldCharType="end"/>
    </w:r>
  </w:p>
  <w:p w:rsidR="000B5848"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904"/>
    <w:multiLevelType w:val="hybridMultilevel"/>
    <w:tmpl w:val="70D4FDD2"/>
    <w:lvl w:ilvl="0">
      <w:start w:val="1"/>
      <w:numFmt w:val="decimal"/>
      <w:lvlText w:val="%1."/>
      <w:lvlJc w:val="left"/>
      <w:pPr>
        <w:ind w:left="36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4">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EE436A"/>
    <w:multiLevelType w:val="hybridMultilevel"/>
    <w:tmpl w:val="69F661D4"/>
    <w:lvl w:ilvl="0">
      <w:start w:val="1"/>
      <w:numFmt w:val="upperLetter"/>
      <w:lvlText w:val="%1."/>
      <w:lvlJc w:val="left"/>
      <w:pPr>
        <w:tabs>
          <w:tab w:val="num" w:pos="306"/>
        </w:tabs>
        <w:ind w:left="306" w:hanging="360"/>
      </w:pPr>
    </w:lvl>
    <w:lvl w:ilvl="1">
      <w:start w:val="1"/>
      <w:numFmt w:val="decimal"/>
      <w:lvlText w:val="%2."/>
      <w:lvlJc w:val="left"/>
      <w:pPr>
        <w:tabs>
          <w:tab w:val="num" w:pos="-744"/>
        </w:tabs>
        <w:ind w:left="-744" w:hanging="360"/>
      </w:pPr>
    </w:lvl>
    <w:lvl w:ilvl="2">
      <w:start w:val="1"/>
      <w:numFmt w:val="decimal"/>
      <w:lvlText w:val="%3."/>
      <w:lvlJc w:val="left"/>
      <w:pPr>
        <w:tabs>
          <w:tab w:val="num" w:pos="-24"/>
        </w:tabs>
        <w:ind w:left="-24" w:hanging="360"/>
      </w:pPr>
    </w:lvl>
    <w:lvl w:ilvl="3">
      <w:start w:val="1"/>
      <w:numFmt w:val="decimal"/>
      <w:lvlText w:val="%4."/>
      <w:lvlJc w:val="left"/>
      <w:pPr>
        <w:tabs>
          <w:tab w:val="num" w:pos="696"/>
        </w:tabs>
        <w:ind w:left="696" w:hanging="360"/>
      </w:pPr>
    </w:lvl>
    <w:lvl w:ilvl="4">
      <w:start w:val="1"/>
      <w:numFmt w:val="decimal"/>
      <w:lvlText w:val="%5."/>
      <w:lvlJc w:val="left"/>
      <w:pPr>
        <w:tabs>
          <w:tab w:val="num" w:pos="1416"/>
        </w:tabs>
        <w:ind w:left="1416" w:hanging="360"/>
      </w:pPr>
    </w:lvl>
    <w:lvl w:ilvl="5">
      <w:start w:val="1"/>
      <w:numFmt w:val="decimal"/>
      <w:lvlText w:val="%6."/>
      <w:lvlJc w:val="left"/>
      <w:pPr>
        <w:tabs>
          <w:tab w:val="num" w:pos="2136"/>
        </w:tabs>
        <w:ind w:left="2136" w:hanging="360"/>
      </w:pPr>
    </w:lvl>
    <w:lvl w:ilvl="6">
      <w:start w:val="1"/>
      <w:numFmt w:val="decimal"/>
      <w:lvlText w:val="%7."/>
      <w:lvlJc w:val="left"/>
      <w:pPr>
        <w:tabs>
          <w:tab w:val="num" w:pos="2856"/>
        </w:tabs>
        <w:ind w:left="2856" w:hanging="360"/>
      </w:pPr>
    </w:lvl>
    <w:lvl w:ilvl="7">
      <w:start w:val="1"/>
      <w:numFmt w:val="decimal"/>
      <w:lvlText w:val="%8."/>
      <w:lvlJc w:val="left"/>
      <w:pPr>
        <w:tabs>
          <w:tab w:val="num" w:pos="3576"/>
        </w:tabs>
        <w:ind w:left="3576" w:hanging="360"/>
      </w:pPr>
    </w:lvl>
    <w:lvl w:ilvl="8">
      <w:start w:val="1"/>
      <w:numFmt w:val="decimal"/>
      <w:lvlText w:val="%9."/>
      <w:lvlJc w:val="left"/>
      <w:pPr>
        <w:tabs>
          <w:tab w:val="num" w:pos="4296"/>
        </w:tabs>
        <w:ind w:left="4296" w:hanging="360"/>
      </w:pPr>
    </w:lvl>
  </w:abstractNum>
  <w:abstractNum w:abstractNumId="12">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3C3A4258"/>
    <w:multiLevelType w:val="hybridMultilevel"/>
    <w:tmpl w:val="B15C9F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17">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8432EC"/>
    <w:multiLevelType w:val="hybridMultilevel"/>
    <w:tmpl w:val="E60C05FE"/>
    <w:lvl w:ilvl="0">
      <w:start w:val="0"/>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3E969B3"/>
    <w:multiLevelType w:val="hybridMultilevel"/>
    <w:tmpl w:val="3F08716E"/>
    <w:lvl w:ilvl="0">
      <w:start w:val="1"/>
      <w:numFmt w:val="decimal"/>
      <w:lvlText w:val="%1."/>
      <w:lvlJc w:val="left"/>
      <w:pPr>
        <w:ind w:left="64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56007F11"/>
    <w:multiLevelType w:val="hybridMultilevel"/>
    <w:tmpl w:val="067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25276FE"/>
    <w:multiLevelType w:val="hybridMultilevel"/>
    <w:tmpl w:val="DFE4B69C"/>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9">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DEB01FD"/>
    <w:multiLevelType w:val="hybridMultilevel"/>
    <w:tmpl w:val="2A8A6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5"/>
  </w:num>
  <w:num w:numId="5">
    <w:abstractNumId w:val="30"/>
  </w:num>
  <w:num w:numId="6">
    <w:abstractNumId w:val="6"/>
  </w:num>
  <w:num w:numId="7">
    <w:abstractNumId w:val="17"/>
  </w:num>
  <w:num w:numId="8">
    <w:abstractNumId w:val="34"/>
  </w:num>
  <w:num w:numId="9">
    <w:abstractNumId w:val="35"/>
  </w:num>
  <w:num w:numId="10">
    <w:abstractNumId w:val="2"/>
  </w:num>
  <w:num w:numId="11">
    <w:abstractNumId w:val="23"/>
  </w:num>
  <w:num w:numId="12">
    <w:abstractNumId w:va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10"/>
  </w:num>
  <w:num w:numId="20">
    <w:abstractNumId w:val="29"/>
  </w:num>
  <w:num w:numId="21">
    <w:abstractNumId w:val="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38"/>
  </w:num>
  <w:num w:numId="26">
    <w:abstractNumId w:val="25"/>
  </w:num>
  <w:num w:numId="27">
    <w:abstractNumId w:val="20"/>
  </w:num>
  <w:num w:numId="28">
    <w:abstractNumId w:val="9"/>
  </w:num>
  <w:num w:numId="29">
    <w:abstractNumId w:val="3"/>
  </w:num>
  <w:num w:numId="30">
    <w:abstractNumId w:val="32"/>
  </w:num>
  <w:num w:numId="31">
    <w:abstractNumId w:val="14"/>
  </w:num>
  <w:num w:numId="32">
    <w:abstractNumId w:val="24"/>
  </w:num>
  <w:num w:numId="33">
    <w:abstractNumId w:val="16"/>
  </w:num>
  <w:num w:numId="34">
    <w:abstractNumId w:val="12"/>
  </w:num>
  <w:num w:numId="35">
    <w:abstractNumId w:val="18"/>
  </w:num>
  <w:num w:numId="36">
    <w:abstractNumId w:val="40"/>
  </w:num>
  <w:num w:numId="37">
    <w:abstractNumId w:val="22"/>
  </w:num>
  <w:num w:numId="38">
    <w:abstractNumId w:val="19"/>
  </w:num>
  <w:num w:numId="39">
    <w:abstractNumId w:val="0"/>
  </w:num>
  <w:num w:numId="40">
    <w:abstractNumId w:val="1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54DD4"/>
    <w:rsid w:val="00066275"/>
    <w:rsid w:val="00067F0B"/>
    <w:rsid w:val="000741D0"/>
    <w:rsid w:val="0007451E"/>
    <w:rsid w:val="000826D8"/>
    <w:rsid w:val="0008289A"/>
    <w:rsid w:val="00084653"/>
    <w:rsid w:val="00085A9B"/>
    <w:rsid w:val="00092341"/>
    <w:rsid w:val="00092B30"/>
    <w:rsid w:val="000A0E23"/>
    <w:rsid w:val="000A3DB2"/>
    <w:rsid w:val="000A44A0"/>
    <w:rsid w:val="000A7E84"/>
    <w:rsid w:val="000B19F4"/>
    <w:rsid w:val="000B4AAD"/>
    <w:rsid w:val="000B5848"/>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3635"/>
    <w:rsid w:val="0016756E"/>
    <w:rsid w:val="001734EE"/>
    <w:rsid w:val="00183676"/>
    <w:rsid w:val="00184104"/>
    <w:rsid w:val="001852E1"/>
    <w:rsid w:val="001926CE"/>
    <w:rsid w:val="00192864"/>
    <w:rsid w:val="001957AD"/>
    <w:rsid w:val="001A602E"/>
    <w:rsid w:val="001B1E93"/>
    <w:rsid w:val="001B1F2C"/>
    <w:rsid w:val="001B41F7"/>
    <w:rsid w:val="001C51E2"/>
    <w:rsid w:val="001C5BF3"/>
    <w:rsid w:val="001C6390"/>
    <w:rsid w:val="001D1076"/>
    <w:rsid w:val="001D3CC5"/>
    <w:rsid w:val="001D5926"/>
    <w:rsid w:val="001D6BE4"/>
    <w:rsid w:val="001E6E4A"/>
    <w:rsid w:val="001E6F56"/>
    <w:rsid w:val="001E78A6"/>
    <w:rsid w:val="001F1FB7"/>
    <w:rsid w:val="002012D0"/>
    <w:rsid w:val="00205C7B"/>
    <w:rsid w:val="0020683C"/>
    <w:rsid w:val="00210542"/>
    <w:rsid w:val="00213659"/>
    <w:rsid w:val="00214BD9"/>
    <w:rsid w:val="00221F40"/>
    <w:rsid w:val="00232F32"/>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3ED4"/>
    <w:rsid w:val="002F69A0"/>
    <w:rsid w:val="00301227"/>
    <w:rsid w:val="00302EB6"/>
    <w:rsid w:val="0030491B"/>
    <w:rsid w:val="00321A20"/>
    <w:rsid w:val="00325E49"/>
    <w:rsid w:val="0032711D"/>
    <w:rsid w:val="00332746"/>
    <w:rsid w:val="00334FEC"/>
    <w:rsid w:val="003371B9"/>
    <w:rsid w:val="00342FD3"/>
    <w:rsid w:val="00347242"/>
    <w:rsid w:val="00352292"/>
    <w:rsid w:val="00356336"/>
    <w:rsid w:val="003676F8"/>
    <w:rsid w:val="00370DA7"/>
    <w:rsid w:val="00371F1B"/>
    <w:rsid w:val="00373CBB"/>
    <w:rsid w:val="0038060C"/>
    <w:rsid w:val="00380A1C"/>
    <w:rsid w:val="003916AC"/>
    <w:rsid w:val="00397CB2"/>
    <w:rsid w:val="003A4A69"/>
    <w:rsid w:val="003A4FC0"/>
    <w:rsid w:val="003B1B33"/>
    <w:rsid w:val="003C2355"/>
    <w:rsid w:val="003D441A"/>
    <w:rsid w:val="003E4817"/>
    <w:rsid w:val="003E5C21"/>
    <w:rsid w:val="003E60B4"/>
    <w:rsid w:val="00401691"/>
    <w:rsid w:val="00415698"/>
    <w:rsid w:val="004231C1"/>
    <w:rsid w:val="004265B4"/>
    <w:rsid w:val="0043269C"/>
    <w:rsid w:val="00435B28"/>
    <w:rsid w:val="00450C55"/>
    <w:rsid w:val="0046108E"/>
    <w:rsid w:val="0047332F"/>
    <w:rsid w:val="004770E8"/>
    <w:rsid w:val="00485AD3"/>
    <w:rsid w:val="00491556"/>
    <w:rsid w:val="004925DB"/>
    <w:rsid w:val="00493DCA"/>
    <w:rsid w:val="004A12F3"/>
    <w:rsid w:val="004A3E40"/>
    <w:rsid w:val="004B3798"/>
    <w:rsid w:val="004B7312"/>
    <w:rsid w:val="004B77A8"/>
    <w:rsid w:val="004D03C0"/>
    <w:rsid w:val="004D397F"/>
    <w:rsid w:val="004D71D6"/>
    <w:rsid w:val="004E263D"/>
    <w:rsid w:val="004E2763"/>
    <w:rsid w:val="004E6C03"/>
    <w:rsid w:val="004F0838"/>
    <w:rsid w:val="004F2B3E"/>
    <w:rsid w:val="004F45C8"/>
    <w:rsid w:val="00500C97"/>
    <w:rsid w:val="0050102D"/>
    <w:rsid w:val="00504177"/>
    <w:rsid w:val="0052115B"/>
    <w:rsid w:val="00522678"/>
    <w:rsid w:val="005375F3"/>
    <w:rsid w:val="005458EF"/>
    <w:rsid w:val="00552BE1"/>
    <w:rsid w:val="005560C6"/>
    <w:rsid w:val="0057223B"/>
    <w:rsid w:val="005757C8"/>
    <w:rsid w:val="00576DE1"/>
    <w:rsid w:val="0058523A"/>
    <w:rsid w:val="005860D4"/>
    <w:rsid w:val="005863BD"/>
    <w:rsid w:val="00587F18"/>
    <w:rsid w:val="00590FB8"/>
    <w:rsid w:val="005919F9"/>
    <w:rsid w:val="00594981"/>
    <w:rsid w:val="00595842"/>
    <w:rsid w:val="00595B3A"/>
    <w:rsid w:val="005A7352"/>
    <w:rsid w:val="005B36AB"/>
    <w:rsid w:val="005D03BE"/>
    <w:rsid w:val="005D04B9"/>
    <w:rsid w:val="005D1F0B"/>
    <w:rsid w:val="005D2E69"/>
    <w:rsid w:val="005D368F"/>
    <w:rsid w:val="005D62EB"/>
    <w:rsid w:val="005D7373"/>
    <w:rsid w:val="005E0E12"/>
    <w:rsid w:val="005E26FF"/>
    <w:rsid w:val="005E27AA"/>
    <w:rsid w:val="005E3D70"/>
    <w:rsid w:val="005E63ED"/>
    <w:rsid w:val="005F2A14"/>
    <w:rsid w:val="00602FF8"/>
    <w:rsid w:val="006107BB"/>
    <w:rsid w:val="00611469"/>
    <w:rsid w:val="00622026"/>
    <w:rsid w:val="00622525"/>
    <w:rsid w:val="006229BF"/>
    <w:rsid w:val="00624DDC"/>
    <w:rsid w:val="0063617C"/>
    <w:rsid w:val="0063749C"/>
    <w:rsid w:val="00642D4E"/>
    <w:rsid w:val="006437A1"/>
    <w:rsid w:val="006443CB"/>
    <w:rsid w:val="0065582E"/>
    <w:rsid w:val="00665A38"/>
    <w:rsid w:val="0066682E"/>
    <w:rsid w:val="00670BE9"/>
    <w:rsid w:val="006732DF"/>
    <w:rsid w:val="00697E35"/>
    <w:rsid w:val="006A3283"/>
    <w:rsid w:val="006A3C85"/>
    <w:rsid w:val="006A6D97"/>
    <w:rsid w:val="006A749F"/>
    <w:rsid w:val="006C19B0"/>
    <w:rsid w:val="006C72E6"/>
    <w:rsid w:val="006D23E3"/>
    <w:rsid w:val="006D6B84"/>
    <w:rsid w:val="006E5A71"/>
    <w:rsid w:val="006F0167"/>
    <w:rsid w:val="006F4192"/>
    <w:rsid w:val="007119E1"/>
    <w:rsid w:val="00714E4A"/>
    <w:rsid w:val="00716246"/>
    <w:rsid w:val="00716C63"/>
    <w:rsid w:val="00716D1C"/>
    <w:rsid w:val="00716FBB"/>
    <w:rsid w:val="00723D47"/>
    <w:rsid w:val="0072664E"/>
    <w:rsid w:val="00731798"/>
    <w:rsid w:val="00740E97"/>
    <w:rsid w:val="007451AB"/>
    <w:rsid w:val="007460EC"/>
    <w:rsid w:val="0074684C"/>
    <w:rsid w:val="0075013C"/>
    <w:rsid w:val="00753D13"/>
    <w:rsid w:val="00754367"/>
    <w:rsid w:val="00766B24"/>
    <w:rsid w:val="00766EB1"/>
    <w:rsid w:val="00771DBB"/>
    <w:rsid w:val="00776A60"/>
    <w:rsid w:val="00777CFA"/>
    <w:rsid w:val="007865EF"/>
    <w:rsid w:val="00787F13"/>
    <w:rsid w:val="00791016"/>
    <w:rsid w:val="007965EB"/>
    <w:rsid w:val="007A696F"/>
    <w:rsid w:val="007A7FC3"/>
    <w:rsid w:val="007B40ED"/>
    <w:rsid w:val="007C224A"/>
    <w:rsid w:val="007C3A2E"/>
    <w:rsid w:val="007C6EC6"/>
    <w:rsid w:val="007D3639"/>
    <w:rsid w:val="007E168E"/>
    <w:rsid w:val="0081158D"/>
    <w:rsid w:val="00816B93"/>
    <w:rsid w:val="00830899"/>
    <w:rsid w:val="008458BA"/>
    <w:rsid w:val="0085189B"/>
    <w:rsid w:val="008720CA"/>
    <w:rsid w:val="00874D27"/>
    <w:rsid w:val="008769DE"/>
    <w:rsid w:val="00880343"/>
    <w:rsid w:val="00881478"/>
    <w:rsid w:val="00883651"/>
    <w:rsid w:val="0089148D"/>
    <w:rsid w:val="008A2AEF"/>
    <w:rsid w:val="008A65D4"/>
    <w:rsid w:val="008B2507"/>
    <w:rsid w:val="008C2619"/>
    <w:rsid w:val="008C471D"/>
    <w:rsid w:val="008C606C"/>
    <w:rsid w:val="008D037B"/>
    <w:rsid w:val="008E0724"/>
    <w:rsid w:val="008E46E2"/>
    <w:rsid w:val="008E4744"/>
    <w:rsid w:val="008E52C8"/>
    <w:rsid w:val="008F1D4B"/>
    <w:rsid w:val="008F35D7"/>
    <w:rsid w:val="009014AF"/>
    <w:rsid w:val="00901501"/>
    <w:rsid w:val="00902EC3"/>
    <w:rsid w:val="00914F38"/>
    <w:rsid w:val="009171A7"/>
    <w:rsid w:val="00940FE9"/>
    <w:rsid w:val="009434CE"/>
    <w:rsid w:val="00945E30"/>
    <w:rsid w:val="0094789F"/>
    <w:rsid w:val="009534E4"/>
    <w:rsid w:val="009673E9"/>
    <w:rsid w:val="00972CAE"/>
    <w:rsid w:val="00985280"/>
    <w:rsid w:val="00987E19"/>
    <w:rsid w:val="00990B21"/>
    <w:rsid w:val="009940AF"/>
    <w:rsid w:val="00996EF0"/>
    <w:rsid w:val="009A5069"/>
    <w:rsid w:val="009B1A9B"/>
    <w:rsid w:val="009B39C7"/>
    <w:rsid w:val="009B629D"/>
    <w:rsid w:val="009C5634"/>
    <w:rsid w:val="009C6829"/>
    <w:rsid w:val="009D0655"/>
    <w:rsid w:val="009D25C5"/>
    <w:rsid w:val="009D3928"/>
    <w:rsid w:val="009E4434"/>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705A"/>
    <w:rsid w:val="00AA25C0"/>
    <w:rsid w:val="00AC22E2"/>
    <w:rsid w:val="00AC2960"/>
    <w:rsid w:val="00AC65F9"/>
    <w:rsid w:val="00AC7EC3"/>
    <w:rsid w:val="00AD0864"/>
    <w:rsid w:val="00AE3087"/>
    <w:rsid w:val="00AE69DF"/>
    <w:rsid w:val="00AF0917"/>
    <w:rsid w:val="00AF7145"/>
    <w:rsid w:val="00B07F36"/>
    <w:rsid w:val="00B16CED"/>
    <w:rsid w:val="00B17563"/>
    <w:rsid w:val="00B2275A"/>
    <w:rsid w:val="00B3485E"/>
    <w:rsid w:val="00B45B6F"/>
    <w:rsid w:val="00B55EBB"/>
    <w:rsid w:val="00B614DE"/>
    <w:rsid w:val="00B64787"/>
    <w:rsid w:val="00B71E6A"/>
    <w:rsid w:val="00B73982"/>
    <w:rsid w:val="00B774DD"/>
    <w:rsid w:val="00B8757A"/>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10CE9"/>
    <w:rsid w:val="00C15227"/>
    <w:rsid w:val="00C20BCB"/>
    <w:rsid w:val="00C2409D"/>
    <w:rsid w:val="00C3180D"/>
    <w:rsid w:val="00C34FB0"/>
    <w:rsid w:val="00C37D3C"/>
    <w:rsid w:val="00C40208"/>
    <w:rsid w:val="00C511AD"/>
    <w:rsid w:val="00C609C6"/>
    <w:rsid w:val="00C637C7"/>
    <w:rsid w:val="00C67189"/>
    <w:rsid w:val="00C71832"/>
    <w:rsid w:val="00C72FBD"/>
    <w:rsid w:val="00C739C2"/>
    <w:rsid w:val="00C74C86"/>
    <w:rsid w:val="00C77F6E"/>
    <w:rsid w:val="00C81129"/>
    <w:rsid w:val="00C85101"/>
    <w:rsid w:val="00C91164"/>
    <w:rsid w:val="00C93F38"/>
    <w:rsid w:val="00CA02CA"/>
    <w:rsid w:val="00CA0E04"/>
    <w:rsid w:val="00CA4BC6"/>
    <w:rsid w:val="00CA7FA7"/>
    <w:rsid w:val="00CB45BF"/>
    <w:rsid w:val="00CB5AF6"/>
    <w:rsid w:val="00CB60CD"/>
    <w:rsid w:val="00CC76F5"/>
    <w:rsid w:val="00CD05F3"/>
    <w:rsid w:val="00CD3386"/>
    <w:rsid w:val="00CD5189"/>
    <w:rsid w:val="00CD689C"/>
    <w:rsid w:val="00CE020C"/>
    <w:rsid w:val="00CE23DD"/>
    <w:rsid w:val="00CE5FA3"/>
    <w:rsid w:val="00CF0260"/>
    <w:rsid w:val="00CF7721"/>
    <w:rsid w:val="00D066CB"/>
    <w:rsid w:val="00D14BB3"/>
    <w:rsid w:val="00D24006"/>
    <w:rsid w:val="00D3491C"/>
    <w:rsid w:val="00D43E19"/>
    <w:rsid w:val="00D468CB"/>
    <w:rsid w:val="00D47606"/>
    <w:rsid w:val="00D51205"/>
    <w:rsid w:val="00D51BBC"/>
    <w:rsid w:val="00D5389F"/>
    <w:rsid w:val="00D56CFD"/>
    <w:rsid w:val="00D60D33"/>
    <w:rsid w:val="00D64717"/>
    <w:rsid w:val="00D72E6C"/>
    <w:rsid w:val="00D77944"/>
    <w:rsid w:val="00D8424F"/>
    <w:rsid w:val="00D93A8F"/>
    <w:rsid w:val="00DA4A4E"/>
    <w:rsid w:val="00DB14FA"/>
    <w:rsid w:val="00DB15FF"/>
    <w:rsid w:val="00DC342A"/>
    <w:rsid w:val="00DD72DC"/>
    <w:rsid w:val="00DE311B"/>
    <w:rsid w:val="00DF00E6"/>
    <w:rsid w:val="00E028CB"/>
    <w:rsid w:val="00E077EC"/>
    <w:rsid w:val="00E13467"/>
    <w:rsid w:val="00E165F4"/>
    <w:rsid w:val="00E20A99"/>
    <w:rsid w:val="00E24E2F"/>
    <w:rsid w:val="00E27648"/>
    <w:rsid w:val="00E32877"/>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C5F3F"/>
    <w:rsid w:val="00EC65CE"/>
    <w:rsid w:val="00ED3C5E"/>
    <w:rsid w:val="00EE616F"/>
    <w:rsid w:val="00EF1902"/>
    <w:rsid w:val="00EF60D1"/>
    <w:rsid w:val="00F00247"/>
    <w:rsid w:val="00F03B10"/>
    <w:rsid w:val="00F15963"/>
    <w:rsid w:val="00F328DE"/>
    <w:rsid w:val="00F33022"/>
    <w:rsid w:val="00F362CE"/>
    <w:rsid w:val="00F6286E"/>
    <w:rsid w:val="00F7316C"/>
    <w:rsid w:val="00F7461A"/>
    <w:rsid w:val="00F80E71"/>
    <w:rsid w:val="00F87FF3"/>
    <w:rsid w:val="00F966EF"/>
    <w:rsid w:val="00FD225F"/>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customStyle="1" w:styleId="WW-Default">
    <w:name w:val="WW-Default"/>
    <w:basedOn w:val="Normal"/>
    <w:rsid w:val="00E32877"/>
    <w:pPr>
      <w:autoSpaceDE w:val="0"/>
    </w:pPr>
    <w:rPr>
      <w:rFonts w:eastAsia="Calibri"/>
      <w:bCs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86C35-E0C7-4321-BAE2-0E8DED05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3</Pages>
  <Words>980</Words>
  <Characters>5589</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329</cp:revision>
  <cp:lastPrinted>2014-06-17T12:56:00Z</cp:lastPrinted>
  <dcterms:created xsi:type="dcterms:W3CDTF">2003-06-05T10:59:00Z</dcterms:created>
  <dcterms:modified xsi:type="dcterms:W3CDTF">2014-06-17T12:56:00Z</dcterms:modified>
</cp:coreProperties>
</file>