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2746">
        <w:rPr>
          <w:sz w:val="18"/>
          <w:szCs w:val="18"/>
        </w:rPr>
        <w:t>816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578FC" w:rsidP="009C2E2F">
      <w:pPr>
        <w:pStyle w:val="uznesenia"/>
      </w:pPr>
      <w:r>
        <w:t>1187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578FC">
        <w:rPr>
          <w:rFonts w:cs="Arial"/>
          <w:sz w:val="22"/>
          <w:szCs w:val="22"/>
        </w:rPr>
        <w:t xml:space="preserve"> 10.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F12746" w:rsidRDefault="005F1220" w:rsidP="00B021C8">
      <w:pPr>
        <w:jc w:val="both"/>
        <w:rPr>
          <w:rFonts w:cs="Arial"/>
          <w:sz w:val="22"/>
          <w:szCs w:val="22"/>
        </w:rPr>
      </w:pPr>
      <w:r w:rsidRPr="00F12746">
        <w:rPr>
          <w:sz w:val="22"/>
          <w:szCs w:val="22"/>
        </w:rPr>
        <w:t xml:space="preserve">k </w:t>
      </w:r>
      <w:r w:rsidR="00F12746" w:rsidRPr="00F12746">
        <w:rPr>
          <w:sz w:val="22"/>
          <w:szCs w:val="22"/>
        </w:rPr>
        <w:t>návrh</w:t>
      </w:r>
      <w:r w:rsidR="00F12746">
        <w:rPr>
          <w:sz w:val="22"/>
          <w:szCs w:val="22"/>
        </w:rPr>
        <w:t>u</w:t>
      </w:r>
      <w:r w:rsidR="00F12746" w:rsidRPr="00F12746">
        <w:rPr>
          <w:sz w:val="22"/>
          <w:szCs w:val="22"/>
        </w:rPr>
        <w:t xml:space="preserve"> </w:t>
      </w:r>
      <w:r w:rsidR="00F12746" w:rsidRPr="00F12746">
        <w:rPr>
          <w:sz w:val="22"/>
        </w:rPr>
        <w:t>posl</w:t>
      </w:r>
      <w:r w:rsidR="00F12746" w:rsidRPr="00F12746">
        <w:rPr>
          <w:spacing w:val="-1"/>
          <w:sz w:val="22"/>
        </w:rPr>
        <w:t>a</w:t>
      </w:r>
      <w:r w:rsidR="00F12746" w:rsidRPr="00F12746">
        <w:rPr>
          <w:sz w:val="22"/>
        </w:rPr>
        <w:t>nca</w:t>
      </w:r>
      <w:r w:rsidR="00F12746" w:rsidRPr="00F12746">
        <w:rPr>
          <w:spacing w:val="7"/>
        </w:rPr>
        <w:t xml:space="preserve"> </w:t>
      </w:r>
      <w:r w:rsidR="00F12746" w:rsidRPr="00F12746">
        <w:rPr>
          <w:sz w:val="22"/>
        </w:rPr>
        <w:t>N</w:t>
      </w:r>
      <w:r w:rsidR="00F12746" w:rsidRPr="00F12746">
        <w:rPr>
          <w:spacing w:val="-1"/>
          <w:sz w:val="22"/>
        </w:rPr>
        <w:t>á</w:t>
      </w:r>
      <w:r w:rsidR="00F12746" w:rsidRPr="00F12746">
        <w:rPr>
          <w:sz w:val="22"/>
        </w:rPr>
        <w:t>rod</w:t>
      </w:r>
      <w:r w:rsidR="00F12746" w:rsidRPr="00F12746">
        <w:rPr>
          <w:spacing w:val="1"/>
          <w:sz w:val="22"/>
        </w:rPr>
        <w:t>n</w:t>
      </w:r>
      <w:r w:rsidR="00F12746" w:rsidRPr="00F12746">
        <w:rPr>
          <w:spacing w:val="-1"/>
          <w:sz w:val="22"/>
        </w:rPr>
        <w:t>e</w:t>
      </w:r>
      <w:r w:rsidR="00F12746" w:rsidRPr="00F12746">
        <w:rPr>
          <w:sz w:val="22"/>
        </w:rPr>
        <w:t>j</w:t>
      </w:r>
      <w:r w:rsidR="00F12746" w:rsidRPr="00F12746">
        <w:rPr>
          <w:spacing w:val="7"/>
          <w:sz w:val="22"/>
        </w:rPr>
        <w:t xml:space="preserve"> </w:t>
      </w:r>
      <w:r w:rsidR="00F12746" w:rsidRPr="00F12746">
        <w:rPr>
          <w:sz w:val="22"/>
        </w:rPr>
        <w:t>r</w:t>
      </w:r>
      <w:r w:rsidR="00F12746" w:rsidRPr="00F12746">
        <w:rPr>
          <w:spacing w:val="-2"/>
          <w:sz w:val="22"/>
        </w:rPr>
        <w:t>a</w:t>
      </w:r>
      <w:r w:rsidR="00F12746" w:rsidRPr="00F12746">
        <w:rPr>
          <w:spacing w:val="5"/>
          <w:sz w:val="22"/>
        </w:rPr>
        <w:t>d</w:t>
      </w:r>
      <w:r w:rsidR="00F12746" w:rsidRPr="00F12746">
        <w:rPr>
          <w:sz w:val="22"/>
        </w:rPr>
        <w:t>y</w:t>
      </w:r>
      <w:r w:rsidR="00F12746" w:rsidRPr="00F12746">
        <w:rPr>
          <w:spacing w:val="5"/>
          <w:sz w:val="22"/>
        </w:rPr>
        <w:t xml:space="preserve"> </w:t>
      </w:r>
      <w:r w:rsidR="00F12746" w:rsidRPr="00F12746">
        <w:rPr>
          <w:spacing w:val="1"/>
          <w:sz w:val="22"/>
        </w:rPr>
        <w:t>S</w:t>
      </w:r>
      <w:r w:rsidR="00F12746" w:rsidRPr="00F12746">
        <w:rPr>
          <w:sz w:val="22"/>
        </w:rPr>
        <w:t>lovensk</w:t>
      </w:r>
      <w:r w:rsidR="00F12746" w:rsidRPr="00F12746">
        <w:rPr>
          <w:spacing w:val="-1"/>
          <w:sz w:val="22"/>
        </w:rPr>
        <w:t>e</w:t>
      </w:r>
      <w:r w:rsidR="00F12746" w:rsidRPr="00F12746">
        <w:rPr>
          <w:sz w:val="22"/>
        </w:rPr>
        <w:t>j</w:t>
      </w:r>
      <w:r w:rsidR="00F12746" w:rsidRPr="00F12746">
        <w:rPr>
          <w:spacing w:val="7"/>
          <w:sz w:val="22"/>
        </w:rPr>
        <w:t xml:space="preserve"> </w:t>
      </w:r>
      <w:r w:rsidR="00F12746" w:rsidRPr="00F12746">
        <w:rPr>
          <w:sz w:val="22"/>
        </w:rPr>
        <w:t>r</w:t>
      </w:r>
      <w:r w:rsidR="00F12746" w:rsidRPr="00F12746">
        <w:rPr>
          <w:spacing w:val="-2"/>
          <w:sz w:val="22"/>
        </w:rPr>
        <w:t>e</w:t>
      </w:r>
      <w:r w:rsidR="00F12746" w:rsidRPr="00F12746">
        <w:rPr>
          <w:sz w:val="22"/>
        </w:rPr>
        <w:t>publ</w:t>
      </w:r>
      <w:r w:rsidR="00F12746" w:rsidRPr="00F12746">
        <w:rPr>
          <w:spacing w:val="1"/>
          <w:sz w:val="22"/>
        </w:rPr>
        <w:t>i</w:t>
      </w:r>
      <w:r w:rsidR="00F12746" w:rsidRPr="00F12746">
        <w:rPr>
          <w:spacing w:val="2"/>
          <w:sz w:val="22"/>
        </w:rPr>
        <w:t>k</w:t>
      </w:r>
      <w:r w:rsidR="00F12746" w:rsidRPr="00F12746">
        <w:rPr>
          <w:sz w:val="22"/>
        </w:rPr>
        <w:t>y</w:t>
      </w:r>
      <w:r w:rsidR="00F12746" w:rsidRPr="00F12746">
        <w:rPr>
          <w:spacing w:val="2"/>
          <w:sz w:val="22"/>
        </w:rPr>
        <w:t xml:space="preserve"> Jozefa Viskupiča na vydanie zákona, ktorým sa mení a dopĺňa zákon Národnej rady Slovenskej republiky č. 350/1996 Z. z. o rokovacom poriadku Národnej rady Slovenskej republiky v znení neskorších predpisov </w:t>
      </w:r>
      <w:r w:rsidR="00F12746" w:rsidRPr="00F12746">
        <w:rPr>
          <w:sz w:val="22"/>
        </w:rPr>
        <w:t>(tlač 990) – prvé čítanie</w:t>
      </w:r>
    </w:p>
    <w:p w:rsidR="00C039C0" w:rsidRPr="00F12746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F12746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F578FC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139E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12746"/>
    <w:rsid w:val="00F37717"/>
    <w:rsid w:val="00F44CB7"/>
    <w:rsid w:val="00F46C2F"/>
    <w:rsid w:val="00F53B35"/>
    <w:rsid w:val="00F578FC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2014-05-06T10:14:00Z</cp:lastPrinted>
  <dcterms:created xsi:type="dcterms:W3CDTF">2014-05-06T10:14:00Z</dcterms:created>
  <dcterms:modified xsi:type="dcterms:W3CDTF">2014-06-16T08:11:00Z</dcterms:modified>
</cp:coreProperties>
</file>