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8559E">
        <w:rPr>
          <w:sz w:val="22"/>
          <w:szCs w:val="22"/>
        </w:rPr>
        <w:t>1154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8559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8559E">
        <w:t>1058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8559E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8559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8559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8559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8559E">
        <w:rPr>
          <w:rFonts w:cs="Arial"/>
          <w:szCs w:val="22"/>
        </w:rPr>
        <w:t>zákon č. 582/2004 Z. z. o miestnych daniach a miestnom poplatku za komunálne odpady a drobné stavebné odpady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8559E">
        <w:rPr>
          <w:rFonts w:cs="Arial"/>
          <w:szCs w:val="22"/>
        </w:rPr>
        <w:t>1056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8559E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B7E4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AB7E4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B7E4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B7E4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8559E" w:rsidP="00E8559E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   b) lehotu na prerokovanie návrhu zákona v  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E8559E" w:rsidP="00E8559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6DAE"/>
    <w:rsid w:val="00484701"/>
    <w:rsid w:val="00492F29"/>
    <w:rsid w:val="00493C3D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B7E4C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8559E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2014-06-09T09:05:00Z</cp:lastPrinted>
  <dcterms:created xsi:type="dcterms:W3CDTF">2014-06-12T14:52:00Z</dcterms:created>
  <dcterms:modified xsi:type="dcterms:W3CDTF">2014-06-12T14:52:00Z</dcterms:modified>
</cp:coreProperties>
</file>