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8A5C81">
        <w:rPr>
          <w:rFonts w:ascii="Arial" w:hAnsi="Arial" w:cs="Arial"/>
        </w:rPr>
        <w:t>57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5910A7">
        <w:rPr>
          <w:rFonts w:ascii="Arial" w:hAnsi="Arial" w:cs="Arial"/>
          <w:color w:val="auto"/>
        </w:rPr>
        <w:t>845/</w:t>
      </w:r>
      <w:r w:rsidRPr="00CD7C86">
        <w:rPr>
          <w:rFonts w:ascii="Arial" w:hAnsi="Arial" w:cs="Arial"/>
          <w:iCs/>
          <w:color w:val="auto"/>
        </w:rPr>
        <w:t>201</w:t>
      </w:r>
      <w:r w:rsidR="008A5C81">
        <w:rPr>
          <w:rFonts w:ascii="Arial" w:hAnsi="Arial" w:cs="Arial"/>
          <w:iCs/>
          <w:color w:val="auto"/>
        </w:rPr>
        <w:t>4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F235DD">
        <w:rPr>
          <w:rFonts w:ascii="Arial" w:hAnsi="Arial" w:cs="Arial"/>
          <w:b/>
          <w:sz w:val="32"/>
          <w:szCs w:val="28"/>
        </w:rPr>
        <w:t>308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C3102A">
        <w:rPr>
          <w:rFonts w:ascii="Arial" w:hAnsi="Arial" w:cs="Arial"/>
        </w:rPr>
        <w:t>10</w:t>
      </w:r>
      <w:r w:rsidRPr="001924B4">
        <w:rPr>
          <w:rFonts w:ascii="Arial" w:hAnsi="Arial" w:cs="Arial"/>
        </w:rPr>
        <w:t xml:space="preserve">. </w:t>
      </w:r>
      <w:r w:rsidR="003E6773">
        <w:rPr>
          <w:rFonts w:ascii="Arial" w:hAnsi="Arial" w:cs="Arial"/>
        </w:rPr>
        <w:t>júna</w:t>
      </w:r>
      <w:r w:rsidR="008A5C81">
        <w:rPr>
          <w:rFonts w:ascii="Arial" w:hAnsi="Arial" w:cs="Arial"/>
        </w:rPr>
        <w:t xml:space="preserve"> 2014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097C3E" w:rsidR="00970A7D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FB5073" w:rsidR="00FB5073">
        <w:rPr>
          <w:rStyle w:val="Strong"/>
          <w:rFonts w:ascii="Arial" w:hAnsi="Arial" w:cs="Arial"/>
          <w:b w:val="0"/>
        </w:rPr>
        <w:t>ktorým sa mení a dopĺňa zákon č. 222/2004 Z. z. o dani z pridanej hodnoty v znení neskorších predpisov a ktorým sa menia a dopĺňajú niektoré zákony</w:t>
      </w:r>
      <w:r w:rsidRPr="00A652DF" w:rsidR="00FB5073">
        <w:rPr>
          <w:rStyle w:val="Strong"/>
          <w:rFonts w:ascii="Arial" w:hAnsi="Arial" w:cs="Arial"/>
        </w:rPr>
        <w:t xml:space="preserve"> (</w:t>
      </w:r>
      <w:r w:rsidRPr="007F0DC3" w:rsidR="00FB5073">
        <w:rPr>
          <w:rStyle w:val="Strong"/>
          <w:rFonts w:ascii="Arial" w:hAnsi="Arial" w:cs="Arial"/>
        </w:rPr>
        <w:t>tlač 969</w:t>
      </w:r>
      <w:r w:rsidRPr="00A652DF" w:rsidR="00FB5073">
        <w:rPr>
          <w:rStyle w:val="Strong"/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7E3884">
      <w:pPr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FB5073" w:rsidR="00FB5073">
        <w:rPr>
          <w:rStyle w:val="Strong"/>
          <w:rFonts w:ascii="Arial" w:hAnsi="Arial" w:cs="Arial"/>
          <w:b w:val="0"/>
        </w:rPr>
        <w:t>ktorým sa mení a dopĺňa zákon č. 222/2004 Z. z. o dani z pridanej hodnoty v znení neskorších predpisov a ktorým sa menia a dopĺňajú niektoré zákony</w:t>
      </w:r>
      <w:r w:rsidRPr="00A652DF" w:rsidR="00FB5073">
        <w:rPr>
          <w:rStyle w:val="Strong"/>
          <w:rFonts w:ascii="Arial" w:hAnsi="Arial" w:cs="Arial"/>
        </w:rPr>
        <w:t xml:space="preserve"> (</w:t>
      </w:r>
      <w:r w:rsidRPr="007F0DC3" w:rsidR="00FB5073">
        <w:rPr>
          <w:rStyle w:val="Strong"/>
          <w:rFonts w:ascii="Arial" w:hAnsi="Arial" w:cs="Arial"/>
        </w:rPr>
        <w:t>tlač 969</w:t>
      </w:r>
      <w:r w:rsidRPr="00A652DF" w:rsidR="00FB5073">
        <w:rPr>
          <w:rStyle w:val="Strong"/>
          <w:rFonts w:ascii="Arial" w:hAnsi="Arial" w:cs="Arial"/>
        </w:rPr>
        <w:t>)</w:t>
      </w:r>
      <w:r w:rsidR="008A5C81">
        <w:rPr>
          <w:rStyle w:val="Strong"/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7E3884">
      <w:pPr>
        <w:ind w:firstLine="851"/>
        <w:jc w:val="both"/>
        <w:rPr>
          <w:rFonts w:ascii="Arial" w:hAnsi="Arial" w:cs="Arial"/>
        </w:rPr>
      </w:pP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FB5073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FB5073" w:rsidR="00FB5073">
        <w:rPr>
          <w:rStyle w:val="Strong"/>
          <w:rFonts w:ascii="Arial" w:hAnsi="Arial" w:cs="Arial"/>
          <w:b w:val="0"/>
        </w:rPr>
        <w:t>ktorým sa mení a dopĺňa zákon č. 222/2004 Z. z. o dani z pridanej hodnoty v znení neskorších predpisov a ktorým sa menia a dopĺňajú niektoré zákony</w:t>
      </w:r>
      <w:r w:rsidRPr="00A652DF" w:rsidR="00FB5073">
        <w:rPr>
          <w:rStyle w:val="Strong"/>
          <w:rFonts w:ascii="Arial" w:hAnsi="Arial" w:cs="Arial"/>
        </w:rPr>
        <w:t xml:space="preserve"> (</w:t>
      </w:r>
      <w:r w:rsidRPr="007F0DC3" w:rsidR="00FB5073">
        <w:rPr>
          <w:rStyle w:val="Strong"/>
          <w:rFonts w:ascii="Arial" w:hAnsi="Arial" w:cs="Arial"/>
        </w:rPr>
        <w:t>tlač 969</w:t>
      </w:r>
      <w:r w:rsidRPr="00A652DF" w:rsidR="00FB5073">
        <w:rPr>
          <w:rStyle w:val="Strong"/>
          <w:rFonts w:ascii="Arial" w:hAnsi="Arial" w:cs="Arial"/>
        </w:rPr>
        <w:t>)</w:t>
      </w:r>
      <w:r w:rsidR="008A5C81">
        <w:rPr>
          <w:rStyle w:val="Strong"/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935B21">
        <w:rPr>
          <w:rFonts w:ascii="Arial" w:hAnsi="Arial" w:cs="Arial"/>
          <w:bCs/>
        </w:rPr>
        <w:t xml:space="preserve"> s pozmeňujúcimi a doplňujúcimi návrhmi </w:t>
      </w:r>
      <w:r w:rsidR="004E7C15">
        <w:rPr>
          <w:rFonts w:ascii="Arial" w:hAnsi="Arial" w:cs="Arial"/>
          <w:bCs/>
        </w:rPr>
        <w:t xml:space="preserve">uvedenými </w:t>
      </w:r>
      <w:r w:rsidR="00935B21">
        <w:rPr>
          <w:rFonts w:ascii="Arial" w:hAnsi="Arial" w:cs="Arial"/>
          <w:bCs/>
        </w:rPr>
        <w:t>v prílohe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P="007E3884">
      <w:pPr>
        <w:tabs>
          <w:tab w:val="left" w:pos="851"/>
        </w:tabs>
        <w:jc w:val="both"/>
        <w:rPr>
          <w:rFonts w:ascii="Arial" w:hAnsi="Arial" w:cs="Arial"/>
        </w:rPr>
      </w:pPr>
      <w:r w:rsidR="007E3884">
        <w:rPr>
          <w:rFonts w:ascii="Arial" w:hAnsi="Arial" w:cs="Arial"/>
        </w:rPr>
        <w:tab/>
      </w:r>
      <w:r w:rsidRPr="00E61787">
        <w:rPr>
          <w:rFonts w:ascii="Arial" w:hAnsi="Arial" w:cs="Arial"/>
        </w:rPr>
        <w:t xml:space="preserve">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8A5C81">
        <w:rPr>
          <w:rFonts w:ascii="Arial" w:hAnsi="Arial" w:cs="Arial"/>
        </w:rPr>
        <w:t>financie a rozpočet</w:t>
      </w:r>
      <w:r w:rsidR="00A97F8D">
        <w:rPr>
          <w:rFonts w:ascii="Arial" w:hAnsi="Arial" w:cs="Arial"/>
        </w:rPr>
        <w:t>.</w:t>
      </w:r>
    </w:p>
    <w:p w:rsidR="003E6773" w:rsidP="003D41BE">
      <w:pPr>
        <w:tabs>
          <w:tab w:val="left" w:pos="1080"/>
        </w:tabs>
        <w:jc w:val="both"/>
        <w:rPr>
          <w:rFonts w:ascii="Arial" w:hAnsi="Arial" w:cs="Arial"/>
        </w:rPr>
      </w:pPr>
    </w:p>
    <w:p w:rsidR="003E6773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 w:rsidRPr="00904EE4">
        <w:rPr>
          <w:rFonts w:ascii="Arial" w:hAnsi="Arial" w:cs="Arial"/>
        </w:rPr>
        <w:t>v.r</w:t>
      </w:r>
      <w:r>
        <w:rPr>
          <w:rFonts w:ascii="Arial" w:hAnsi="Arial" w:cs="Arial"/>
          <w:b/>
        </w:rPr>
        <w:t>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8F6121" w:rsidP="008F612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3E6773">
        <w:rPr>
          <w:rFonts w:ascii="Arial" w:hAnsi="Arial" w:cs="Arial"/>
          <w:b w:val="0"/>
          <w:bCs/>
          <w:i/>
          <w:iCs/>
        </w:rPr>
        <w:t xml:space="preserve">               </w:t>
      </w:r>
      <w:r>
        <w:rPr>
          <w:rFonts w:ascii="Arial" w:hAnsi="Arial" w:cs="Arial"/>
          <w:b w:val="0"/>
          <w:bCs/>
          <w:i/>
          <w:iCs/>
        </w:rPr>
        <w:t>Výbor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8F6121" w:rsidP="008F6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A5C81">
        <w:rPr>
          <w:rFonts w:ascii="Arial" w:hAnsi="Arial" w:cs="Arial"/>
        </w:rPr>
        <w:t xml:space="preserve">    57</w:t>
      </w:r>
      <w:r>
        <w:rPr>
          <w:rFonts w:ascii="Arial" w:hAnsi="Arial" w:cs="Arial"/>
        </w:rPr>
        <w:t>. schôdza výboru</w:t>
      </w:r>
    </w:p>
    <w:p w:rsidR="008F6121" w:rsidP="008F612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 xml:space="preserve">Príloha k uzneseniu č. </w:t>
      </w:r>
      <w:r w:rsidR="00F235DD">
        <w:rPr>
          <w:rFonts w:ascii="Arial" w:hAnsi="Arial" w:cs="Arial"/>
          <w:bCs/>
        </w:rPr>
        <w:t>308</w:t>
      </w:r>
    </w:p>
    <w:p w:rsidR="00686050" w:rsidP="008F6121">
      <w:pPr>
        <w:pStyle w:val="BodyTextIndent"/>
        <w:rPr>
          <w:rFonts w:ascii="Arial" w:hAnsi="Arial" w:cs="Arial"/>
          <w:color w:val="auto"/>
          <w:lang w:val="sk-SK"/>
        </w:rPr>
      </w:pPr>
      <w:r w:rsidR="008F6121">
        <w:rPr>
          <w:rFonts w:ascii="Arial" w:hAnsi="Arial" w:cs="Arial"/>
          <w:iCs/>
          <w:color w:val="auto"/>
          <w:lang w:val="sk-SK"/>
        </w:rPr>
        <w:t xml:space="preserve">  </w:t>
      </w:r>
    </w:p>
    <w:p w:rsidR="008F6121" w:rsidP="008F6121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8F6121" w:rsidP="008F6121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vládnemu návrhu</w:t>
      </w:r>
      <w:r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FB5073" w:rsidR="00FB5073">
        <w:rPr>
          <w:rStyle w:val="Strong"/>
          <w:rFonts w:ascii="Arial" w:hAnsi="Arial" w:cs="Arial"/>
          <w:b w:val="0"/>
        </w:rPr>
        <w:t>ktorým sa mení a dopĺňa zákon č. 222/2004 Z. z. o dani z pridanej hodnoty v znení neskorších predpisov a ktorým sa menia a dopĺňajú niektoré zákony</w:t>
      </w:r>
      <w:r w:rsidRPr="00A652DF" w:rsidR="00FB5073">
        <w:rPr>
          <w:rStyle w:val="Strong"/>
          <w:rFonts w:ascii="Arial" w:hAnsi="Arial" w:cs="Arial"/>
        </w:rPr>
        <w:t xml:space="preserve"> (</w:t>
      </w:r>
      <w:r w:rsidRPr="007F0DC3" w:rsidR="00FB5073">
        <w:rPr>
          <w:rStyle w:val="Strong"/>
          <w:rFonts w:ascii="Arial" w:hAnsi="Arial" w:cs="Arial"/>
        </w:rPr>
        <w:t>tlač 969</w:t>
      </w:r>
      <w:r w:rsidRPr="00A652DF" w:rsidR="00FB5073">
        <w:rPr>
          <w:rStyle w:val="Strong"/>
          <w:rFonts w:ascii="Arial" w:hAnsi="Arial" w:cs="Arial"/>
        </w:rPr>
        <w:t>)</w:t>
      </w:r>
    </w:p>
    <w:p w:rsidR="008F6121" w:rsidP="00686050">
      <w:pPr>
        <w:jc w:val="both"/>
        <w:rPr>
          <w:rFonts w:ascii="Arial" w:hAnsi="Arial" w:cs="Arial"/>
          <w:b/>
          <w:bCs/>
        </w:rPr>
      </w:pP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 xml:space="preserve">K čl. I, 9. bodu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 úv</w:t>
      </w:r>
      <w:r w:rsidRPr="00C5460E">
        <w:rPr>
          <w:rFonts w:ascii="Arial" w:hAnsi="Arial" w:cs="Arial"/>
          <w:color w:val="000000"/>
        </w:rPr>
        <w:t xml:space="preserve">odnej vete sa slová „§ 68a a 68b“ nahrádzajú slovami „§ 68a až 68c“.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536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Cieľom pripomienky je rozšíriť vnútorný odkaz o ustanovenie, na ktoré sa bude taktiež § 68 aplikovať. 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68a ods. 4 a 68b ods. 6 sa slová „v rámci“ nahrádzajú slovami</w:t>
      </w:r>
      <w:r w:rsidRPr="00C5460E">
        <w:rPr>
          <w:rFonts w:ascii="Arial" w:hAnsi="Arial" w:cs="Arial"/>
          <w:color w:val="000000"/>
        </w:rPr>
        <w:t xml:space="preserve"> „na území“.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536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Pripomienka terminologicky zjednocuje v návrhu zákona používané pojmy (napr. v § 68a ods. 1 písm. a) a b), § 68a ods. 2, § 68b ods. 1 písm. a) a b), § 68b ods. 2).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68a ods. 7 písm. c) a § 68b ods. 9 písm. c) sa slová „osobitnú úpravu“ nahrádzajú slovami „uplatňovanie osobitnej úpravy“.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Pripomienka terminologicky zjednocuje v návrhu zákona používané pojmy (napr. v § 68a ods. 2 a § 68b ods. 2).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68a ods. 11 a § 68b ods. 14 sa slovo „Údaje“ nahrádza slovom „Sumy“.</w:t>
      </w:r>
    </w:p>
    <w:p w:rsidR="00C5460E" w:rsidP="00C5460E">
      <w:pPr>
        <w:pStyle w:val="ListParagraph"/>
        <w:overflowPunct w:val="0"/>
        <w:autoSpaceDE w:val="0"/>
        <w:autoSpaceDN w:val="0"/>
        <w:adjustRightInd w:val="0"/>
        <w:ind w:left="4395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Nakoľko sa predmetné ustanovenie vzťahuje výlučne na peňažné údaje daňového priznania, pripomienka v tomto zmysle upravuje aj navrhované znenie. 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68a ods. 12  a § 68b ods. 15 sa slová „daňového úradu“ nahrádzajú slovami „správcu dane“.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Pripomienka zosúlaďuje v návrhu zákona používané pojmy (napr. čl. I, 10. bod - § 68a ods. 13 a § 68b ods. 16).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68a ods. 16 a 17 a § 68b ods. 19 a 20 sa za slová „týkajúce sa“ vkladá slovo „uplatňovania“.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Pripomienka terminologicky zjednocuje v návrhu zákona používané pojmy (napr. v § 68a ods. 2 a § 68b ods. 2). 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68b ods. 14 v poznámke pod čiarou k odkazu 5a sa slová „v platnom znení (Ú. v. EÚ C 83, 30.3.2010)“ nahrádzajú slovami „(Ú. v. EÚ C 326, 26. 10. 2012)“.</w:t>
      </w:r>
    </w:p>
    <w:p w:rsidR="00C5460E" w:rsidRPr="009732DC" w:rsidP="00C5460E">
      <w:pPr>
        <w:spacing w:before="120"/>
        <w:ind w:left="4395"/>
        <w:jc w:val="both"/>
        <w:rPr>
          <w:rStyle w:val="Emphasis"/>
          <w:rFonts w:ascii="Arial" w:hAnsi="Arial" w:cs="Arial"/>
          <w:b w:val="0"/>
          <w:i/>
          <w:iCs/>
        </w:rPr>
      </w:pPr>
      <w:r w:rsidRPr="00C5460E">
        <w:rPr>
          <w:rFonts w:ascii="Arial" w:hAnsi="Arial" w:cs="Arial"/>
          <w:color w:val="000000"/>
        </w:rPr>
        <w:t>Pripomienka uvádza najnovšiu</w:t>
      </w:r>
      <w:r w:rsidRPr="00C5460E">
        <w:rPr>
          <w:rStyle w:val="Emphasis"/>
          <w:rFonts w:ascii="Arial" w:hAnsi="Arial" w:cs="Arial"/>
        </w:rPr>
        <w:t xml:space="preserve"> </w:t>
      </w:r>
      <w:r w:rsidRPr="009732DC">
        <w:rPr>
          <w:rStyle w:val="Emphasis"/>
          <w:rFonts w:ascii="Arial" w:hAnsi="Arial" w:cs="Arial"/>
          <w:b w:val="0"/>
        </w:rPr>
        <w:t xml:space="preserve">informáciu o publikácii konsolidovaného znenia Zmluvy o fungovaní Európskej únie v úradnom vestníku. 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I, 10.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V § 68c ods. 3 sa za slová „osoba identifikovaná“ vkladajú slová „pre daň“.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5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Pripomienka pojmovo zjednocuje návrh zákona s platným znením zákona č. 222/2004 Z. z. o dani z pridanej hodnoty v znení neskorších predpisov.</w:t>
      </w: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IV, 1.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V § 47a ods. 3 sa slová „daňovému subjektu“ nahrádzajú slovami „kontrolovanému daňovému subjektu“. </w:t>
      </w:r>
    </w:p>
    <w:p w:rsid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Pripomienka terminologicky precizuje navrhovaný text. 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V, 1.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2 ods. 1 písm. c) v poznámke pod čiarou k odkazu 1a sa na konci pripájajú slová: „(Ú. v. EÚ C 326, 26. 10. 2012)“.</w:t>
      </w:r>
    </w:p>
    <w:p w:rsidR="00C5460E" w:rsidRPr="009732DC" w:rsidP="00C5460E">
      <w:pPr>
        <w:pStyle w:val="ListParagraph"/>
        <w:overflowPunct w:val="0"/>
        <w:autoSpaceDE w:val="0"/>
        <w:autoSpaceDN w:val="0"/>
        <w:adjustRightInd w:val="0"/>
        <w:ind w:left="4395"/>
        <w:jc w:val="both"/>
        <w:rPr>
          <w:rStyle w:val="Emphasis"/>
          <w:rFonts w:ascii="Arial" w:hAnsi="Arial" w:cs="Arial"/>
          <w:b w:val="0"/>
        </w:rPr>
      </w:pPr>
      <w:r w:rsidRPr="00C5460E">
        <w:rPr>
          <w:rFonts w:ascii="Arial" w:hAnsi="Arial" w:cs="Arial"/>
          <w:color w:val="000000"/>
        </w:rPr>
        <w:t xml:space="preserve">Pripomienka uvádza </w:t>
      </w:r>
      <w:r w:rsidRPr="009732DC">
        <w:rPr>
          <w:rStyle w:val="Emphasis"/>
          <w:rFonts w:ascii="Arial" w:hAnsi="Arial" w:cs="Arial"/>
          <w:b w:val="0"/>
        </w:rPr>
        <w:t>informáciu o publikácii konsolidovaného znenia Zmluvy o fungovaní Európskej únie v úradnom vestníku.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5"/>
        <w:jc w:val="both"/>
        <w:rPr>
          <w:rFonts w:ascii="Arial" w:hAnsi="Arial" w:cs="Arial"/>
          <w:color w:val="000000"/>
        </w:rPr>
      </w:pPr>
    </w:p>
    <w:p w:rsidR="00C5460E" w:rsidRPr="00C5460E" w:rsidP="00C5460E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C5460E">
        <w:rPr>
          <w:rFonts w:ascii="Arial" w:hAnsi="Arial" w:cs="Arial"/>
          <w:b/>
          <w:color w:val="000000"/>
        </w:rPr>
        <w:t>K čl. V, 6. bodu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>V § 70 ods. 1 písm. w) sa slovo „nepoužil“ nahrádza slovom „nepoužije“.</w:t>
      </w:r>
    </w:p>
    <w:p w:rsidR="00C5460E" w:rsidRPr="00C5460E" w:rsidP="00C5460E">
      <w:pPr>
        <w:pStyle w:val="ListParagraph"/>
        <w:overflowPunct w:val="0"/>
        <w:autoSpaceDE w:val="0"/>
        <w:autoSpaceDN w:val="0"/>
        <w:adjustRightInd w:val="0"/>
        <w:ind w:left="4394"/>
        <w:jc w:val="both"/>
        <w:rPr>
          <w:rFonts w:ascii="Arial" w:hAnsi="Arial" w:cs="Arial"/>
          <w:color w:val="000000"/>
        </w:rPr>
      </w:pPr>
      <w:r w:rsidRPr="00C5460E">
        <w:rPr>
          <w:rFonts w:ascii="Arial" w:hAnsi="Arial" w:cs="Arial"/>
          <w:color w:val="000000"/>
        </w:rPr>
        <w:t xml:space="preserve">Gramatická pripomienka zosúlaďujúca znenie úvodnej vety § 70 ods. 1 s citovaným ustanovením. </w:t>
      </w:r>
    </w:p>
    <w:p w:rsidR="00C5460E" w:rsidRPr="00C5460E" w:rsidP="00686050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2D385F"/>
    <w:multiLevelType w:val="hybridMultilevel"/>
    <w:tmpl w:val="20748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7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0"/>
  </w:num>
  <w:num w:numId="5">
    <w:abstractNumId w:val="38"/>
  </w:num>
  <w:num w:numId="6">
    <w:abstractNumId w:val="0"/>
  </w:num>
  <w:num w:numId="7">
    <w:abstractNumId w:val="33"/>
  </w:num>
  <w:num w:numId="8">
    <w:abstractNumId w:val="37"/>
  </w:num>
  <w:num w:numId="9">
    <w:abstractNumId w:val="32"/>
  </w:num>
  <w:num w:numId="10">
    <w:abstractNumId w:val="1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</w:num>
  <w:num w:numId="18">
    <w:abstractNumId w:val="10"/>
  </w:num>
  <w:num w:numId="19">
    <w:abstractNumId w:val="39"/>
  </w:num>
  <w:num w:numId="20">
    <w:abstractNumId w:val="8"/>
  </w:num>
  <w:num w:numId="21">
    <w:abstractNumId w:val="42"/>
  </w:num>
  <w:num w:numId="22">
    <w:abstractNumId w:val="9"/>
  </w:num>
  <w:num w:numId="23">
    <w:abstractNumId w:val="21"/>
  </w:num>
  <w:num w:numId="24">
    <w:abstractNumId w:val="22"/>
  </w:num>
  <w:num w:numId="25">
    <w:abstractNumId w:val="4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7"/>
  </w:num>
  <w:num w:numId="32">
    <w:abstractNumId w:val="15"/>
  </w:num>
  <w:num w:numId="33">
    <w:abstractNumId w:val="25"/>
  </w:num>
  <w:num w:numId="34">
    <w:abstractNumId w:val="19"/>
  </w:num>
  <w:num w:numId="35">
    <w:abstractNumId w:val="40"/>
  </w:num>
  <w:num w:numId="36">
    <w:abstractNumId w:val="24"/>
  </w:num>
  <w:num w:numId="37">
    <w:abstractNumId w:val="35"/>
  </w:num>
  <w:num w:numId="38">
    <w:abstractNumId w:val="28"/>
  </w:num>
  <w:num w:numId="39">
    <w:abstractNumId w:val="29"/>
  </w:num>
  <w:num w:numId="40">
    <w:abstractNumId w:val="34"/>
  </w:num>
  <w:num w:numId="41">
    <w:abstractNumId w:val="2"/>
  </w:num>
  <w:num w:numId="42">
    <w:abstractNumId w:val="31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5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97C3E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4E7C15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0A7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2FEF"/>
    <w:rsid w:val="006A3463"/>
    <w:rsid w:val="006A3860"/>
    <w:rsid w:val="006C4A64"/>
    <w:rsid w:val="006C7D3C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E3884"/>
    <w:rsid w:val="007F0DC3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C81"/>
    <w:rsid w:val="008A5E9A"/>
    <w:rsid w:val="008A77CD"/>
    <w:rsid w:val="008B3B0F"/>
    <w:rsid w:val="008C10BE"/>
    <w:rsid w:val="008D001B"/>
    <w:rsid w:val="008D001C"/>
    <w:rsid w:val="008D20B9"/>
    <w:rsid w:val="008D6DE8"/>
    <w:rsid w:val="008E6C16"/>
    <w:rsid w:val="008F0B07"/>
    <w:rsid w:val="008F2042"/>
    <w:rsid w:val="008F2636"/>
    <w:rsid w:val="008F3A50"/>
    <w:rsid w:val="008F6121"/>
    <w:rsid w:val="00904EE4"/>
    <w:rsid w:val="009065BC"/>
    <w:rsid w:val="009143D4"/>
    <w:rsid w:val="0091555F"/>
    <w:rsid w:val="00935B21"/>
    <w:rsid w:val="00936C02"/>
    <w:rsid w:val="009429BD"/>
    <w:rsid w:val="00950887"/>
    <w:rsid w:val="00970A7D"/>
    <w:rsid w:val="00972886"/>
    <w:rsid w:val="009732DC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652DF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102A"/>
    <w:rsid w:val="00C320FE"/>
    <w:rsid w:val="00C353C2"/>
    <w:rsid w:val="00C44AE0"/>
    <w:rsid w:val="00C47F34"/>
    <w:rsid w:val="00C5460E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47952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235DD"/>
    <w:rsid w:val="00F33EB5"/>
    <w:rsid w:val="00F5407E"/>
    <w:rsid w:val="00F636F9"/>
    <w:rsid w:val="00F837DA"/>
    <w:rsid w:val="00F83BA5"/>
    <w:rsid w:val="00FA0D68"/>
    <w:rsid w:val="00FB5073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  <w:style w:type="character" w:styleId="Emphasis">
    <w:name w:val="Emphasis"/>
    <w:uiPriority w:val="20"/>
    <w:qFormat/>
    <w:rsid w:val="00C54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50EB-0188-4ECA-9BCA-F62CC4B1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10</cp:revision>
  <cp:lastPrinted>2013-06-11T12:07:00Z</cp:lastPrinted>
  <dcterms:created xsi:type="dcterms:W3CDTF">2014-05-20T08:42:00Z</dcterms:created>
  <dcterms:modified xsi:type="dcterms:W3CDTF">2014-06-11T07:30:00Z</dcterms:modified>
</cp:coreProperties>
</file>