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3E86" w:rsidRPr="007350BD" w:rsidP="00A93E8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93E86" w:rsidRPr="007350BD" w:rsidP="00A93E86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350BD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poslan</w:t>
      </w:r>
      <w:r>
        <w:rPr>
          <w:rFonts w:ascii="Times New Roman" w:hAnsi="Times New Roman"/>
          <w:sz w:val="24"/>
          <w:szCs w:val="24"/>
          <w:lang w:val="sk-SK"/>
        </w:rPr>
        <w:t>ci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A93E86" w:rsidRPr="007350BD" w:rsidP="00A93E8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45BF6" w:rsidRPr="00A45BF6" w:rsidP="00A45BF6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2.</w:t>
      </w:r>
      <w:r>
        <w:rPr>
          <w:rFonts w:ascii="Times New Roman" w:hAnsi="Times New Roman"/>
          <w:bCs w:val="0"/>
          <w:i w:val="0"/>
          <w:sz w:val="24"/>
          <w:szCs w:val="24"/>
        </w:rPr>
        <w:t xml:space="preserve"> </w:t>
      </w: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Názov návrhu právneho predpisu:</w:t>
      </w:r>
      <w:r w:rsidRPr="00A45BF6" w:rsidR="00A93E86">
        <w:rPr>
          <w:rFonts w:ascii="Times New Roman" w:hAnsi="Times New Roman"/>
          <w:i w:val="0"/>
          <w:sz w:val="24"/>
          <w:szCs w:val="24"/>
        </w:rPr>
        <w:t xml:space="preserve"> </w:t>
      </w:r>
      <w:r w:rsidRPr="00A45BF6" w:rsidR="00A93E86">
        <w:rPr>
          <w:rFonts w:ascii="Times New Roman" w:hAnsi="Times New Roman"/>
          <w:b w:val="0"/>
          <w:i w:val="0"/>
          <w:sz w:val="24"/>
          <w:szCs w:val="24"/>
        </w:rPr>
        <w:t xml:space="preserve">Návrh zákona, </w:t>
      </w:r>
      <w:r w:rsidRPr="00A45BF6">
        <w:rPr>
          <w:rFonts w:ascii="Times New Roman" w:hAnsi="Times New Roman"/>
          <w:b w:val="0"/>
          <w:i w:val="0"/>
          <w:sz w:val="24"/>
          <w:szCs w:val="24"/>
        </w:rPr>
        <w:t xml:space="preserve">ktorým sa dopĺňa zákon č. 627/2005 Z. z.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</w:t>
      </w:r>
      <w:r w:rsidRPr="00A45BF6">
        <w:rPr>
          <w:rFonts w:ascii="Times New Roman" w:hAnsi="Times New Roman"/>
          <w:b w:val="0"/>
          <w:i w:val="0"/>
          <w:sz w:val="24"/>
          <w:szCs w:val="24"/>
        </w:rPr>
        <w:t xml:space="preserve">o príspevkoch na podporu náhradnej starostlivosti o dieťa v znení neskorších predpisov </w:t>
      </w:r>
    </w:p>
    <w:p w:rsidR="00A93E86" w:rsidRPr="00A45BF6" w:rsidP="00A93E86">
      <w:pPr>
        <w:bidi w:val="0"/>
        <w:spacing w:after="0" w:line="240" w:lineRule="auto"/>
        <w:rPr>
          <w:rFonts w:ascii="Times New Roman" w:hAnsi="Times New Roman" w:cs="Verdana"/>
          <w:b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a)</w:t>
        <w:tab/>
        <w:t>nie je upravená v práve Európskej únie</w:t>
      </w: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93E86" w:rsidRPr="007350BD" w:rsidP="00A93E86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A93E86" w:rsidRPr="007350BD" w:rsidP="00A93E8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93E86" w:rsidRPr="007350BD" w:rsidP="00A93E86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A93E86" w:rsidRPr="007350BD" w:rsidP="00A93E86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A93E86" w:rsidRPr="007350BD" w:rsidP="00A93E8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br/>
      </w: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A93E86" w:rsidRPr="007350BD" w:rsidP="00A93E86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350BD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A93E86" w:rsidRPr="007350BD" w:rsidP="00A93E86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A45BF6" w:rsidRPr="00A45BF6" w:rsidP="00A45BF6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45BF6" w:rsidR="00A93E86">
        <w:rPr>
          <w:rFonts w:ascii="Times New Roman" w:hAnsi="Times New Roman"/>
          <w:bCs w:val="0"/>
          <w:i w:val="0"/>
          <w:sz w:val="24"/>
          <w:szCs w:val="24"/>
        </w:rPr>
        <w:t>A.1. Názov materiálu:</w:t>
      </w:r>
      <w:r w:rsidRPr="00A45BF6" w:rsidR="00A93E86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A45BF6">
        <w:rPr>
          <w:rFonts w:ascii="Times New Roman" w:hAnsi="Times New Roman"/>
          <w:b w:val="0"/>
          <w:i w:val="0"/>
          <w:sz w:val="24"/>
          <w:szCs w:val="24"/>
        </w:rPr>
        <w:t xml:space="preserve">Návrh zákona, ktorým sa dopĺňa zákon č. 627/2005 Z. z.                                o príspevkoch na podporu náhradnej starostlivosti o dieťa v znení neskorších predpisov </w:t>
      </w:r>
    </w:p>
    <w:p w:rsidR="00A93E86" w:rsidRPr="00A45BF6" w:rsidP="00A45BF6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A93E86" w:rsidRPr="00A45BF6" w:rsidP="00A93E86">
      <w:pPr>
        <w:bidi w:val="0"/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A45BF6">
        <w:rPr>
          <w:rFonts w:ascii="Times New Roman" w:hAnsi="Times New Roman"/>
          <w:b/>
          <w:bCs/>
          <w:sz w:val="24"/>
          <w:szCs w:val="24"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Pozitívne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7350BD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Žiadne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Negatívne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A45BF6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3E86" w:rsidRPr="007350BD" w:rsidP="00A93E86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7350BD">
        <w:rPr>
          <w:rFonts w:ascii="Times New Roman" w:hAnsi="Times New Roman"/>
          <w:sz w:val="16"/>
          <w:szCs w:val="16"/>
        </w:rPr>
        <w:t>*</w:t>
      </w:r>
      <w:r w:rsidRPr="007350BD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93E86" w:rsidP="00A93E86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7350BD">
        <w:rPr>
          <w:rFonts w:ascii="Times New Roman" w:hAnsi="Times New Roman"/>
          <w:b/>
          <w:bCs/>
        </w:rPr>
        <w:t>A.3. Poznámky</w:t>
      </w:r>
    </w:p>
    <w:p w:rsidR="00A45BF6" w:rsidRPr="00A45BF6" w:rsidP="00A93E86">
      <w:pPr>
        <w:pStyle w:val="BodyText"/>
        <w:bidi w:val="0"/>
        <w:jc w:val="both"/>
        <w:outlineLvl w:val="0"/>
        <w:rPr>
          <w:rFonts w:ascii="Times New Roman" w:hAnsi="Times New Roman"/>
          <w:bCs/>
        </w:rPr>
      </w:pPr>
      <w:r w:rsidRPr="00A45BF6">
        <w:rPr>
          <w:rFonts w:ascii="Times New Roman" w:hAnsi="Times New Roman"/>
          <w:bCs/>
        </w:rPr>
        <w:t>Návrh bude mať pozitívny vplyv na štátny rozpočet, keďže sa u</w:t>
      </w:r>
      <w:r>
        <w:rPr>
          <w:rFonts w:ascii="Times New Roman" w:hAnsi="Times New Roman"/>
          <w:bCs/>
        </w:rPr>
        <w:t>sporia</w:t>
      </w:r>
      <w:r w:rsidRPr="00A45BF6">
        <w:rPr>
          <w:rFonts w:ascii="Times New Roman" w:hAnsi="Times New Roman"/>
          <w:bCs/>
        </w:rPr>
        <w:t xml:space="preserve"> výdavky na vyplácaných príspevkoch, avšak </w:t>
      </w:r>
      <w:r>
        <w:rPr>
          <w:rFonts w:ascii="Times New Roman" w:hAnsi="Times New Roman"/>
          <w:bCs/>
        </w:rPr>
        <w:t>vzhľadom na absenciu presných štatistík nie je možné výšku usporených výdavkov kvantifikovať.</w:t>
      </w:r>
    </w:p>
    <w:p w:rsidR="00A93E86" w:rsidRPr="007350BD" w:rsidP="00A93E86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>A.4. Alternatívne riešenia</w:t>
      </w:r>
    </w:p>
    <w:p w:rsidR="00A93E86" w:rsidRPr="007350BD" w:rsidP="00A93E86">
      <w:pPr>
        <w:pStyle w:val="BodyText"/>
        <w:bidi w:val="0"/>
        <w:jc w:val="both"/>
        <w:rPr>
          <w:rFonts w:ascii="Times New Roman" w:hAnsi="Times New Roman"/>
          <w:b/>
        </w:rPr>
      </w:pPr>
      <w:r w:rsidRPr="007350BD">
        <w:rPr>
          <w:rFonts w:ascii="Times New Roman" w:hAnsi="Times New Roman"/>
        </w:rPr>
        <w:t xml:space="preserve">Nepredkladajú sa. </w:t>
      </w:r>
    </w:p>
    <w:p w:rsidR="00A93E86" w:rsidRPr="007350BD" w:rsidP="00A93E86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 xml:space="preserve">A.5. Stanovisko gestorov </w:t>
      </w:r>
    </w:p>
    <w:p w:rsidR="00A93E86" w:rsidRPr="007350BD" w:rsidP="00A93E86">
      <w:pPr>
        <w:bidi w:val="0"/>
        <w:rPr>
          <w:rFonts w:ascii="Times New Roman" w:hAnsi="Times New Roman"/>
          <w:lang w:val="sk-SK"/>
        </w:rPr>
      </w:pPr>
      <w:r w:rsidRPr="007350BD">
        <w:rPr>
          <w:rFonts w:ascii="Times New Roman" w:hAnsi="Times New Roman"/>
          <w:lang w:val="sk-SK"/>
        </w:rPr>
        <w:t xml:space="preserve">Bezpredmetné </w:t>
      </w:r>
    </w:p>
    <w:p w:rsidR="00207304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3E86"/>
    <w:rsid w:val="00207304"/>
    <w:rsid w:val="00510D8A"/>
    <w:rsid w:val="005527B4"/>
    <w:rsid w:val="00596CC9"/>
    <w:rsid w:val="005E2159"/>
    <w:rsid w:val="007350BD"/>
    <w:rsid w:val="00A43788"/>
    <w:rsid w:val="00A45BF6"/>
    <w:rsid w:val="00A93E86"/>
    <w:rsid w:val="00AF32D0"/>
    <w:rsid w:val="00C62CC6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86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BF6"/>
    <w:pPr>
      <w:keepNext/>
      <w:widowControl/>
      <w:adjustRightInd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93E86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3E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3E86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3E8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45BF6"/>
    <w:rPr>
      <w:rFonts w:ascii="Cambria" w:hAnsi="Cambria" w:cs="Times New Roman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1798</Characters>
  <Application>Microsoft Office Word</Application>
  <DocSecurity>0</DocSecurity>
  <Lines>0</Lines>
  <Paragraphs>0</Paragraphs>
  <ScaleCrop>false</ScaleCrop>
  <Company>Kancelaria NR SR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2014-06-06T09:35:00Z</cp:lastPrinted>
  <dcterms:created xsi:type="dcterms:W3CDTF">2014-06-06T16:00:00Z</dcterms:created>
  <dcterms:modified xsi:type="dcterms:W3CDTF">2014-06-06T16:00:00Z</dcterms:modified>
</cp:coreProperties>
</file>