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5355" w:rsidRPr="00154E67" w:rsidP="00015355">
      <w:pPr>
        <w:bidi w:val="0"/>
        <w:jc w:val="center"/>
        <w:rPr>
          <w:rFonts w:ascii="Times New Roman" w:hAnsi="Times New Roman" w:cs="Times New Roman"/>
          <w:b/>
          <w:bCs/>
          <w:caps/>
          <w:spacing w:val="30"/>
          <w:sz w:val="24"/>
          <w:szCs w:val="24"/>
        </w:rPr>
      </w:pPr>
      <w:r w:rsidRPr="00154E67">
        <w:rPr>
          <w:rFonts w:ascii="Times New Roman" w:hAnsi="Times New Roman" w:cs="Times New Roman"/>
          <w:b/>
          <w:bCs/>
          <w:caps/>
          <w:spacing w:val="30"/>
          <w:sz w:val="24"/>
          <w:szCs w:val="24"/>
        </w:rPr>
        <w:t>Doložka zlučiteľnosti</w:t>
      </w:r>
    </w:p>
    <w:p w:rsidR="00015355" w:rsidRPr="00154E67" w:rsidP="00015355">
      <w:pPr>
        <w:bidi w:val="0"/>
        <w:jc w:val="center"/>
        <w:rPr>
          <w:rFonts w:ascii="Times New Roman" w:hAnsi="Times New Roman" w:cs="Times New Roman"/>
          <w:b/>
          <w:bCs/>
          <w:sz w:val="24"/>
          <w:szCs w:val="24"/>
        </w:rPr>
      </w:pPr>
      <w:r w:rsidRPr="00154E67">
        <w:rPr>
          <w:rFonts w:ascii="Times New Roman" w:hAnsi="Times New Roman" w:cs="Times New Roman"/>
          <w:b/>
          <w:bCs/>
          <w:sz w:val="24"/>
          <w:szCs w:val="24"/>
        </w:rPr>
        <w:t xml:space="preserve">návrhu zákona  </w:t>
      </w:r>
    </w:p>
    <w:p w:rsidR="00015355" w:rsidRPr="00154E67" w:rsidP="00015355">
      <w:pPr>
        <w:bidi w:val="0"/>
        <w:jc w:val="center"/>
        <w:rPr>
          <w:rFonts w:ascii="Times New Roman" w:hAnsi="Times New Roman" w:cs="Times New Roman"/>
          <w:b/>
          <w:bCs/>
          <w:sz w:val="24"/>
          <w:szCs w:val="24"/>
        </w:rPr>
      </w:pPr>
      <w:r w:rsidRPr="00154E67">
        <w:rPr>
          <w:rFonts w:ascii="Times New Roman" w:hAnsi="Times New Roman" w:cs="Times New Roman"/>
          <w:b/>
          <w:bCs/>
          <w:sz w:val="24"/>
          <w:szCs w:val="24"/>
        </w:rPr>
        <w:t>s právom Európskej únie </w:t>
      </w:r>
    </w:p>
    <w:p w:rsidR="00015355" w:rsidRPr="00154E67" w:rsidP="00015355">
      <w:pPr>
        <w:bidi w:val="0"/>
        <w:rPr>
          <w:rFonts w:ascii="Times New Roman" w:hAnsi="Times New Roman" w:cs="Times New Roman"/>
          <w:sz w:val="24"/>
          <w:szCs w:val="24"/>
        </w:rPr>
      </w:pPr>
    </w:p>
    <w:p w:rsidR="00015355" w:rsidRPr="00154E67" w:rsidP="00015355">
      <w:pPr>
        <w:bidi w:val="0"/>
        <w:ind w:left="360" w:hanging="360"/>
        <w:rPr>
          <w:rFonts w:ascii="Times New Roman" w:hAnsi="Times New Roman" w:cs="Times New Roman"/>
          <w:b/>
          <w:bCs/>
          <w:sz w:val="24"/>
          <w:szCs w:val="24"/>
        </w:rPr>
      </w:pPr>
      <w:r w:rsidRPr="00154E67">
        <w:rPr>
          <w:rFonts w:ascii="Times New Roman" w:hAnsi="Times New Roman" w:cs="Times New Roman"/>
          <w:b/>
          <w:bCs/>
          <w:sz w:val="24"/>
          <w:szCs w:val="24"/>
        </w:rPr>
        <w:t>1.</w:t>
        <w:tab/>
        <w:t>Predkladateľ právneho predpisu:</w:t>
      </w:r>
      <w:r>
        <w:rPr>
          <w:rFonts w:ascii="Times New Roman" w:hAnsi="Times New Roman" w:cs="Times New Roman"/>
          <w:sz w:val="24"/>
          <w:szCs w:val="24"/>
        </w:rPr>
        <w:t xml:space="preserve"> poslanci</w:t>
      </w:r>
      <w:r w:rsidRPr="00154E67">
        <w:rPr>
          <w:rFonts w:ascii="Times New Roman" w:hAnsi="Times New Roman" w:cs="Times New Roman"/>
          <w:sz w:val="24"/>
          <w:szCs w:val="24"/>
        </w:rPr>
        <w:t xml:space="preserve"> Národnej rady Slovenskej republiky Daniel Lipšic </w:t>
      </w:r>
      <w:r>
        <w:rPr>
          <w:rFonts w:ascii="Times New Roman" w:hAnsi="Times New Roman" w:cs="Times New Roman"/>
          <w:sz w:val="24"/>
          <w:szCs w:val="24"/>
        </w:rPr>
        <w:t>a Jana Žitňanská</w:t>
      </w:r>
    </w:p>
    <w:p w:rsidR="00015355" w:rsidRPr="00154E67" w:rsidP="00015355">
      <w:pPr>
        <w:tabs>
          <w:tab w:val="left" w:pos="360"/>
        </w:tabs>
        <w:bidi w:val="0"/>
        <w:ind w:left="360"/>
        <w:rPr>
          <w:rFonts w:ascii="Times New Roman" w:hAnsi="Times New Roman" w:cs="Times New Roman"/>
          <w:sz w:val="24"/>
          <w:szCs w:val="24"/>
        </w:rPr>
      </w:pPr>
      <w:r w:rsidRPr="00154E67">
        <w:rPr>
          <w:rFonts w:ascii="Times New Roman" w:hAnsi="Times New Roman" w:cs="Times New Roman"/>
          <w:sz w:val="24"/>
          <w:szCs w:val="24"/>
        </w:rPr>
        <w:t xml:space="preserve"> </w:t>
      </w:r>
    </w:p>
    <w:p w:rsidR="00015355" w:rsidRPr="00154E67" w:rsidP="00015355">
      <w:pPr>
        <w:bidi w:val="0"/>
        <w:rPr>
          <w:rFonts w:ascii="Times New Roman" w:hAnsi="Times New Roman" w:cs="Times New Roman"/>
          <w:sz w:val="24"/>
          <w:szCs w:val="24"/>
        </w:rPr>
      </w:pPr>
      <w:r w:rsidRPr="00154E67">
        <w:rPr>
          <w:rFonts w:ascii="Times New Roman" w:hAnsi="Times New Roman" w:cs="Times New Roman"/>
          <w:b/>
          <w:bCs/>
          <w:sz w:val="24"/>
          <w:szCs w:val="24"/>
        </w:rPr>
        <w:t xml:space="preserve">2.   Názov návrhu právneho predpisu: </w:t>
      </w:r>
      <w:r w:rsidRPr="00154E67">
        <w:rPr>
          <w:rFonts w:ascii="Times New Roman" w:hAnsi="Times New Roman" w:cs="Times New Roman"/>
          <w:sz w:val="24"/>
          <w:szCs w:val="24"/>
        </w:rPr>
        <w:t xml:space="preserve">návrh zákona, ktorým sa </w:t>
      </w:r>
      <w:r>
        <w:rPr>
          <w:rFonts w:ascii="Times New Roman" w:hAnsi="Times New Roman" w:cs="Times New Roman"/>
          <w:sz w:val="24"/>
          <w:szCs w:val="24"/>
        </w:rPr>
        <w:t>mení a dopĺňa</w:t>
      </w:r>
      <w:r w:rsidRPr="00154E67">
        <w:rPr>
          <w:rFonts w:ascii="Times New Roman" w:hAnsi="Times New Roman" w:cs="Times New Roman"/>
          <w:sz w:val="24"/>
          <w:szCs w:val="24"/>
        </w:rPr>
        <w:t xml:space="preserve"> zákon </w:t>
      </w:r>
      <w:r w:rsidRPr="00587164">
        <w:rPr>
          <w:rFonts w:ascii="Times New Roman" w:hAnsi="Times New Roman" w:cs="Times New Roman"/>
          <w:sz w:val="24"/>
          <w:szCs w:val="24"/>
        </w:rPr>
        <w:t xml:space="preserve">č. </w:t>
      </w:r>
      <w:r w:rsidRPr="00A210DF">
        <w:rPr>
          <w:rFonts w:ascii="Times New Roman" w:hAnsi="Times New Roman" w:cs="Times New Roman"/>
          <w:sz w:val="24"/>
          <w:szCs w:val="24"/>
        </w:rPr>
        <w:t>595/2003 Z. z. o dani z</w:t>
      </w:r>
      <w:r>
        <w:rPr>
          <w:rFonts w:ascii="Times New Roman" w:hAnsi="Times New Roman" w:cs="Times New Roman"/>
          <w:sz w:val="24"/>
          <w:szCs w:val="24"/>
        </w:rPr>
        <w:t> </w:t>
      </w:r>
      <w:r w:rsidRPr="00A210DF">
        <w:rPr>
          <w:rFonts w:ascii="Times New Roman" w:hAnsi="Times New Roman" w:cs="Times New Roman"/>
          <w:sz w:val="24"/>
          <w:szCs w:val="24"/>
        </w:rPr>
        <w:t>príjmov</w:t>
      </w:r>
      <w:r>
        <w:rPr>
          <w:rFonts w:ascii="Times New Roman" w:hAnsi="Times New Roman" w:cs="Times New Roman"/>
          <w:sz w:val="24"/>
          <w:szCs w:val="24"/>
        </w:rPr>
        <w:t xml:space="preserve"> v znení neskorších predpisov</w:t>
      </w:r>
    </w:p>
    <w:p w:rsidR="00015355" w:rsidRPr="00154E67" w:rsidP="00015355">
      <w:pPr>
        <w:bidi w:val="0"/>
        <w:rPr>
          <w:rFonts w:ascii="Times New Roman" w:hAnsi="Times New Roman" w:cs="Times New Roman"/>
          <w:b/>
          <w:bCs/>
          <w:sz w:val="24"/>
          <w:szCs w:val="24"/>
        </w:rPr>
      </w:pPr>
    </w:p>
    <w:p w:rsidR="00015355" w:rsidRPr="00154E67" w:rsidP="00015355">
      <w:pPr>
        <w:bidi w:val="0"/>
        <w:ind w:left="540" w:hanging="540"/>
        <w:rPr>
          <w:rFonts w:ascii="Times New Roman" w:hAnsi="Times New Roman" w:cs="Times New Roman"/>
          <w:b/>
          <w:bCs/>
          <w:sz w:val="24"/>
          <w:szCs w:val="24"/>
        </w:rPr>
      </w:pPr>
      <w:r w:rsidRPr="00154E67">
        <w:rPr>
          <w:rFonts w:ascii="Times New Roman" w:hAnsi="Times New Roman" w:cs="Times New Roman"/>
          <w:b/>
          <w:bCs/>
          <w:sz w:val="24"/>
          <w:szCs w:val="24"/>
        </w:rPr>
        <w:t>3.</w:t>
        <w:tab/>
        <w:t>Problematika návrhu právneho predpisu:</w:t>
      </w:r>
    </w:p>
    <w:p w:rsidR="00015355" w:rsidRPr="00154E67" w:rsidP="00015355">
      <w:pPr>
        <w:bidi w:val="0"/>
        <w:ind w:left="851"/>
        <w:rPr>
          <w:rFonts w:ascii="Times New Roman" w:hAnsi="Times New Roman" w:cs="Times New Roman"/>
          <w:sz w:val="24"/>
          <w:szCs w:val="24"/>
        </w:rPr>
      </w:pPr>
      <w:r w:rsidRPr="00154E67">
        <w:rPr>
          <w:rFonts w:ascii="Times New Roman" w:hAnsi="Times New Roman" w:cs="Times New Roman"/>
          <w:sz w:val="24"/>
          <w:szCs w:val="24"/>
        </w:rPr>
        <w:t> </w:t>
      </w:r>
    </w:p>
    <w:p w:rsidR="00015355" w:rsidRPr="00154E67" w:rsidP="00015355">
      <w:pPr>
        <w:pStyle w:val="ListParagraph"/>
        <w:numPr>
          <w:numId w:val="1"/>
        </w:numPr>
        <w:bidi w:val="0"/>
        <w:spacing w:before="0" w:after="0" w:line="276" w:lineRule="auto"/>
        <w:jc w:val="both"/>
        <w:rPr>
          <w:rFonts w:ascii="Times New Roman" w:hAnsi="Times New Roman" w:cs="Times New Roman"/>
          <w:szCs w:val="24"/>
        </w:rPr>
      </w:pPr>
      <w:r w:rsidRPr="00154E67">
        <w:rPr>
          <w:rFonts w:ascii="Times New Roman" w:hAnsi="Times New Roman" w:cs="Times New Roman"/>
          <w:szCs w:val="24"/>
        </w:rPr>
        <w:t xml:space="preserve">nie je upravená v práve Európskej únie  </w:t>
      </w:r>
    </w:p>
    <w:p w:rsidR="00015355" w:rsidRPr="00154E67" w:rsidP="00015355">
      <w:pPr>
        <w:bidi w:val="0"/>
        <w:rPr>
          <w:rFonts w:ascii="Times New Roman" w:hAnsi="Times New Roman" w:cs="Times New Roman"/>
          <w:sz w:val="24"/>
          <w:szCs w:val="24"/>
        </w:rPr>
      </w:pPr>
    </w:p>
    <w:p w:rsidR="00015355" w:rsidRPr="00154E67" w:rsidP="00015355">
      <w:pPr>
        <w:bidi w:val="0"/>
        <w:ind w:left="709" w:hanging="349"/>
        <w:rPr>
          <w:rFonts w:ascii="Times New Roman" w:hAnsi="Times New Roman" w:cs="Times New Roman"/>
          <w:sz w:val="24"/>
          <w:szCs w:val="24"/>
        </w:rPr>
      </w:pPr>
      <w:r w:rsidRPr="00154E67">
        <w:rPr>
          <w:rFonts w:ascii="Times New Roman" w:hAnsi="Times New Roman" w:cs="Times New Roman"/>
          <w:sz w:val="24"/>
          <w:szCs w:val="24"/>
        </w:rPr>
        <w:t>b)</w:t>
        <w:tab/>
        <w:t xml:space="preserve">nie je obsiahnutá v judikatúre </w:t>
      </w:r>
      <w:r>
        <w:rPr>
          <w:rFonts w:ascii="Times New Roman" w:hAnsi="Times New Roman" w:cs="Times New Roman"/>
          <w:sz w:val="24"/>
          <w:szCs w:val="24"/>
        </w:rPr>
        <w:t>Súdneho dvora Európskej únie</w:t>
      </w:r>
    </w:p>
    <w:p w:rsidR="00015355" w:rsidRPr="00154E67" w:rsidP="00015355">
      <w:pPr>
        <w:bidi w:val="0"/>
        <w:ind w:left="720"/>
        <w:rPr>
          <w:rFonts w:ascii="Times New Roman" w:hAnsi="Times New Roman" w:cs="Times New Roman"/>
          <w:sz w:val="24"/>
          <w:szCs w:val="24"/>
        </w:rPr>
      </w:pPr>
    </w:p>
    <w:p w:rsidR="00015355" w:rsidRPr="00154E67" w:rsidP="00015355">
      <w:pPr>
        <w:bidi w:val="0"/>
        <w:ind w:left="360" w:hanging="360"/>
        <w:rPr>
          <w:rFonts w:ascii="Times New Roman" w:hAnsi="Times New Roman" w:cs="Times New Roman"/>
          <w:b/>
          <w:bCs/>
          <w:sz w:val="24"/>
          <w:szCs w:val="24"/>
        </w:rPr>
      </w:pPr>
      <w:r w:rsidRPr="00154E67">
        <w:rPr>
          <w:rFonts w:ascii="Times New Roman" w:hAnsi="Times New Roman" w:cs="Times New Roman"/>
          <w:b/>
          <w:bCs/>
          <w:sz w:val="24"/>
          <w:szCs w:val="24"/>
        </w:rPr>
        <w:t>4.</w:t>
        <w:tab/>
        <w:t xml:space="preserve">Záväzky Slovenskej republiky vo vzťahu k  Európskej únii: </w:t>
      </w:r>
    </w:p>
    <w:p w:rsidR="00015355" w:rsidRPr="00154E67" w:rsidP="00015355">
      <w:pPr>
        <w:bidi w:val="0"/>
        <w:rPr>
          <w:rFonts w:ascii="Times New Roman" w:hAnsi="Times New Roman" w:cs="Times New Roman"/>
          <w:sz w:val="24"/>
          <w:szCs w:val="24"/>
        </w:rPr>
      </w:pPr>
    </w:p>
    <w:p w:rsidR="00015355" w:rsidRPr="00154E67" w:rsidP="00015355">
      <w:pPr>
        <w:bidi w:val="0"/>
        <w:ind w:left="720"/>
        <w:rPr>
          <w:rFonts w:ascii="Times New Roman" w:hAnsi="Times New Roman" w:cs="Times New Roman"/>
          <w:sz w:val="24"/>
          <w:szCs w:val="24"/>
        </w:rPr>
      </w:pPr>
      <w:r w:rsidRPr="00154E67">
        <w:rPr>
          <w:rFonts w:ascii="Times New Roman" w:hAnsi="Times New Roman" w:cs="Times New Roman"/>
          <w:sz w:val="24"/>
          <w:szCs w:val="24"/>
        </w:rPr>
        <w:t>bezpredmetné</w:t>
      </w:r>
    </w:p>
    <w:p w:rsidR="00015355" w:rsidRPr="00154E67" w:rsidP="00015355">
      <w:pPr>
        <w:bidi w:val="0"/>
        <w:rPr>
          <w:rFonts w:ascii="Times New Roman" w:hAnsi="Times New Roman" w:cs="Times New Roman"/>
          <w:sz w:val="24"/>
          <w:szCs w:val="24"/>
        </w:rPr>
      </w:pPr>
    </w:p>
    <w:p w:rsidR="00015355" w:rsidRPr="00154E67" w:rsidP="00015355">
      <w:pPr>
        <w:bidi w:val="0"/>
        <w:ind w:left="360" w:hanging="360"/>
        <w:rPr>
          <w:rFonts w:ascii="Times New Roman" w:hAnsi="Times New Roman" w:cs="Times New Roman"/>
          <w:b/>
          <w:bCs/>
          <w:sz w:val="24"/>
          <w:szCs w:val="24"/>
        </w:rPr>
      </w:pPr>
      <w:r w:rsidRPr="00154E67">
        <w:rPr>
          <w:rFonts w:ascii="Times New Roman" w:hAnsi="Times New Roman" w:cs="Times New Roman"/>
          <w:b/>
          <w:bCs/>
          <w:sz w:val="24"/>
          <w:szCs w:val="24"/>
        </w:rPr>
        <w:t>5.</w:t>
        <w:tab/>
        <w:t>Stupeň zlučiteľnosti návrhu právneho predpisu alebo návrhu legislatívneho zámeru s právom Európskej únie:</w:t>
      </w:r>
    </w:p>
    <w:p w:rsidR="00015355" w:rsidRPr="00154E67" w:rsidP="00015355">
      <w:pPr>
        <w:bidi w:val="0"/>
        <w:rPr>
          <w:rFonts w:ascii="Times New Roman" w:hAnsi="Times New Roman" w:cs="Times New Roman"/>
          <w:sz w:val="24"/>
          <w:szCs w:val="24"/>
        </w:rPr>
      </w:pPr>
    </w:p>
    <w:p w:rsidR="00015355" w:rsidRPr="00154E67" w:rsidP="00015355">
      <w:pPr>
        <w:bidi w:val="0"/>
        <w:ind w:left="360"/>
        <w:outlineLvl w:val="0"/>
        <w:rPr>
          <w:rFonts w:ascii="Times New Roman" w:hAnsi="Times New Roman" w:cs="Times New Roman"/>
          <w:sz w:val="24"/>
          <w:szCs w:val="24"/>
        </w:rPr>
      </w:pPr>
      <w:r w:rsidRPr="00154E67">
        <w:rPr>
          <w:rFonts w:ascii="Times New Roman" w:hAnsi="Times New Roman" w:cs="Times New Roman"/>
          <w:sz w:val="24"/>
          <w:szCs w:val="24"/>
        </w:rPr>
        <w:t>Vzhľadom na vnútroštátny charakter upravovanej problematiky je bezpredmetné vyjadrovanie stupňa zlučiteľnosti návrh</w:t>
      </w:r>
      <w:r>
        <w:rPr>
          <w:rFonts w:ascii="Times New Roman" w:hAnsi="Times New Roman" w:cs="Times New Roman"/>
          <w:sz w:val="24"/>
          <w:szCs w:val="24"/>
        </w:rPr>
        <w:t>u právneho predpisu s právom EÚ</w:t>
      </w:r>
    </w:p>
    <w:p w:rsidR="00015355" w:rsidRPr="00154E67" w:rsidP="00015355">
      <w:pPr>
        <w:bidi w:val="0"/>
        <w:rPr>
          <w:rFonts w:ascii="Times New Roman" w:hAnsi="Times New Roman" w:cs="Times New Roman"/>
          <w:sz w:val="24"/>
          <w:szCs w:val="24"/>
        </w:rPr>
      </w:pPr>
    </w:p>
    <w:p w:rsidR="00015355" w:rsidRPr="00154E67" w:rsidP="00015355">
      <w:pPr>
        <w:bidi w:val="0"/>
        <w:ind w:left="360" w:hanging="360"/>
        <w:rPr>
          <w:rFonts w:ascii="Times New Roman" w:hAnsi="Times New Roman" w:cs="Times New Roman"/>
          <w:b/>
          <w:bCs/>
          <w:sz w:val="24"/>
          <w:szCs w:val="24"/>
        </w:rPr>
      </w:pPr>
      <w:r w:rsidRPr="00154E67">
        <w:rPr>
          <w:rFonts w:ascii="Times New Roman" w:hAnsi="Times New Roman" w:cs="Times New Roman"/>
          <w:b/>
          <w:bCs/>
          <w:sz w:val="24"/>
          <w:szCs w:val="24"/>
        </w:rPr>
        <w:t>6.</w:t>
        <w:tab/>
        <w:t xml:space="preserve">Gestor a spolupracujúce rezorty: </w:t>
      </w: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P="00015355">
      <w:pPr>
        <w:pStyle w:val="NormalWeb"/>
        <w:bidi w:val="0"/>
        <w:spacing w:before="0" w:beforeAutospacing="0" w:after="0" w:afterAutospacing="0"/>
        <w:jc w:val="center"/>
        <w:rPr>
          <w:rFonts w:ascii="Times New Roman" w:hAnsi="Times New Roman"/>
          <w:b/>
          <w:bCs/>
          <w:caps/>
          <w:color w:val="000000"/>
          <w:spacing w:val="30"/>
        </w:rPr>
      </w:pPr>
    </w:p>
    <w:p w:rsidR="00015355" w:rsidRPr="00154E67" w:rsidP="00015355">
      <w:pPr>
        <w:pStyle w:val="NormalWeb"/>
        <w:bidi w:val="0"/>
        <w:spacing w:before="0" w:beforeAutospacing="0" w:after="0" w:afterAutospacing="0"/>
        <w:jc w:val="center"/>
        <w:rPr>
          <w:rFonts w:ascii="Times New Roman" w:hAnsi="Times New Roman"/>
        </w:rPr>
      </w:pPr>
      <w:r w:rsidRPr="00154E67">
        <w:rPr>
          <w:rFonts w:ascii="Times New Roman" w:hAnsi="Times New Roman"/>
          <w:b/>
          <w:bCs/>
          <w:caps/>
          <w:color w:val="000000"/>
          <w:spacing w:val="30"/>
        </w:rPr>
        <w:t>Doložka</w:t>
      </w:r>
    </w:p>
    <w:p w:rsidR="00015355" w:rsidRPr="00154E67" w:rsidP="00015355">
      <w:pPr>
        <w:pStyle w:val="NormalWeb"/>
        <w:bidi w:val="0"/>
        <w:spacing w:before="0" w:beforeAutospacing="0" w:after="0" w:afterAutospacing="0"/>
        <w:jc w:val="center"/>
        <w:rPr>
          <w:rFonts w:ascii="Times New Roman" w:hAnsi="Times New Roman"/>
        </w:rPr>
      </w:pPr>
      <w:r w:rsidRPr="00154E67">
        <w:rPr>
          <w:rFonts w:ascii="Times New Roman" w:hAnsi="Times New Roman"/>
          <w:b/>
          <w:bCs/>
          <w:color w:val="000000"/>
        </w:rPr>
        <w:t>vybraných vplyvov</w:t>
      </w:r>
    </w:p>
    <w:p w:rsidR="00015355" w:rsidRPr="00154E67" w:rsidP="00015355">
      <w:pPr>
        <w:pStyle w:val="NormalWeb"/>
        <w:bidi w:val="0"/>
        <w:spacing w:before="0" w:beforeAutospacing="0" w:after="0" w:afterAutospacing="0"/>
        <w:jc w:val="center"/>
        <w:rPr>
          <w:rFonts w:ascii="Times New Roman" w:hAnsi="Times New Roman"/>
        </w:rPr>
      </w:pPr>
    </w:p>
    <w:p w:rsidR="00015355" w:rsidRPr="00154E67" w:rsidP="00015355">
      <w:pPr>
        <w:pStyle w:val="NormalWeb"/>
        <w:bidi w:val="0"/>
        <w:spacing w:before="0" w:beforeAutospacing="0" w:after="0" w:afterAutospacing="0"/>
        <w:rPr>
          <w:rFonts w:ascii="Times New Roman" w:hAnsi="Times New Roman"/>
        </w:rPr>
      </w:pPr>
      <w:r w:rsidRPr="00154E67">
        <w:rPr>
          <w:rFonts w:ascii="Times New Roman" w:hAnsi="Times New Roman"/>
          <w:b/>
          <w:bCs/>
          <w:color w:val="000000"/>
        </w:rPr>
        <w:t> </w:t>
      </w:r>
    </w:p>
    <w:p w:rsidR="00015355" w:rsidRPr="00154E67" w:rsidP="00015355">
      <w:pPr>
        <w:bidi w:val="0"/>
        <w:rPr>
          <w:rFonts w:ascii="Times New Roman" w:hAnsi="Times New Roman" w:cs="Times New Roman"/>
          <w:sz w:val="24"/>
          <w:szCs w:val="24"/>
        </w:rPr>
      </w:pPr>
      <w:r w:rsidRPr="00154E67">
        <w:rPr>
          <w:rFonts w:ascii="Times New Roman" w:hAnsi="Times New Roman" w:cs="Times New Roman"/>
          <w:b/>
          <w:bCs/>
          <w:color w:val="000000"/>
          <w:sz w:val="24"/>
          <w:szCs w:val="24"/>
        </w:rPr>
        <w:t xml:space="preserve">A.1. Názov materiálu: </w:t>
      </w:r>
      <w:r w:rsidRPr="00154E67">
        <w:rPr>
          <w:rFonts w:ascii="Times New Roman" w:hAnsi="Times New Roman" w:cs="Times New Roman"/>
          <w:sz w:val="24"/>
          <w:szCs w:val="24"/>
        </w:rPr>
        <w:t xml:space="preserve">návrh zákona, ktorým sa </w:t>
      </w:r>
      <w:r>
        <w:rPr>
          <w:rFonts w:ascii="Times New Roman" w:hAnsi="Times New Roman" w:cs="Times New Roman"/>
          <w:sz w:val="24"/>
          <w:szCs w:val="24"/>
        </w:rPr>
        <w:t>mení</w:t>
      </w:r>
      <w:r w:rsidRPr="00154E67">
        <w:rPr>
          <w:rFonts w:ascii="Times New Roman" w:hAnsi="Times New Roman" w:cs="Times New Roman"/>
          <w:sz w:val="24"/>
          <w:szCs w:val="24"/>
        </w:rPr>
        <w:t xml:space="preserve"> </w:t>
      </w:r>
      <w:r>
        <w:rPr>
          <w:rFonts w:ascii="Times New Roman" w:hAnsi="Times New Roman" w:cs="Times New Roman"/>
          <w:sz w:val="24"/>
          <w:szCs w:val="24"/>
        </w:rPr>
        <w:t xml:space="preserve">a dopĺňa </w:t>
      </w:r>
      <w:r w:rsidRPr="00154E67">
        <w:rPr>
          <w:rFonts w:ascii="Times New Roman" w:hAnsi="Times New Roman" w:cs="Times New Roman"/>
          <w:sz w:val="24"/>
          <w:szCs w:val="24"/>
        </w:rPr>
        <w:t xml:space="preserve">zákon </w:t>
      </w:r>
      <w:r w:rsidRPr="00587164">
        <w:rPr>
          <w:rFonts w:ascii="Times New Roman" w:hAnsi="Times New Roman" w:cs="Times New Roman"/>
          <w:sz w:val="24"/>
          <w:szCs w:val="24"/>
        </w:rPr>
        <w:t xml:space="preserve">č. </w:t>
      </w:r>
      <w:r>
        <w:rPr>
          <w:rFonts w:ascii="Times New Roman" w:hAnsi="Times New Roman" w:cs="Times New Roman"/>
          <w:sz w:val="24"/>
          <w:szCs w:val="24"/>
        </w:rPr>
        <w:t xml:space="preserve">595/2003 Z. z. </w:t>
      </w:r>
      <w:r w:rsidRPr="005F3D96">
        <w:rPr>
          <w:rFonts w:ascii="Times New Roman" w:hAnsi="Times New Roman" w:cs="Times New Roman"/>
          <w:bCs/>
          <w:sz w:val="24"/>
          <w:szCs w:val="24"/>
        </w:rPr>
        <w:t>o</w:t>
      </w:r>
      <w:r>
        <w:rPr>
          <w:rFonts w:ascii="Times New Roman" w:hAnsi="Times New Roman" w:cs="Times New Roman"/>
          <w:bCs/>
          <w:sz w:val="24"/>
          <w:szCs w:val="24"/>
        </w:rPr>
        <w:t xml:space="preserve"> dani z príjmov </w:t>
      </w:r>
      <w:r w:rsidRPr="00587164">
        <w:rPr>
          <w:rFonts w:ascii="Times New Roman" w:hAnsi="Times New Roman" w:cs="Times New Roman"/>
          <w:sz w:val="24"/>
          <w:szCs w:val="24"/>
        </w:rPr>
        <w:t>v znení neskorších predpisov</w:t>
      </w:r>
    </w:p>
    <w:p w:rsidR="00015355" w:rsidRPr="00154E67" w:rsidP="00015355">
      <w:pPr>
        <w:bidi w:val="0"/>
        <w:rPr>
          <w:rFonts w:ascii="Times New Roman" w:hAnsi="Times New Roman" w:cs="Times New Roman"/>
          <w:sz w:val="24"/>
          <w:szCs w:val="24"/>
        </w:rPr>
      </w:pPr>
    </w:p>
    <w:p w:rsidR="00015355" w:rsidRPr="00154E67" w:rsidP="00015355">
      <w:pPr>
        <w:pStyle w:val="NormalWeb"/>
        <w:bidi w:val="0"/>
        <w:spacing w:before="0" w:beforeAutospacing="0" w:after="0" w:afterAutospacing="0"/>
        <w:rPr>
          <w:rFonts w:ascii="Times New Roman" w:hAnsi="Times New Roman"/>
        </w:rPr>
      </w:pPr>
      <w:r w:rsidRPr="00154E67">
        <w:rPr>
          <w:rFonts w:ascii="Times New Roman" w:hAnsi="Times New Roman"/>
          <w:b/>
          <w:bCs/>
          <w:color w:val="000000"/>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jc w:val="center"/>
              <w:rPr>
                <w:rFonts w:ascii="Times New Roman" w:hAnsi="Times New Roman"/>
                <w:b/>
                <w:bCs/>
                <w:color w:val="000000"/>
              </w:rPr>
            </w:pPr>
          </w:p>
          <w:p w:rsidR="00015355" w:rsidRPr="00154E67" w:rsidP="006F67EB">
            <w:pPr>
              <w:pStyle w:val="NormalWeb"/>
              <w:bidi w:val="0"/>
              <w:spacing w:before="0" w:beforeAutospacing="0" w:after="0" w:afterAutospacing="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C21E16" w:rsidP="006F67EB">
            <w:pPr>
              <w:pStyle w:val="NormalWeb"/>
              <w:bidi w:val="0"/>
              <w:spacing w:before="0" w:beforeAutospacing="0" w:after="0" w:afterAutospacing="0" w:line="240" w:lineRule="auto"/>
              <w:jc w:val="center"/>
              <w:rPr>
                <w:rFonts w:ascii="Times New Roman" w:hAnsi="Times New Roman"/>
                <w:b/>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jc w:val="center"/>
              <w:rPr>
                <w:rFonts w:ascii="Times New Roman" w:hAnsi="Times New Roman"/>
                <w:b/>
                <w:bCs/>
                <w:color w:val="000000"/>
              </w:rPr>
            </w:pPr>
          </w:p>
          <w:p w:rsidR="00015355" w:rsidRPr="00154E67" w:rsidP="006F67EB">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jc w:val="center"/>
              <w:rPr>
                <w:rFonts w:ascii="Times New Roman" w:hAnsi="Times New Roman"/>
                <w:b/>
                <w:bCs/>
                <w:color w:val="000000"/>
              </w:rPr>
            </w:pPr>
          </w:p>
          <w:p w:rsidR="00015355" w:rsidRPr="00154E67" w:rsidP="006F67EB">
            <w:pPr>
              <w:pStyle w:val="NormalWeb"/>
              <w:bidi w:val="0"/>
              <w:spacing w:before="0" w:beforeAutospacing="0" w:after="0" w:afterAutospacing="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3, Sociálne vplyvy</w:t>
            </w:r>
          </w:p>
          <w:p w:rsidR="00015355" w:rsidRPr="00154E67" w:rsidP="006F67EB">
            <w:pPr>
              <w:pStyle w:val="NormalWeb"/>
              <w:bidi w:val="0"/>
              <w:spacing w:before="0" w:beforeAutospacing="0" w:after="0" w:afterAutospacing="0" w:line="240" w:lineRule="auto"/>
              <w:ind w:left="180" w:hanging="180"/>
              <w:rPr>
                <w:rFonts w:ascii="Times New Roman" w:hAnsi="Times New Roman"/>
              </w:rPr>
            </w:pPr>
            <w:r w:rsidRPr="00154E67">
              <w:rPr>
                <w:rFonts w:ascii="Times New Roman" w:hAnsi="Times New Roman"/>
                <w:color w:val="000000"/>
              </w:rPr>
              <w:t>– vplyvy na hospodárenie    obyvateľstva,</w:t>
            </w:r>
          </w:p>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 sociálnu exklúziu,</w:t>
            </w:r>
          </w:p>
          <w:p w:rsidR="00015355" w:rsidRPr="00154E67" w:rsidP="006F67EB">
            <w:pPr>
              <w:pStyle w:val="NormalWeb"/>
              <w:bidi w:val="0"/>
              <w:spacing w:before="0" w:beforeAutospacing="0" w:after="0" w:afterAutospacing="0" w:line="240" w:lineRule="auto"/>
              <w:ind w:left="180" w:hanging="180"/>
              <w:rPr>
                <w:rFonts w:ascii="Times New Roman" w:hAnsi="Times New Roman"/>
              </w:rPr>
            </w:pPr>
            <w:r w:rsidRPr="00154E67">
              <w:rPr>
                <w:rFonts w:ascii="Times New Roman" w:hAnsi="Times New Roman"/>
                <w:color w:val="000000"/>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r>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jc w:val="center"/>
              <w:rPr>
                <w:rFonts w:ascii="Times New Roman" w:hAnsi="Times New Roman"/>
              </w:rPr>
            </w:pPr>
            <w:r w:rsidRPr="00154E67">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color w:val="000000"/>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015355" w:rsidRPr="00154E67" w:rsidP="006F67EB">
            <w:pPr>
              <w:pStyle w:val="NormalWeb"/>
              <w:bidi w:val="0"/>
              <w:spacing w:before="0" w:beforeAutospacing="0" w:after="0" w:afterAutospacing="0" w:line="240" w:lineRule="auto"/>
              <w:jc w:val="center"/>
              <w:rPr>
                <w:rFonts w:ascii="Times New Roman" w:hAnsi="Times New Roman"/>
              </w:rPr>
            </w:pPr>
            <w:r w:rsidRPr="00154E67">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15355" w:rsidRPr="00154E67" w:rsidP="006F67EB">
            <w:pPr>
              <w:pStyle w:val="NormalWeb"/>
              <w:bidi w:val="0"/>
              <w:spacing w:before="0" w:beforeAutospacing="0" w:after="0" w:afterAutospacing="0" w:line="240" w:lineRule="auto"/>
              <w:rPr>
                <w:rFonts w:ascii="Times New Roman" w:hAnsi="Times New Roman"/>
              </w:rPr>
            </w:pPr>
            <w:r w:rsidRPr="00154E67">
              <w:rPr>
                <w:rFonts w:ascii="Times New Roman" w:hAnsi="Times New Roman"/>
                <w:b/>
                <w:bCs/>
                <w:color w:val="000000"/>
              </w:rPr>
              <w:t> </w:t>
            </w:r>
          </w:p>
        </w:tc>
      </w:tr>
    </w:tbl>
    <w:p w:rsidR="00015355" w:rsidRPr="00154E67" w:rsidP="00015355">
      <w:pPr>
        <w:pStyle w:val="NormalWeb"/>
        <w:bidi w:val="0"/>
        <w:spacing w:before="0" w:beforeAutospacing="0" w:after="0" w:afterAutospacing="0"/>
        <w:jc w:val="both"/>
        <w:rPr>
          <w:rFonts w:ascii="Times New Roman" w:hAnsi="Times New Roman"/>
        </w:rPr>
      </w:pPr>
      <w:r w:rsidRPr="00154E67">
        <w:rPr>
          <w:rFonts w:ascii="Times New Roman" w:hAnsi="Times New Roman"/>
          <w:b/>
          <w:bCs/>
          <w:color w:val="000000"/>
        </w:rPr>
        <w:t> </w:t>
      </w:r>
    </w:p>
    <w:p w:rsidR="00015355" w:rsidRPr="00154E67" w:rsidP="00015355">
      <w:pPr>
        <w:pStyle w:val="NormalWeb"/>
        <w:bidi w:val="0"/>
        <w:spacing w:before="0" w:beforeAutospacing="0" w:after="0" w:afterAutospacing="0"/>
        <w:jc w:val="both"/>
        <w:rPr>
          <w:rFonts w:ascii="Times New Roman" w:hAnsi="Times New Roman"/>
        </w:rPr>
      </w:pPr>
      <w:r w:rsidRPr="00154E67">
        <w:rPr>
          <w:rFonts w:ascii="Times New Roman" w:hAnsi="Times New Roman"/>
          <w:b/>
          <w:bCs/>
          <w:color w:val="000000"/>
        </w:rPr>
        <w:t> </w:t>
      </w:r>
    </w:p>
    <w:p w:rsidR="00015355" w:rsidRPr="00154E67" w:rsidP="00015355">
      <w:pPr>
        <w:pStyle w:val="NormalWeb"/>
        <w:bidi w:val="0"/>
        <w:spacing w:before="0" w:beforeAutospacing="0" w:after="0" w:afterAutospacing="0"/>
        <w:jc w:val="both"/>
        <w:rPr>
          <w:rFonts w:ascii="Times New Roman" w:hAnsi="Times New Roman"/>
        </w:rPr>
      </w:pPr>
      <w:r w:rsidRPr="00154E67">
        <w:rPr>
          <w:rFonts w:ascii="Times New Roman" w:hAnsi="Times New Roman"/>
          <w:b/>
          <w:bCs/>
          <w:color w:val="000000"/>
        </w:rPr>
        <w:t xml:space="preserve">A.3. Poznámky </w:t>
      </w:r>
    </w:p>
    <w:p w:rsidR="00015355" w:rsidRPr="00154E67" w:rsidP="00015355">
      <w:pPr>
        <w:pStyle w:val="NormalWeb"/>
        <w:bidi w:val="0"/>
        <w:spacing w:before="0" w:beforeAutospacing="0" w:after="0" w:afterAutospacing="0"/>
        <w:rPr>
          <w:rFonts w:ascii="Times New Roman" w:hAnsi="Times New Roman"/>
        </w:rPr>
      </w:pPr>
      <w:r w:rsidR="008535E4">
        <w:rPr>
          <w:rFonts w:ascii="Times New Roman" w:hAnsi="Times New Roman"/>
        </w:rPr>
        <w:t xml:space="preserve">Keďže nie je možné kvantifikovať, koľkých lekárov v takomto postavení sa to bude roťne týkať, takisto aj ich príjem, ktorý tvorí ich daňový základ, nie je možné kvantifikovať presný dopad na štátny rozpočet. Predkladatelia však majú za to, že výpadok na dani z príjmov fyzických osôb bude následkom tohto opatrenia nepatrný. </w:t>
      </w:r>
    </w:p>
    <w:p w:rsidR="00015355" w:rsidRPr="00154E67" w:rsidP="00015355">
      <w:pPr>
        <w:pStyle w:val="NormalWeb"/>
        <w:bidi w:val="0"/>
        <w:spacing w:before="0" w:beforeAutospacing="0" w:after="0" w:afterAutospacing="0"/>
        <w:rPr>
          <w:rFonts w:ascii="Times New Roman" w:hAnsi="Times New Roman"/>
        </w:rPr>
      </w:pPr>
    </w:p>
    <w:p w:rsidR="00015355" w:rsidRPr="00154E67" w:rsidP="00015355">
      <w:pPr>
        <w:pStyle w:val="NormalWeb"/>
        <w:bidi w:val="0"/>
        <w:spacing w:before="0" w:beforeAutospacing="0" w:after="0" w:afterAutospacing="0"/>
        <w:jc w:val="both"/>
        <w:rPr>
          <w:rFonts w:ascii="Times New Roman" w:hAnsi="Times New Roman"/>
        </w:rPr>
      </w:pPr>
      <w:r w:rsidRPr="00154E67">
        <w:rPr>
          <w:rFonts w:ascii="Times New Roman" w:hAnsi="Times New Roman"/>
          <w:b/>
          <w:bCs/>
          <w:color w:val="000000"/>
        </w:rPr>
        <w:t xml:space="preserve">A.4. Alternatívne riešenia </w:t>
      </w:r>
    </w:p>
    <w:p w:rsidR="00015355" w:rsidRPr="00154E67" w:rsidP="00015355">
      <w:pPr>
        <w:pStyle w:val="NormalWeb"/>
        <w:bidi w:val="0"/>
        <w:spacing w:before="0" w:beforeAutospacing="0" w:after="0" w:afterAutospacing="0"/>
        <w:rPr>
          <w:rFonts w:ascii="Times New Roman" w:hAnsi="Times New Roman"/>
        </w:rPr>
      </w:pPr>
      <w:r>
        <w:rPr>
          <w:rFonts w:ascii="Times New Roman" w:hAnsi="Times New Roman"/>
        </w:rPr>
        <w:t>Žiadne</w:t>
      </w:r>
    </w:p>
    <w:p w:rsidR="00015355" w:rsidRPr="00154E67" w:rsidP="00015355">
      <w:pPr>
        <w:pStyle w:val="NormalWeb"/>
        <w:bidi w:val="0"/>
        <w:spacing w:before="0" w:beforeAutospacing="0" w:after="0" w:afterAutospacing="0"/>
        <w:rPr>
          <w:rFonts w:ascii="Times New Roman" w:hAnsi="Times New Roman"/>
        </w:rPr>
      </w:pPr>
      <w:r w:rsidRPr="00154E67">
        <w:rPr>
          <w:rFonts w:ascii="Times New Roman" w:hAnsi="Times New Roman"/>
          <w:b/>
          <w:bCs/>
          <w:color w:val="000000"/>
        </w:rPr>
        <w:t> </w:t>
      </w:r>
    </w:p>
    <w:p w:rsidR="00015355" w:rsidRPr="00154E67" w:rsidP="00015355">
      <w:pPr>
        <w:pStyle w:val="NormalWeb"/>
        <w:bidi w:val="0"/>
        <w:spacing w:before="0" w:beforeAutospacing="0" w:after="0" w:afterAutospacing="0"/>
        <w:rPr>
          <w:rFonts w:ascii="Times New Roman" w:hAnsi="Times New Roman"/>
          <w:b/>
          <w:bCs/>
          <w:color w:val="000000"/>
        </w:rPr>
      </w:pPr>
      <w:r w:rsidRPr="00154E67">
        <w:rPr>
          <w:rFonts w:ascii="Times New Roman" w:hAnsi="Times New Roman"/>
          <w:b/>
          <w:bCs/>
          <w:color w:val="000000"/>
        </w:rPr>
        <w:t>A.5. Stanovisko gestorov</w:t>
      </w:r>
    </w:p>
    <w:p w:rsidR="00015355" w:rsidP="00015355">
      <w:pPr>
        <w:bidi w:val="0"/>
      </w:pPr>
    </w:p>
    <w:p w:rsidR="003C35A1" w:rsidRPr="005414B8">
      <w:pPr>
        <w:bidi w:val="0"/>
        <w:rPr>
          <w:rFonts w:ascii="Times New Roman" w:hAnsi="Times New Roman" w:cs="Times New Roman"/>
          <w:sz w:val="24"/>
          <w:szCs w:val="24"/>
        </w:rPr>
      </w:pPr>
    </w:p>
    <w:sectPr w:rsidSect="007F70FC">
      <w:pgSz w:w="12240" w:h="15840"/>
      <w:pgMar w:top="1185" w:right="1417" w:bottom="1327" w:left="1417" w:header="709" w:footer="811"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82E9E"/>
    <w:multiLevelType w:val="hybridMultilevel"/>
    <w:tmpl w:val="AF90D1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414B8"/>
    <w:rsid w:val="00015355"/>
    <w:rsid w:val="00154E67"/>
    <w:rsid w:val="003C35A1"/>
    <w:rsid w:val="005414B8"/>
    <w:rsid w:val="00587164"/>
    <w:rsid w:val="005F3D96"/>
    <w:rsid w:val="006F67EB"/>
    <w:rsid w:val="007F57EE"/>
    <w:rsid w:val="008535E4"/>
    <w:rsid w:val="00A210DF"/>
    <w:rsid w:val="00C21E16"/>
    <w:rsid w:val="00D8408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55"/>
    <w:pPr>
      <w:framePr w:wrap="auto"/>
      <w:widowControl/>
      <w:autoSpaceDE/>
      <w:autoSpaceDN/>
      <w:adjustRightInd/>
      <w:spacing w:line="276" w:lineRule="auto"/>
      <w:ind w:left="0" w:right="0"/>
      <w:jc w:val="both"/>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015355"/>
    <w:pPr>
      <w:spacing w:before="40" w:after="40" w:line="240" w:lineRule="auto"/>
      <w:ind w:left="720"/>
      <w:contextualSpacing/>
      <w:jc w:val="left"/>
    </w:pPr>
    <w:rPr>
      <w:rFonts w:ascii="Arial" w:hAnsi="Arial"/>
      <w:sz w:val="24"/>
    </w:rPr>
  </w:style>
  <w:style w:type="paragraph" w:styleId="NormalWeb">
    <w:name w:val="Normal (Web)"/>
    <w:basedOn w:val="Normal"/>
    <w:uiPriority w:val="99"/>
    <w:rsid w:val="00015355"/>
    <w:pPr>
      <w:spacing w:before="100" w:beforeAutospacing="1" w:after="100" w:afterAutospacing="1" w:line="240" w:lineRule="auto"/>
      <w:jc w:val="left"/>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276</Words>
  <Characters>1577</Characters>
  <Application>Microsoft Office Word</Application>
  <DocSecurity>0</DocSecurity>
  <Lines>0</Lines>
  <Paragraphs>0</Paragraphs>
  <ScaleCrop>false</ScaleCrop>
  <Company>Hewlett-Packard Company</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2014-06-06T12:18:00Z</dcterms:created>
  <dcterms:modified xsi:type="dcterms:W3CDTF">2014-06-06T12:18:00Z</dcterms:modified>
</cp:coreProperties>
</file>