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A1" w:rsidP="004A5B2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4A5B2A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4A5B2A" w:rsidP="004A5B2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B2A" w:rsidP="004A5B2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B2A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Slovenská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vna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prava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ako aj euró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pske smernice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kladú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veľ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dô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raz na zabezpeč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enie celož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ivotné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kov, a to z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pochopiteľ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dô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vodu poskytovania zdravotnej starostlivosti </w:t>
      </w:r>
      <w:r>
        <w:rPr>
          <w:rFonts w:ascii="Times New Roman" w:eastAsia="Calibri" w:hAnsi="Times New Roman" w:cs="Times New Roman" w:hint="default"/>
          <w:sz w:val="24"/>
          <w:szCs w:val="24"/>
        </w:rPr>
        <w:t>podľ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a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moderný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poznatkov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rskej vedy a prevencie potenciá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lneho poš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kodenia pacientov. Ď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alš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ie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vanie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ckeho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ka zahŕň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tú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dium na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pecializovaný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certifikač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pravu na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 certifikovaný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prac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a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vanie. </w:t>
      </w:r>
      <w:r w:rsidRPr="004A5B2A">
        <w:rPr>
          <w:rFonts w:ascii="Times New Roman" w:eastAsia="Calibri" w:hAnsi="Times New Roman" w:cs="Times New Roman"/>
          <w:b/>
          <w:sz w:val="24"/>
          <w:szCs w:val="24"/>
        </w:rPr>
        <w:t>Zd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ravotní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cki pracovní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>ci sú</w:t>
      </w:r>
      <w:r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povinní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sa sú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stavne vzdelá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vať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v zmysle  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§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42 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kona č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. 578/2004 Z. z. o 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poskytovateľ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och zdravotnej starostlivosti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koch, stavovský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organizá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ctve a o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zmene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doplnení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niektorý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konov, ktorý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je doplnený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nariadení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vlá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dy SR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296/2010 Z. z. o odbornej spô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sobilosti na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ckeho povolania, spô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sobe ď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alš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ieho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kov,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stave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odborov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stave cert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fikovaný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s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ou od 1. 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la 2010.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578/2004 Z. z. definuje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vanie ako priebež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obnovovanie, prehlbovanie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udrž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iavanie zí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skanej odbornej spô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sobilosti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lade s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rozvojom prí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odborov po celý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onu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ckeho povolania.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 si tú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to povinnosť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plní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napĺň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jednotlivý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zlož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iek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vania, ktoré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definované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nariadení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dy SR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743/2004 Z. z. o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spô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sobe ď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alš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ieho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kov,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odborov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stave certifikovaný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inností.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Podľ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 Smernice Slovenskej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rskej komory o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stavnom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sa hodnotenie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vykoná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päť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cykloch odo dň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 registrá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cie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Slovenskej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rskej komore.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Sú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vzdelá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vanie leká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ra sa hodnotí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vý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sledkom „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splnil“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, ak zí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skal za hodnotené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obdobie 250 kreditov.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merom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 vo verejnom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ctve je predovš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etký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zvyš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ovanie ich odbornej spô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sobilosti, rozš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irovanie ich teoretický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ch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praktický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zruč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ností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dopĺň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anie nový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vedný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pozna</w:t>
      </w:r>
      <w:r w:rsidRPr="004A5B2A">
        <w:rPr>
          <w:rFonts w:ascii="Times New Roman" w:eastAsia="Calibri" w:hAnsi="Times New Roman" w:cs="Times New Roman"/>
          <w:sz w:val="24"/>
          <w:szCs w:val="24"/>
          <w:lang w:val="en-AU"/>
        </w:rPr>
        <w:t>t</w:t>
      </w:r>
      <w:r w:rsidRPr="004A5B2A">
        <w:rPr>
          <w:rFonts w:ascii="Times New Roman" w:eastAsia="Calibri" w:hAnsi="Times New Roman" w:cs="Times New Roman"/>
          <w:sz w:val="24"/>
          <w:szCs w:val="24"/>
        </w:rPr>
        <w:t>kov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oblasti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ctva, aby svoju prá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cu mohli vykoná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na vysoko kvalifikovanej a profesioná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lnej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rovni na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klade potrieb, ktoré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vyž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aduje prax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oblasti verejné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ctva.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Na jednej strane je tá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to legislatí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vna povinnosť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pre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kov nevyhnutná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na strane druhej je veľ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problé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mom vysoká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finanč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Splnenie podmienok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vo výš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ke 250 kreditov si vyž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aduje absolvovanie poč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etný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ch 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kolení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seminá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rov, kongresov. 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na odborný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podujatiach zameraný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na prezentá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ciu farmaceutické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robku s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ou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robcu liekov sa nepovaž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uje za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vanie.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ri, ktorí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majú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postavenie samostatne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robkovo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osô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b, si majú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mož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zmysle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595/2003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B2A">
        <w:rPr>
          <w:rFonts w:ascii="Times New Roman" w:eastAsia="Calibri" w:hAnsi="Times New Roman" w:cs="Times New Roman"/>
          <w:sz w:val="24"/>
          <w:szCs w:val="24"/>
        </w:rPr>
        <w:t>z. o dani z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jmov, 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klady na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vanie zahrnúť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do svojich daň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vý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davk</w:t>
      </w:r>
      <w:r>
        <w:rPr>
          <w:rFonts w:ascii="Times New Roman" w:eastAsia="Calibri" w:hAnsi="Times New Roman" w:cs="Times New Roman"/>
          <w:sz w:val="24"/>
          <w:szCs w:val="24"/>
        </w:rPr>
        <w:t>ov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Je demotivujú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ce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roveň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aj 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diskriminač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ri, ktorí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zamestnancami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zmysle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311/2001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z.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konní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ka prá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ce, mož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nosť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zahr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núť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si tieto 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klady do 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kladu dane nemajú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merom navrhovanej prá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vnej ú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pravy je legislatí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vne zakotviť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mož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nosť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, aby si leká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ri v 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postavení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zamestnancov, mohli vý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davky a 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ná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klady potrebné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na nadobudnutie svojej 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pecializá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cie zahrnúť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do 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kladu dane, a 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tý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m 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roveň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zníž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iť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odvá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dzanú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daň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zo svojich prí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jmov, č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o by im vý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razný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m spô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sobom uľ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ahč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ilo splnenie si svojej zá</w:t>
      </w:r>
      <w:r w:rsidRPr="004A5B2A">
        <w:rPr>
          <w:rFonts w:ascii="Times New Roman" w:eastAsia="Calibri" w:hAnsi="Times New Roman" w:cs="Times New Roman" w:hint="default"/>
          <w:b/>
          <w:sz w:val="24"/>
          <w:szCs w:val="24"/>
        </w:rPr>
        <w:t>konnej povinnosti.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Cieľ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predkladanej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vnej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pravy je aj reflektovať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na situá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ciu mladý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rov, na ktorý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súč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legislatí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 kladie vysoké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ky ohľ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adne dosiahnutia ich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cie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certifikač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pracovný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inností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. Mladí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ri zväčš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 nemajú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dostatok finanč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prostriedkov na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hradu ich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vania,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 je aj podstatný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dô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vodom ich migrá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cie do zahranič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ia.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 bez pož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adovanej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 nemôž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e samostatne vykoná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rsku prax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 sa tak de facto lacnou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asto zneuží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vanou pracovnou silou pre nemocnice na Slovensku. Tisí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ce mladý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absolventov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rskych fakú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lt odiš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lo do zahranič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ia za lepší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mi pracovný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mi podmienkami, najmä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pre nefun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systé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m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pecializač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nej prí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pravy. </w:t>
      </w:r>
    </w:p>
    <w:p w:rsidR="004A5B2A" w:rsidRPr="004A5B2A" w:rsidP="004A5B2A">
      <w:pPr>
        <w:autoSpaceDE w:val="0"/>
        <w:autoSpaceDN w:val="0"/>
        <w:bidi w:val="0"/>
        <w:adjustRightInd w:val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4A5B2A">
        <w:rPr>
          <w:rFonts w:ascii="Times New Roman" w:eastAsia="Calibri" w:hAnsi="Times New Roman" w:cs="Times New Roman" w:hint="default"/>
          <w:sz w:val="24"/>
          <w:szCs w:val="24"/>
        </w:rPr>
        <w:t>Dô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sledkom tejto migrá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cie je zhorš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ca sa veková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truktú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ra slovenský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ch leká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rov,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to najmä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nemocniciach. Súč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legislatí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vna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prava v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oblasti sú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stavné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vzdelá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vania sa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ckych pracovní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kov je zo súč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asné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ho, ako 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aj z dlhodobé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ho pohľ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adu neudrž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ateľ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pre slovenské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zdravotní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ctvo do znač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nej miery devastač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, na č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o chce reflektovať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predkladaná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vna ú</w:t>
      </w:r>
      <w:r w:rsidRPr="004A5B2A">
        <w:rPr>
          <w:rFonts w:ascii="Times New Roman" w:eastAsia="Calibri" w:hAnsi="Times New Roman" w:cs="Times New Roman" w:hint="default"/>
          <w:sz w:val="24"/>
          <w:szCs w:val="24"/>
        </w:rPr>
        <w:t>prava.</w:t>
      </w:r>
    </w:p>
    <w:p w:rsidR="004A5B2A" w:rsidRPr="004A5B2A" w:rsidP="004A5B2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A5B2A">
        <w:rPr>
          <w:rFonts w:ascii="Times New Roman" w:hAnsi="Times New Roman" w:cs="Times New Roman"/>
          <w:sz w:val="24"/>
          <w:szCs w:val="24"/>
        </w:rPr>
        <w:t xml:space="preserve">Návrh zákona je v súlade s Ústavou Slovenskej republiky, ústavnými zákonmi a všeobecne záväznými právnymi predpismi, medzinárodnými záväzkami Slovenskej republiky, ako aj s právom Európskej únie a Európskych spoločenstiev. </w:t>
      </w:r>
    </w:p>
    <w:p w:rsidR="004A5B2A" w:rsidP="004A5B2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A5B2A">
        <w:rPr>
          <w:rFonts w:ascii="Times New Roman" w:hAnsi="Times New Roman" w:cs="Times New Roman"/>
          <w:sz w:val="24"/>
          <w:szCs w:val="24"/>
        </w:rPr>
        <w:t xml:space="preserve">Predložený návrh zákona bude mať dopad na </w:t>
      </w:r>
      <w:r>
        <w:rPr>
          <w:rFonts w:ascii="Times New Roman" w:hAnsi="Times New Roman" w:cs="Times New Roman"/>
          <w:sz w:val="24"/>
          <w:szCs w:val="24"/>
        </w:rPr>
        <w:t xml:space="preserve">štátny rozpočet, nebude mať dopad na </w:t>
      </w:r>
      <w:r w:rsidRPr="004A5B2A">
        <w:rPr>
          <w:rFonts w:ascii="Times New Roman" w:hAnsi="Times New Roman" w:cs="Times New Roman"/>
          <w:sz w:val="24"/>
          <w:szCs w:val="24"/>
        </w:rPr>
        <w:t>rozpočty obcí a vyšších územných celkov a nemá vplyv na životné prostredie, na zamestnanosť, podnikateľské prostredie a informatizáciu spoločnosti.</w:t>
      </w:r>
    </w:p>
    <w:p w:rsidR="00F24848" w:rsidP="004A5B2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4848" w:rsidP="00F24848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F24848" w:rsidP="00F24848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848" w:rsidP="00F24848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E6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F24848" w:rsidRPr="006B3E74" w:rsidP="00F24848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848" w:rsidRPr="006B3E74" w:rsidP="00F248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B3E74">
        <w:rPr>
          <w:rFonts w:ascii="Times New Roman" w:hAnsi="Times New Roman" w:cs="Times New Roman"/>
          <w:sz w:val="24"/>
          <w:szCs w:val="24"/>
        </w:rPr>
        <w:t xml:space="preserve">Dopĺňa sa nová položka nezdaniteľnej časti základu dane u daňovníkov, ktorí sú zdravotníckymi pracovníkom </w:t>
      </w:r>
      <w:r w:rsidRPr="006B3E74">
        <w:rPr>
          <w:rFonts w:ascii="Times New Roman" w:hAnsi="Times New Roman" w:cs="Times New Roman"/>
          <w:i/>
          <w:sz w:val="24"/>
          <w:szCs w:val="24"/>
        </w:rPr>
        <w:t xml:space="preserve">(v zmysle zákona 578/2004 Z. z.).  </w:t>
      </w:r>
      <w:r w:rsidRPr="006B3E74">
        <w:rPr>
          <w:rFonts w:ascii="Times New Roman" w:hAnsi="Times New Roman" w:cs="Times New Roman"/>
          <w:sz w:val="24"/>
          <w:szCs w:val="24"/>
        </w:rPr>
        <w:t>Daňovníci, ktorí sú zdravotníckymi pracovníkmi, si môžu znížiť základ dane o sumu, ktorú preukázateľne vynaložili na dosiahnutie ďalšieho  vzdelávania zdravotníckeho pracovníka včítane špecializačného štúdia, certifikačnej prípravy  a sústavného vzdelávania (</w:t>
      </w:r>
      <w:r w:rsidRPr="006B3E74">
        <w:rPr>
          <w:rFonts w:ascii="Times New Roman" w:hAnsi="Times New Roman" w:cs="Times New Roman"/>
          <w:i/>
          <w:sz w:val="24"/>
          <w:szCs w:val="24"/>
        </w:rPr>
        <w:t>v zmysle</w:t>
      </w:r>
      <w:r w:rsidRPr="006B3E74">
        <w:rPr>
          <w:rFonts w:ascii="Times New Roman" w:hAnsi="Times New Roman" w:cs="Times New Roman"/>
          <w:sz w:val="24"/>
          <w:szCs w:val="24"/>
        </w:rPr>
        <w:t xml:space="preserve"> </w:t>
      </w:r>
      <w:r w:rsidRPr="006B3E74">
        <w:rPr>
          <w:rFonts w:ascii="Times New Roman" w:hAnsi="Times New Roman" w:cs="Times New Roman"/>
          <w:i/>
          <w:sz w:val="24"/>
          <w:szCs w:val="24"/>
        </w:rPr>
        <w:t>42 Zákona 578/2004 Z. z.)</w:t>
      </w:r>
      <w:r w:rsidRPr="006B3E74">
        <w:rPr>
          <w:rFonts w:ascii="Times New Roman" w:hAnsi="Times New Roman" w:cs="Times New Roman"/>
          <w:sz w:val="24"/>
          <w:szCs w:val="24"/>
        </w:rPr>
        <w:t xml:space="preserve"> v príslušnom kalendárnom roku. </w:t>
      </w:r>
    </w:p>
    <w:p w:rsidR="00F24848" w:rsidRPr="006B3E74" w:rsidP="00F24848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6B3E74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F24848" w:rsidRPr="006B3E74" w:rsidP="00F24848">
      <w:pPr>
        <w:shd w:val="clear" w:color="auto" w:fill="FFFFFF"/>
        <w:bidi w:val="0"/>
        <w:spacing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6B3E74">
        <w:rPr>
          <w:rFonts w:ascii="Times New Roman" w:hAnsi="Times New Roman" w:cs="Times New Roman"/>
          <w:sz w:val="24"/>
          <w:szCs w:val="24"/>
        </w:rPr>
        <w:t>Navrhuje sa, aby novela zákona nadobudla účinnosť dňom 1. októbra 2014</w:t>
      </w:r>
      <w:r w:rsidRPr="006B3E74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24848" w:rsidRPr="00F24848" w:rsidP="00F248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5B2A" w:rsidRPr="004A5B2A" w:rsidP="004A5B2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661"/>
    <w:multiLevelType w:val="hybridMultilevel"/>
    <w:tmpl w:val="B39A8C2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31C1"/>
    <w:rsid w:val="00052B69"/>
    <w:rsid w:val="00154E67"/>
    <w:rsid w:val="003C35A1"/>
    <w:rsid w:val="004A5B2A"/>
    <w:rsid w:val="006B3E74"/>
    <w:rsid w:val="00BC31C1"/>
    <w:rsid w:val="00D84087"/>
    <w:rsid w:val="00F248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B2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820</Words>
  <Characters>4679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2014-06-06T12:18:00Z</dcterms:created>
  <dcterms:modified xsi:type="dcterms:W3CDTF">2014-06-06T12:18:00Z</dcterms:modified>
</cp:coreProperties>
</file>