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5951" w:rsidRPr="00B35951" w:rsidP="00B35951">
      <w:pPr>
        <w:bidi w:val="0"/>
        <w:spacing w:after="240"/>
        <w:jc w:val="both"/>
        <w:rPr>
          <w:rFonts w:ascii="Times New Roman" w:hAnsi="Times New Roman"/>
          <w:b/>
        </w:rPr>
      </w:pPr>
      <w:r w:rsidR="00D75010">
        <w:rPr>
          <w:rFonts w:ascii="Times New Roman" w:hAnsi="Times New Roman"/>
          <w:b/>
        </w:rPr>
        <w:t>B. Osobitná časť</w:t>
      </w:r>
    </w:p>
    <w:p w:rsidR="00D75010" w:rsidP="000777E8">
      <w:pPr>
        <w:keepNext/>
        <w:bidi w:val="0"/>
        <w:spacing w:before="120" w:after="24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K § 1</w:t>
      </w:r>
    </w:p>
    <w:p w:rsidR="00D75010" w:rsidP="000777E8">
      <w:pPr>
        <w:keepNext/>
        <w:bidi w:val="0"/>
        <w:spacing w:before="60" w:after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súlade s požiadavkami nariadenia Európskeho parlamentu a Rady (EÚ) č. 98/2013, ktoré je potrebné upraviť na úrovni členských štátov sa špecifikuje predmet úpravy.</w:t>
      </w:r>
    </w:p>
    <w:p w:rsidR="00D75010" w:rsidP="000777E8">
      <w:pPr>
        <w:keepNext/>
        <w:bidi w:val="0"/>
        <w:spacing w:before="120" w:after="24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K § 2</w:t>
      </w:r>
    </w:p>
    <w:p w:rsidR="00D75010" w:rsidP="000777E8">
      <w:pPr>
        <w:autoSpaceDE w:val="0"/>
        <w:bidi w:val="0"/>
        <w:spacing w:after="240"/>
        <w:jc w:val="both"/>
        <w:rPr>
          <w:rFonts w:ascii="EUAlbertina" w:eastAsia="Calibri" w:hAnsi="EUAlbertina" w:cs="EUAlbertina" w:hint="default"/>
          <w:color w:val="000000"/>
        </w:rPr>
      </w:pPr>
      <w:r>
        <w:rPr>
          <w:rFonts w:ascii="EUAlbertina" w:eastAsia="Calibri" w:hAnsi="EUAlbertina" w:cs="EUAlbertina" w:hint="default"/>
          <w:color w:val="000000"/>
        </w:rPr>
        <w:t>Orgá</w:t>
      </w:r>
      <w:r>
        <w:rPr>
          <w:rFonts w:ascii="EUAlbertina" w:eastAsia="Calibri" w:hAnsi="EUAlbertina" w:cs="EUAlbertina" w:hint="default"/>
          <w:color w:val="000000"/>
        </w:rPr>
        <w:t>nmi š</w:t>
      </w:r>
      <w:r>
        <w:rPr>
          <w:rFonts w:ascii="EUAlbertina" w:eastAsia="Calibri" w:hAnsi="EUAlbertina" w:cs="EUAlbertina" w:hint="default"/>
          <w:color w:val="000000"/>
        </w:rPr>
        <w:t>tá</w:t>
      </w:r>
      <w:r>
        <w:rPr>
          <w:rFonts w:ascii="EUAlbertina" w:eastAsia="Calibri" w:hAnsi="EUAlbertina" w:cs="EUAlbertina" w:hint="default"/>
          <w:color w:val="000000"/>
        </w:rPr>
        <w:t>tnej sprá</w:t>
      </w:r>
      <w:r>
        <w:rPr>
          <w:rFonts w:ascii="EUAlbertina" w:eastAsia="Calibri" w:hAnsi="EUAlbertina" w:cs="EUAlbertina" w:hint="default"/>
          <w:color w:val="000000"/>
        </w:rPr>
        <w:t>vy na úč</w:t>
      </w:r>
      <w:r>
        <w:rPr>
          <w:rFonts w:ascii="EUAlbertina" w:eastAsia="Calibri" w:hAnsi="EUAlbertina" w:cs="EUAlbertina" w:hint="default"/>
          <w:color w:val="000000"/>
        </w:rPr>
        <w:t>ely zá</w:t>
      </w:r>
      <w:r>
        <w:rPr>
          <w:rFonts w:ascii="EUAlbertina" w:eastAsia="Calibri" w:hAnsi="EUAlbertina" w:cs="EUAlbertina" w:hint="default"/>
          <w:color w:val="000000"/>
        </w:rPr>
        <w:t>kona a </w:t>
      </w:r>
      <w:r>
        <w:rPr>
          <w:rFonts w:ascii="EUAlbertina" w:eastAsia="Calibri" w:hAnsi="EUAlbertina" w:cs="EUAlbertina" w:hint="default"/>
          <w:color w:val="000000"/>
        </w:rPr>
        <w:t>osobitné</w:t>
      </w:r>
      <w:r>
        <w:rPr>
          <w:rFonts w:ascii="EUAlbertina" w:eastAsia="Calibri" w:hAnsi="EUAlbertina" w:cs="EUAlbertina" w:hint="default"/>
          <w:color w:val="000000"/>
        </w:rPr>
        <w:t>ho predpisu,</w:t>
      </w:r>
      <w:r>
        <w:rPr>
          <w:rFonts w:ascii="EUAlbertina" w:eastAsia="Calibri" w:hAnsi="EUAlbertina" w:cs="EUAlbertina" w:hint="default"/>
          <w:color w:val="000000"/>
        </w:rPr>
        <w:t xml:space="preserve"> ktorý</w:t>
      </w:r>
      <w:r>
        <w:rPr>
          <w:rFonts w:ascii="EUAlbertina" w:eastAsia="Calibri" w:hAnsi="EUAlbertina" w:cs="EUAlbertina" w:hint="default"/>
          <w:color w:val="000000"/>
        </w:rPr>
        <w:t>m je nariadenie Euró</w:t>
      </w:r>
      <w:r>
        <w:rPr>
          <w:rFonts w:ascii="EUAlbertina" w:eastAsia="Calibri" w:hAnsi="EUAlbertina" w:cs="EUAlbertina" w:hint="default"/>
          <w:color w:val="000000"/>
        </w:rPr>
        <w:t>pskeho parlamentu a </w:t>
      </w:r>
      <w:r>
        <w:rPr>
          <w:rFonts w:ascii="EUAlbertina" w:eastAsia="Calibri" w:hAnsi="EUAlbertina" w:cs="EUAlbertina" w:hint="default"/>
          <w:color w:val="000000"/>
        </w:rPr>
        <w:t>Rady (EÚ</w:t>
      </w:r>
      <w:r>
        <w:rPr>
          <w:rFonts w:ascii="EUAlbertina" w:eastAsia="Calibri" w:hAnsi="EUAlbertina" w:cs="EUAlbertina" w:hint="default"/>
          <w:color w:val="000000"/>
        </w:rPr>
        <w:t>) č</w:t>
      </w:r>
      <w:r>
        <w:rPr>
          <w:rFonts w:ascii="EUAlbertina" w:eastAsia="Calibri" w:hAnsi="EUAlbertina" w:cs="EUAlbertina" w:hint="default"/>
          <w:color w:val="000000"/>
        </w:rPr>
        <w:t>. 98/2013 z </w:t>
      </w:r>
      <w:r>
        <w:rPr>
          <w:rFonts w:ascii="EUAlbertina" w:eastAsia="Calibri" w:hAnsi="EUAlbertina" w:cs="EUAlbertina" w:hint="default"/>
          <w:color w:val="000000"/>
        </w:rPr>
        <w:t>15. januá</w:t>
      </w:r>
      <w:r>
        <w:rPr>
          <w:rFonts w:ascii="EUAlbertina" w:eastAsia="Calibri" w:hAnsi="EUAlbertina" w:cs="EUAlbertina" w:hint="default"/>
          <w:color w:val="000000"/>
        </w:rPr>
        <w:t>ra 2013 o </w:t>
      </w:r>
      <w:r>
        <w:rPr>
          <w:rFonts w:ascii="Times New Roman" w:eastAsia="Calibri" w:hAnsi="Times New Roman" w:hint="default"/>
          <w:bCs/>
          <w:color w:val="000000"/>
        </w:rPr>
        <w:t>uvá</w:t>
      </w:r>
      <w:r>
        <w:rPr>
          <w:rFonts w:ascii="Times New Roman" w:eastAsia="Calibri" w:hAnsi="Times New Roman" w:hint="default"/>
          <w:bCs/>
          <w:color w:val="000000"/>
        </w:rPr>
        <w:t>dzaní</w:t>
      </w:r>
      <w:r>
        <w:rPr>
          <w:rFonts w:ascii="Times New Roman" w:eastAsia="Calibri" w:hAnsi="Times New Roman" w:hint="default"/>
          <w:bCs/>
          <w:color w:val="000000"/>
        </w:rPr>
        <w:t xml:space="preserve"> prekurzorov vý</w:t>
      </w:r>
      <w:r>
        <w:rPr>
          <w:rFonts w:ascii="Times New Roman" w:eastAsia="Calibri" w:hAnsi="Times New Roman" w:hint="default"/>
          <w:bCs/>
          <w:color w:val="000000"/>
        </w:rPr>
        <w:t>buš</w:t>
      </w:r>
      <w:r>
        <w:rPr>
          <w:rFonts w:ascii="Times New Roman" w:eastAsia="Calibri" w:hAnsi="Times New Roman" w:hint="default"/>
          <w:bCs/>
          <w:color w:val="000000"/>
        </w:rPr>
        <w:t>ní</w:t>
      </w:r>
      <w:r>
        <w:rPr>
          <w:rFonts w:ascii="Times New Roman" w:eastAsia="Calibri" w:hAnsi="Times New Roman" w:hint="default"/>
          <w:bCs/>
          <w:color w:val="000000"/>
        </w:rPr>
        <w:t>n na trh a ich použí</w:t>
      </w:r>
      <w:r>
        <w:rPr>
          <w:rFonts w:ascii="Times New Roman" w:eastAsia="Calibri" w:hAnsi="Times New Roman" w:hint="default"/>
          <w:bCs/>
          <w:color w:val="000000"/>
        </w:rPr>
        <w:t>vaní</w:t>
      </w:r>
      <w:r>
        <w:rPr>
          <w:rFonts w:ascii="EUAlbertina" w:eastAsia="Calibri" w:hAnsi="EUAlbertina" w:cs="EUAlbertina"/>
          <w:b/>
          <w:bCs/>
          <w:color w:val="000000"/>
          <w:sz w:val="19"/>
          <w:szCs w:val="19"/>
        </w:rPr>
        <w:t xml:space="preserve"> </w:t>
      </w:r>
      <w:r>
        <w:rPr>
          <w:rFonts w:ascii="EUAlbertina" w:eastAsia="Calibri" w:hAnsi="EUAlbertina" w:cs="EUAlbertina" w:hint="default"/>
          <w:color w:val="000000"/>
        </w:rPr>
        <w:t xml:space="preserve"> sú</w:t>
      </w:r>
      <w:r>
        <w:rPr>
          <w:rFonts w:ascii="EUAlbertina" w:eastAsia="Calibri" w:hAnsi="EUAlbertina" w:cs="EUAlbertina" w:hint="default"/>
          <w:color w:val="000000"/>
        </w:rPr>
        <w:t xml:space="preserve"> Ministerstvo hospodá</w:t>
      </w:r>
      <w:r>
        <w:rPr>
          <w:rFonts w:ascii="EUAlbertina" w:eastAsia="Calibri" w:hAnsi="EUAlbertina" w:cs="EUAlbertina" w:hint="default"/>
          <w:color w:val="000000"/>
        </w:rPr>
        <w:t>rstva Slovenskej republiky, Ministerstvo vnú</w:t>
      </w:r>
      <w:r>
        <w:rPr>
          <w:rFonts w:ascii="EUAlbertina" w:eastAsia="Calibri" w:hAnsi="EUAlbertina" w:cs="EUAlbertina" w:hint="default"/>
          <w:color w:val="000000"/>
        </w:rPr>
        <w:t>tra Slovenskej republiky, Slovenská</w:t>
      </w:r>
      <w:r>
        <w:rPr>
          <w:rFonts w:ascii="EUAlbertina" w:eastAsia="Calibri" w:hAnsi="EUAlbertina" w:cs="EUAlbertina" w:hint="default"/>
          <w:color w:val="000000"/>
        </w:rPr>
        <w:t xml:space="preserve"> obchodná</w:t>
      </w:r>
      <w:r>
        <w:rPr>
          <w:rFonts w:ascii="EUAlbertina" w:eastAsia="Calibri" w:hAnsi="EUAlbertina" w:cs="EUAlbertina" w:hint="default"/>
          <w:color w:val="000000"/>
        </w:rPr>
        <w:t xml:space="preserve"> in</w:t>
      </w:r>
      <w:r>
        <w:rPr>
          <w:rFonts w:ascii="EUAlbertina" w:eastAsia="Calibri" w:hAnsi="EUAlbertina" w:cs="EUAlbertina" w:hint="default"/>
          <w:color w:val="000000"/>
        </w:rPr>
        <w:t>š</w:t>
      </w:r>
      <w:r>
        <w:rPr>
          <w:rFonts w:ascii="EUAlbertina" w:eastAsia="Calibri" w:hAnsi="EUAlbertina" w:cs="EUAlbertina" w:hint="default"/>
          <w:color w:val="000000"/>
        </w:rPr>
        <w:t>pekcia a </w:t>
      </w:r>
      <w:r>
        <w:rPr>
          <w:rFonts w:ascii="EUAlbertina" w:eastAsia="Calibri" w:hAnsi="EUAlbertina" w:cs="EUAlbertina" w:hint="default"/>
          <w:color w:val="000000"/>
        </w:rPr>
        <w:t>colné</w:t>
      </w:r>
      <w:r>
        <w:rPr>
          <w:rFonts w:ascii="EUAlbertina" w:eastAsia="Calibri" w:hAnsi="EUAlbertina" w:cs="EUAlbertina" w:hint="default"/>
          <w:color w:val="000000"/>
        </w:rPr>
        <w:t xml:space="preserve"> ú</w:t>
      </w:r>
      <w:r>
        <w:rPr>
          <w:rFonts w:ascii="EUAlbertina" w:eastAsia="Calibri" w:hAnsi="EUAlbertina" w:cs="EUAlbertina" w:hint="default"/>
          <w:color w:val="000000"/>
        </w:rPr>
        <w:t>rady.</w:t>
      </w:r>
    </w:p>
    <w:p w:rsidR="00D75010" w:rsidP="000777E8">
      <w:pPr>
        <w:keepNext/>
        <w:bidi w:val="0"/>
        <w:spacing w:before="120" w:after="24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 § </w:t>
      </w:r>
      <w:r w:rsidR="000777E8">
        <w:rPr>
          <w:rFonts w:ascii="Times New Roman" w:hAnsi="Times New Roman"/>
          <w:b/>
          <w:bCs/>
          <w:color w:val="000000"/>
        </w:rPr>
        <w:t>3</w:t>
      </w:r>
    </w:p>
    <w:p w:rsidR="000777E8" w:rsidP="000777E8">
      <w:pPr>
        <w:keepNext/>
        <w:bidi w:val="0"/>
        <w:spacing w:before="60" w:after="240"/>
        <w:jc w:val="both"/>
        <w:rPr>
          <w:rFonts w:ascii="Times New Roman" w:hAnsi="Times New Roman"/>
          <w:color w:val="000000"/>
        </w:rPr>
      </w:pPr>
      <w:r w:rsidR="00D75010">
        <w:rPr>
          <w:rFonts w:ascii="Times New Roman" w:hAnsi="Times New Roman"/>
          <w:color w:val="000000"/>
        </w:rPr>
        <w:t>V súlade s požiadavkami čl. 4 ods. 4 a 6 nariadenia (EÚ) č. 98/2013 sa ustanovuje pôsobnosť ministerstva hospodárstva vo vzťahu k Európskej komisii a v oblasti vydávania jednorazových povolení na dovoz obmedzených prekurzorov uvedených v čl. 4 ods. 3 nariadenia. Ďalej sa upravuje pôsobnosť v oblasti sankcií voči členovi širokej verejnosti a možnosť riešenia ďalších obmedzení pri sprístupňovaní látok, ktoré možno zneužiť na nelegálnu výrobu výbušnín v súlade s ochranou doložkou podľa článku 13 nariadenia (EÚ) č. 98/2013.</w:t>
      </w:r>
    </w:p>
    <w:p w:rsidR="00D75010" w:rsidP="000777E8">
      <w:pPr>
        <w:keepNext/>
        <w:bidi w:val="0"/>
        <w:spacing w:before="60" w:after="24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 § </w:t>
      </w:r>
      <w:r w:rsidR="000777E8">
        <w:rPr>
          <w:rFonts w:ascii="Times New Roman" w:hAnsi="Times New Roman"/>
          <w:b/>
          <w:bCs/>
          <w:color w:val="000000"/>
        </w:rPr>
        <w:t>4</w:t>
      </w:r>
    </w:p>
    <w:p w:rsidR="00D75010" w:rsidP="000777E8">
      <w:pPr>
        <w:keepNext/>
        <w:bidi w:val="0"/>
        <w:spacing w:before="60" w:after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Upravuje sa pôsobnosť ministerstva vnútra voči hospodárskym subjektom pri zbere údajov podľa čl. 9 nariadenia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(EÚ) č. 98/2013 s tým, že vytvorí za účelom zberu potrebných údajov kontaktné miesto.</w:t>
      </w:r>
    </w:p>
    <w:p w:rsidR="00D75010" w:rsidP="000777E8">
      <w:pPr>
        <w:keepNext/>
        <w:bidi w:val="0"/>
        <w:spacing w:before="60" w:after="24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 § </w:t>
      </w:r>
      <w:r w:rsidR="000777E8">
        <w:rPr>
          <w:rFonts w:ascii="Times New Roman" w:hAnsi="Times New Roman"/>
          <w:b/>
          <w:bCs/>
          <w:color w:val="000000"/>
        </w:rPr>
        <w:t>5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D75010" w:rsidP="000777E8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Upravuje sa kontrolná činnosť Slovenskej obchodnej inšpekcie za oblasť dodržiavania podmienok sprístupňovania obmedzených prekurzorov výbušnín hospodárskymi subjektmi členom širokej verejnosti vo vzťahu k článkom 4 ods. 7, 5 a 8.</w:t>
      </w:r>
    </w:p>
    <w:p w:rsidR="00D75010" w:rsidP="000777E8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 § </w:t>
      </w:r>
      <w:r w:rsidR="000777E8">
        <w:rPr>
          <w:rFonts w:ascii="Times New Roman" w:hAnsi="Times New Roman"/>
          <w:b/>
          <w:bCs/>
          <w:color w:val="000000"/>
        </w:rPr>
        <w:t>6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6519B6" w:rsidP="006519B6">
      <w:pPr>
        <w:widowControl w:val="0"/>
        <w:autoSpaceDE w:val="0"/>
        <w:bidi w:val="0"/>
        <w:spacing w:before="60" w:after="240"/>
        <w:jc w:val="both"/>
        <w:rPr>
          <w:rFonts w:ascii="EUAlbertina" w:eastAsia="Calibri" w:hAnsi="EUAlbertina" w:cs="EUAlbertina"/>
          <w:color w:val="000000"/>
        </w:rPr>
      </w:pPr>
      <w:r w:rsidR="00D75010">
        <w:rPr>
          <w:rFonts w:ascii="Times New Roman" w:hAnsi="Times New Roman"/>
          <w:bCs/>
          <w:color w:val="000000"/>
        </w:rPr>
        <w:t>V súlade s colným zákonom a čl. 4 ods. 6  nariadenia</w:t>
      </w:r>
      <w:r w:rsidR="00D75010">
        <w:rPr>
          <w:rFonts w:ascii="Times New Roman" w:hAnsi="Times New Roman"/>
          <w:b/>
          <w:bCs/>
          <w:color w:val="000000"/>
        </w:rPr>
        <w:t xml:space="preserve"> </w:t>
      </w:r>
      <w:r w:rsidR="00D75010">
        <w:rPr>
          <w:rFonts w:ascii="EUAlbertina" w:eastAsia="Calibri" w:hAnsi="EUAlbertina" w:cs="EUAlbertina" w:hint="default"/>
          <w:color w:val="000000"/>
        </w:rPr>
        <w:t>č</w:t>
      </w:r>
      <w:r w:rsidR="00D75010">
        <w:rPr>
          <w:rFonts w:ascii="EUAlbertina" w:eastAsia="Calibri" w:hAnsi="EUAlbertina" w:cs="EUAlbertina" w:hint="default"/>
          <w:color w:val="000000"/>
        </w:rPr>
        <w:t>. 98/2013 je upravená</w:t>
      </w:r>
      <w:r w:rsidR="00D75010">
        <w:rPr>
          <w:rFonts w:ascii="EUAlbertina" w:eastAsia="Calibri" w:hAnsi="EUAlbertina" w:cs="EUAlbertina" w:hint="default"/>
          <w:color w:val="000000"/>
        </w:rPr>
        <w:t xml:space="preserve"> pô</w:t>
      </w:r>
      <w:r w:rsidR="00D75010">
        <w:rPr>
          <w:rFonts w:ascii="EUAlbertina" w:eastAsia="Calibri" w:hAnsi="EUAlbertina" w:cs="EUAlbertina" w:hint="default"/>
          <w:color w:val="000000"/>
        </w:rPr>
        <w:t>sobnosť</w:t>
      </w:r>
      <w:r w:rsidR="00D75010">
        <w:rPr>
          <w:rFonts w:ascii="EUAlbertina" w:eastAsia="Calibri" w:hAnsi="EUAlbertina" w:cs="EUAlbertina" w:hint="default"/>
          <w:color w:val="000000"/>
        </w:rPr>
        <w:t xml:space="preserve"> colné</w:t>
      </w:r>
      <w:r w:rsidR="00D75010">
        <w:rPr>
          <w:rFonts w:ascii="EUAlbertina" w:eastAsia="Calibri" w:hAnsi="EUAlbertina" w:cs="EUAlbertina" w:hint="default"/>
          <w:color w:val="000000"/>
        </w:rPr>
        <w:t>ho ú</w:t>
      </w:r>
      <w:r w:rsidR="00D75010">
        <w:rPr>
          <w:rFonts w:ascii="EUAlbertina" w:eastAsia="Calibri" w:hAnsi="EUAlbertina" w:cs="EUAlbertina" w:hint="default"/>
          <w:color w:val="000000"/>
        </w:rPr>
        <w:t>radu pri dovoze obmedzené</w:t>
      </w:r>
      <w:r w:rsidR="00D75010">
        <w:rPr>
          <w:rFonts w:ascii="EUAlbertina" w:eastAsia="Calibri" w:hAnsi="EUAlbertina" w:cs="EUAlbertina" w:hint="default"/>
          <w:color w:val="000000"/>
        </w:rPr>
        <w:t>ho prekurzora vý</w:t>
      </w:r>
      <w:r w:rsidR="00D75010">
        <w:rPr>
          <w:rFonts w:ascii="EUAlbertina" w:eastAsia="Calibri" w:hAnsi="EUAlbertina" w:cs="EUAlbertina" w:hint="default"/>
          <w:color w:val="000000"/>
        </w:rPr>
        <w:t>buš</w:t>
      </w:r>
      <w:r w:rsidR="00D75010">
        <w:rPr>
          <w:rFonts w:ascii="EUAlbertina" w:eastAsia="Calibri" w:hAnsi="EUAlbertina" w:cs="EUAlbertina" w:hint="default"/>
          <w:color w:val="000000"/>
        </w:rPr>
        <w:t>ní</w:t>
      </w:r>
      <w:r w:rsidR="00D75010">
        <w:rPr>
          <w:rFonts w:ascii="EUAlbertina" w:eastAsia="Calibri" w:hAnsi="EUAlbertina" w:cs="EUAlbertina" w:hint="default"/>
          <w:color w:val="000000"/>
        </w:rPr>
        <w:t>n č</w:t>
      </w:r>
      <w:r w:rsidR="00D75010">
        <w:rPr>
          <w:rFonts w:ascii="EUAlbertina" w:eastAsia="Calibri" w:hAnsi="EUAlbertina" w:cs="EUAlbertina" w:hint="default"/>
          <w:color w:val="000000"/>
        </w:rPr>
        <w:t>lenom š</w:t>
      </w:r>
      <w:r w:rsidR="00D75010">
        <w:rPr>
          <w:rFonts w:ascii="EUAlbertina" w:eastAsia="Calibri" w:hAnsi="EUAlbertina" w:cs="EUAlbertina" w:hint="default"/>
          <w:color w:val="000000"/>
        </w:rPr>
        <w:t>irokej verejnosti.</w:t>
      </w:r>
    </w:p>
    <w:p w:rsidR="006519B6" w:rsidP="006519B6">
      <w:pPr>
        <w:widowControl w:val="0"/>
        <w:autoSpaceDE w:val="0"/>
        <w:bidi w:val="0"/>
        <w:spacing w:before="60" w:after="240"/>
        <w:jc w:val="both"/>
        <w:rPr>
          <w:rFonts w:ascii="EUAlbertina" w:eastAsia="Calibri" w:hAnsi="EUAlbertina" w:cs="EUAlbertina"/>
          <w:color w:val="000000"/>
        </w:rPr>
      </w:pPr>
      <w:r w:rsidRPr="000777E8" w:rsidR="000777E8">
        <w:rPr>
          <w:rFonts w:ascii="Times New Roman" w:hAnsi="Times New Roman"/>
          <w:b/>
          <w:bCs/>
          <w:color w:val="000000"/>
        </w:rPr>
        <w:t>K § 7</w:t>
      </w:r>
    </w:p>
    <w:p w:rsidR="00D75010" w:rsidRPr="006519B6" w:rsidP="006519B6">
      <w:pPr>
        <w:widowControl w:val="0"/>
        <w:autoSpaceDE w:val="0"/>
        <w:bidi w:val="0"/>
        <w:spacing w:before="60" w:after="240"/>
        <w:jc w:val="both"/>
        <w:rPr>
          <w:rFonts w:ascii="EUAlbertina" w:eastAsia="Calibri" w:hAnsi="EUAlbertina" w:cs="EUAlbertina"/>
          <w:color w:val="000000"/>
        </w:rPr>
      </w:pPr>
      <w:r w:rsidR="000777E8">
        <w:rPr>
          <w:rFonts w:ascii="Times New Roman" w:hAnsi="Times New Roman"/>
          <w:bCs/>
          <w:color w:val="000000"/>
        </w:rPr>
        <w:t xml:space="preserve">V súlade s článkom 4 nariadenia </w:t>
      </w:r>
      <w:r w:rsidR="000777E8">
        <w:rPr>
          <w:rFonts w:ascii="Times New Roman" w:hAnsi="Times New Roman"/>
          <w:color w:val="000000"/>
        </w:rPr>
        <w:t>(EÚ) č. 98/2013, ktoré dáva členským štátom možnosti alternatív sprístupňovania obmedzených prekurzorov výbušnín členom širokej verejnosti sa určuje, že v SR je ich sprístupňovanie v koncentráciách vyšších ako sú uvedené v prílohe I nariadenia zakázané s výnimkou tých, ktoré sú uvedené v článku 4 ods. 3 tohto nariadenia. Ďalej sa u</w:t>
      </w:r>
      <w:r w:rsidR="000777E8">
        <w:rPr>
          <w:rFonts w:ascii="Times New Roman" w:hAnsi="Times New Roman"/>
          <w:bCs/>
          <w:color w:val="000000"/>
        </w:rPr>
        <w:t>stanovujú povinnosti hospodárskych subjektov a členov širokej verejnosti vo vzťahu k orgánom štátnej správy.</w:t>
      </w:r>
    </w:p>
    <w:p w:rsidR="00D75010" w:rsidP="000777E8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K § 8</w:t>
      </w:r>
    </w:p>
    <w:p w:rsidR="000777E8" w:rsidP="000777E8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 w:rsidR="00D75010">
        <w:rPr>
          <w:rFonts w:ascii="Times New Roman" w:hAnsi="Times New Roman"/>
          <w:bCs/>
          <w:color w:val="000000"/>
        </w:rPr>
        <w:t>V súlade s čl. 11 nariadenia</w:t>
      </w:r>
      <w:r w:rsidR="00D75010">
        <w:rPr>
          <w:rFonts w:ascii="Times New Roman" w:hAnsi="Times New Roman"/>
          <w:b/>
          <w:bCs/>
          <w:color w:val="000000"/>
        </w:rPr>
        <w:t xml:space="preserve"> </w:t>
      </w:r>
      <w:r w:rsidR="00D75010">
        <w:rPr>
          <w:rFonts w:ascii="EUAlbertina" w:eastAsia="Calibri" w:hAnsi="EUAlbertina" w:cs="EUAlbertina" w:hint="default"/>
          <w:color w:val="000000"/>
        </w:rPr>
        <w:t>č</w:t>
      </w:r>
      <w:r w:rsidR="00D75010">
        <w:rPr>
          <w:rFonts w:ascii="EUAlbertina" w:eastAsia="Calibri" w:hAnsi="EUAlbertina" w:cs="EUAlbertina" w:hint="default"/>
          <w:color w:val="000000"/>
        </w:rPr>
        <w:t>. 98/2013 sa upravujú</w:t>
      </w:r>
      <w:r w:rsidR="00D75010">
        <w:rPr>
          <w:rFonts w:ascii="EUAlbertina" w:eastAsia="Calibri" w:hAnsi="EUAlbertina" w:cs="EUAlbertina" w:hint="default"/>
          <w:color w:val="000000"/>
        </w:rPr>
        <w:t xml:space="preserve"> sankcie za sprá</w:t>
      </w:r>
      <w:r w:rsidR="00D75010">
        <w:rPr>
          <w:rFonts w:ascii="EUAlbertina" w:eastAsia="Calibri" w:hAnsi="EUAlbertina" w:cs="EUAlbertina" w:hint="default"/>
          <w:color w:val="000000"/>
        </w:rPr>
        <w:t>vne delikty, o </w:t>
      </w:r>
      <w:r w:rsidR="00D75010">
        <w:rPr>
          <w:rFonts w:ascii="EUAlbertina" w:eastAsia="Calibri" w:hAnsi="EUAlbertina" w:cs="EUAlbertina" w:hint="default"/>
          <w:color w:val="000000"/>
        </w:rPr>
        <w:t>ktorý</w:t>
      </w:r>
      <w:r w:rsidR="00D75010">
        <w:rPr>
          <w:rFonts w:ascii="EUAlbertina" w:eastAsia="Calibri" w:hAnsi="EUAlbertina" w:cs="EUAlbertina" w:hint="default"/>
          <w:color w:val="000000"/>
        </w:rPr>
        <w:t>ch sa rozhoduje podľ</w:t>
      </w:r>
      <w:r w:rsidR="00D75010">
        <w:rPr>
          <w:rFonts w:ascii="EUAlbertina" w:eastAsia="Calibri" w:hAnsi="EUAlbertina" w:cs="EUAlbertina" w:hint="default"/>
          <w:color w:val="000000"/>
        </w:rPr>
        <w:t>a sprá</w:t>
      </w:r>
      <w:r w:rsidR="00D75010">
        <w:rPr>
          <w:rFonts w:ascii="EUAlbertina" w:eastAsia="Calibri" w:hAnsi="EUAlbertina" w:cs="EUAlbertina" w:hint="default"/>
          <w:color w:val="000000"/>
        </w:rPr>
        <w:t>vneho poriadku.</w:t>
      </w:r>
      <w:r w:rsidR="00D75010">
        <w:rPr>
          <w:rFonts w:ascii="EUAlbertina" w:eastAsia="Calibri" w:hAnsi="EUAlbertina" w:cs="EUAlbertina" w:hint="default"/>
          <w:color w:val="000000"/>
        </w:rPr>
        <w:t xml:space="preserve"> </w:t>
      </w:r>
      <w:r w:rsidR="00D75010">
        <w:rPr>
          <w:rFonts w:ascii="Times New Roman" w:hAnsi="Times New Roman"/>
          <w:color w:val="000000"/>
        </w:rPr>
        <w:t xml:space="preserve"> </w:t>
      </w:r>
    </w:p>
    <w:p w:rsidR="006519B6" w:rsidP="006519B6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K § 9</w:t>
      </w:r>
    </w:p>
    <w:p w:rsidR="006519B6" w:rsidP="000777E8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V súlade s čl. 11 nariadenia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EUAlbertina" w:eastAsia="Calibri" w:hAnsi="EUAlbertina" w:cs="EUAlbertina" w:hint="default"/>
          <w:color w:val="000000"/>
        </w:rPr>
        <w:t>č</w:t>
      </w:r>
      <w:r>
        <w:rPr>
          <w:rFonts w:ascii="EUAlbertina" w:eastAsia="Calibri" w:hAnsi="EUAlbertina" w:cs="EUAlbertina" w:hint="default"/>
          <w:color w:val="000000"/>
        </w:rPr>
        <w:t>. 98/2013 sa upravujú</w:t>
      </w:r>
      <w:r>
        <w:rPr>
          <w:rFonts w:ascii="EUAlbertina" w:eastAsia="Calibri" w:hAnsi="EUAlbertina" w:cs="EUAlbertina" w:hint="default"/>
          <w:color w:val="000000"/>
        </w:rPr>
        <w:t xml:space="preserve"> sankcie za priestupky, o </w:t>
      </w:r>
      <w:r>
        <w:rPr>
          <w:rFonts w:ascii="EUAlbertina" w:eastAsia="Calibri" w:hAnsi="EUAlbertina" w:cs="EUAlbertina" w:hint="default"/>
          <w:color w:val="000000"/>
        </w:rPr>
        <w:t>ktorý</w:t>
      </w:r>
      <w:r>
        <w:rPr>
          <w:rFonts w:ascii="EUAlbertina" w:eastAsia="Calibri" w:hAnsi="EUAlbertina" w:cs="EUAlbertina" w:hint="default"/>
          <w:color w:val="000000"/>
        </w:rPr>
        <w:t>ch sa rozhoduje podľ</w:t>
      </w:r>
      <w:r>
        <w:rPr>
          <w:rFonts w:ascii="EUAlbertina" w:eastAsia="Calibri" w:hAnsi="EUAlbertina" w:cs="EUAlbertina" w:hint="default"/>
          <w:color w:val="000000"/>
        </w:rPr>
        <w:t>a zá</w:t>
      </w:r>
      <w:r>
        <w:rPr>
          <w:rFonts w:ascii="EUAlbertina" w:eastAsia="Calibri" w:hAnsi="EUAlbertina" w:cs="EUAlbertina" w:hint="default"/>
          <w:color w:val="000000"/>
        </w:rPr>
        <w:t xml:space="preserve">kona o priestupkoch. </w:t>
      </w:r>
      <w:r>
        <w:rPr>
          <w:rFonts w:ascii="Times New Roman" w:hAnsi="Times New Roman"/>
          <w:color w:val="000000"/>
        </w:rPr>
        <w:t xml:space="preserve"> </w:t>
      </w:r>
    </w:p>
    <w:p w:rsidR="006519B6" w:rsidP="006519B6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 w:rsidR="00D75010">
        <w:rPr>
          <w:rFonts w:ascii="Times New Roman" w:hAnsi="Times New Roman"/>
          <w:b/>
          <w:bCs/>
          <w:color w:val="000000"/>
        </w:rPr>
        <w:t xml:space="preserve">K § </w:t>
      </w:r>
      <w:r>
        <w:rPr>
          <w:rFonts w:ascii="Times New Roman" w:hAnsi="Times New Roman"/>
          <w:b/>
          <w:bCs/>
          <w:color w:val="000000"/>
        </w:rPr>
        <w:t>10</w:t>
      </w:r>
      <w:r w:rsidR="00D75010">
        <w:rPr>
          <w:rFonts w:ascii="Times New Roman" w:hAnsi="Times New Roman"/>
          <w:b/>
          <w:bCs/>
          <w:color w:val="000000"/>
        </w:rPr>
        <w:t xml:space="preserve"> </w:t>
      </w:r>
    </w:p>
    <w:p w:rsidR="006519B6" w:rsidP="006519B6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 w:rsidR="00D75010">
        <w:rPr>
          <w:rFonts w:ascii="Times New Roman" w:hAnsi="Times New Roman"/>
          <w:bCs/>
          <w:color w:val="000000"/>
        </w:rPr>
        <w:t>S cieľom komplexne zabezpečiť informácie o možnom zneužívaní obmedzených prekurzorov výbušnín a ďalších možností predchádzania nelegálnej výroby výbušnín sa ustanovuje spolupráca orgánov štátnej správy.</w:t>
      </w:r>
    </w:p>
    <w:p w:rsidR="006519B6" w:rsidP="006519B6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 w:rsidR="00D75010">
        <w:rPr>
          <w:rFonts w:ascii="Times New Roman" w:hAnsi="Times New Roman"/>
          <w:b/>
          <w:bCs/>
          <w:color w:val="000000"/>
        </w:rPr>
        <w:t>K § 1</w:t>
      </w:r>
      <w:r>
        <w:rPr>
          <w:rFonts w:ascii="Times New Roman" w:hAnsi="Times New Roman"/>
          <w:b/>
          <w:bCs/>
          <w:color w:val="000000"/>
        </w:rPr>
        <w:t>1</w:t>
      </w:r>
    </w:p>
    <w:p w:rsidR="006519B6" w:rsidP="006519B6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 w:rsidR="00D75010">
        <w:rPr>
          <w:rFonts w:ascii="Times New Roman" w:hAnsi="Times New Roman"/>
          <w:bCs/>
          <w:color w:val="000000"/>
        </w:rPr>
        <w:t>V súlade s čl. 10 nariadenia</w:t>
      </w:r>
      <w:r w:rsidR="00D75010">
        <w:rPr>
          <w:rFonts w:ascii="Times New Roman" w:hAnsi="Times New Roman"/>
          <w:b/>
          <w:bCs/>
          <w:color w:val="000000"/>
        </w:rPr>
        <w:t xml:space="preserve"> </w:t>
      </w:r>
      <w:r w:rsidR="00D75010">
        <w:rPr>
          <w:rFonts w:ascii="EUAlbertina" w:eastAsia="Calibri" w:hAnsi="EUAlbertina" w:cs="EUAlbertina" w:hint="default"/>
          <w:color w:val="000000"/>
        </w:rPr>
        <w:t>č</w:t>
      </w:r>
      <w:r w:rsidR="00D75010">
        <w:rPr>
          <w:rFonts w:ascii="EUAlbertina" w:eastAsia="Calibri" w:hAnsi="EUAlbertina" w:cs="EUAlbertina" w:hint="default"/>
          <w:color w:val="000000"/>
        </w:rPr>
        <w:t>. 98/2013 a </w:t>
      </w:r>
      <w:r w:rsidR="00D75010">
        <w:rPr>
          <w:rFonts w:ascii="EUAlbertina" w:eastAsia="Calibri" w:hAnsi="EUAlbertina" w:cs="EUAlbertina" w:hint="default"/>
          <w:color w:val="000000"/>
        </w:rPr>
        <w:t>zá</w:t>
      </w:r>
      <w:r w:rsidR="00D75010">
        <w:rPr>
          <w:rFonts w:ascii="EUAlbertina" w:eastAsia="Calibri" w:hAnsi="EUAlbertina" w:cs="EUAlbertina" w:hint="default"/>
          <w:color w:val="000000"/>
        </w:rPr>
        <w:t>konom o </w:t>
      </w:r>
      <w:r w:rsidR="00D75010">
        <w:rPr>
          <w:rFonts w:ascii="EUAlbertina" w:eastAsia="Calibri" w:hAnsi="EUAlbertina" w:cs="EUAlbertina" w:hint="default"/>
          <w:color w:val="000000"/>
        </w:rPr>
        <w:t>ochrane osobný</w:t>
      </w:r>
      <w:r w:rsidR="00D75010">
        <w:rPr>
          <w:rFonts w:ascii="EUAlbertina" w:eastAsia="Calibri" w:hAnsi="EUAlbertina" w:cs="EUAlbertina" w:hint="default"/>
          <w:color w:val="000000"/>
        </w:rPr>
        <w:t>ch ú</w:t>
      </w:r>
      <w:r w:rsidR="00D75010">
        <w:rPr>
          <w:rFonts w:ascii="EUAlbertina" w:eastAsia="Calibri" w:hAnsi="EUAlbertina" w:cs="EUAlbertina" w:hint="default"/>
          <w:color w:val="000000"/>
        </w:rPr>
        <w:t>dajov sa ustanovujú</w:t>
      </w:r>
      <w:r w:rsidR="00D75010">
        <w:rPr>
          <w:rFonts w:ascii="EUAlbertina" w:eastAsia="Calibri" w:hAnsi="EUAlbertina" w:cs="EUAlbertina" w:hint="default"/>
          <w:color w:val="000000"/>
        </w:rPr>
        <w:t xml:space="preserve"> povinnosti hospodá</w:t>
      </w:r>
      <w:r w:rsidR="00D75010">
        <w:rPr>
          <w:rFonts w:ascii="EUAlbertina" w:eastAsia="Calibri" w:hAnsi="EUAlbertina" w:cs="EUAlbertina" w:hint="default"/>
          <w:color w:val="000000"/>
        </w:rPr>
        <w:t>rskych subjektov a </w:t>
      </w:r>
      <w:r w:rsidR="00D75010">
        <w:rPr>
          <w:rFonts w:ascii="EUAlbertina" w:eastAsia="Calibri" w:hAnsi="EUAlbertina" w:cs="EUAlbertina" w:hint="default"/>
          <w:color w:val="000000"/>
        </w:rPr>
        <w:t>orgá</w:t>
      </w:r>
      <w:r w:rsidR="00D75010">
        <w:rPr>
          <w:rFonts w:ascii="EUAlbertina" w:eastAsia="Calibri" w:hAnsi="EUAlbertina" w:cs="EUAlbertina" w:hint="default"/>
          <w:color w:val="000000"/>
        </w:rPr>
        <w:t>nov š</w:t>
      </w:r>
      <w:r w:rsidR="00D75010">
        <w:rPr>
          <w:rFonts w:ascii="EUAlbertina" w:eastAsia="Calibri" w:hAnsi="EUAlbertina" w:cs="EUAlbertina" w:hint="default"/>
          <w:color w:val="000000"/>
        </w:rPr>
        <w:t>tá</w:t>
      </w:r>
      <w:r w:rsidR="00D75010">
        <w:rPr>
          <w:rFonts w:ascii="EUAlbertina" w:eastAsia="Calibri" w:hAnsi="EUAlbertina" w:cs="EUAlbertina" w:hint="default"/>
          <w:color w:val="000000"/>
        </w:rPr>
        <w:t>tnej sprá</w:t>
      </w:r>
      <w:r w:rsidR="00D75010">
        <w:rPr>
          <w:rFonts w:ascii="EUAlbertina" w:eastAsia="Calibri" w:hAnsi="EUAlbertina" w:cs="EUAlbertina" w:hint="default"/>
          <w:color w:val="000000"/>
        </w:rPr>
        <w:t xml:space="preserve">vy </w:t>
      </w:r>
      <w:r w:rsidR="00D75010">
        <w:rPr>
          <w:rFonts w:ascii="EUAlbertina" w:eastAsia="Calibri" w:hAnsi="EUAlbertina" w:cs="EUAlbertina" w:hint="default"/>
          <w:color w:val="000000"/>
        </w:rPr>
        <w:t>pri ochrane osobný</w:t>
      </w:r>
      <w:r w:rsidR="00D75010">
        <w:rPr>
          <w:rFonts w:ascii="EUAlbertina" w:eastAsia="Calibri" w:hAnsi="EUAlbertina" w:cs="EUAlbertina" w:hint="default"/>
          <w:color w:val="000000"/>
        </w:rPr>
        <w:t>ch ú</w:t>
      </w:r>
      <w:r w:rsidR="00D75010">
        <w:rPr>
          <w:rFonts w:ascii="EUAlbertina" w:eastAsia="Calibri" w:hAnsi="EUAlbertina" w:cs="EUAlbertina" w:hint="default"/>
          <w:color w:val="000000"/>
        </w:rPr>
        <w:t>dajov.</w:t>
      </w:r>
    </w:p>
    <w:p w:rsidR="006519B6" w:rsidP="006519B6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 w:rsidR="00D75010">
        <w:rPr>
          <w:rFonts w:ascii="Times New Roman" w:hAnsi="Times New Roman"/>
          <w:b/>
          <w:bCs/>
          <w:color w:val="000000"/>
        </w:rPr>
        <w:t>K § 1</w:t>
      </w:r>
      <w:r>
        <w:rPr>
          <w:rFonts w:ascii="Times New Roman" w:hAnsi="Times New Roman"/>
          <w:b/>
          <w:bCs/>
          <w:color w:val="000000"/>
        </w:rPr>
        <w:t>2</w:t>
      </w:r>
      <w:r w:rsidR="00D75010">
        <w:rPr>
          <w:rFonts w:ascii="Times New Roman" w:hAnsi="Times New Roman"/>
          <w:b/>
          <w:bCs/>
          <w:color w:val="000000"/>
        </w:rPr>
        <w:t xml:space="preserve"> </w:t>
      </w:r>
    </w:p>
    <w:p w:rsidR="006519B6" w:rsidP="006519B6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 w:rsidR="00D75010">
        <w:rPr>
          <w:rFonts w:ascii="Times New Roman" w:hAnsi="Times New Roman"/>
        </w:rPr>
        <w:t xml:space="preserve">V súlade s čl. 16 </w:t>
      </w:r>
      <w:r w:rsidR="00D75010">
        <w:rPr>
          <w:rFonts w:ascii="Times New Roman" w:hAnsi="Times New Roman"/>
          <w:bCs/>
          <w:color w:val="000000"/>
        </w:rPr>
        <w:t>nariadenia</w:t>
      </w:r>
      <w:r w:rsidR="00D75010">
        <w:rPr>
          <w:rFonts w:ascii="Times New Roman" w:hAnsi="Times New Roman"/>
          <w:b/>
          <w:bCs/>
          <w:color w:val="000000"/>
        </w:rPr>
        <w:t xml:space="preserve"> </w:t>
      </w:r>
      <w:r w:rsidR="00D75010">
        <w:rPr>
          <w:rFonts w:ascii="EUAlbertina" w:eastAsia="Calibri" w:hAnsi="EUAlbertina" w:cs="EUAlbertina" w:hint="default"/>
          <w:color w:val="000000"/>
        </w:rPr>
        <w:t>č</w:t>
      </w:r>
      <w:r w:rsidR="00D75010">
        <w:rPr>
          <w:rFonts w:ascii="EUAlbertina" w:eastAsia="Calibri" w:hAnsi="EUAlbertina" w:cs="EUAlbertina" w:hint="default"/>
          <w:color w:val="000000"/>
        </w:rPr>
        <w:t>. 98/2013 sú</w:t>
      </w:r>
      <w:r w:rsidR="00D75010">
        <w:rPr>
          <w:rFonts w:ascii="EUAlbertina" w:eastAsia="Calibri" w:hAnsi="EUAlbertina" w:cs="EUAlbertina" w:hint="default"/>
          <w:color w:val="000000"/>
        </w:rPr>
        <w:t xml:space="preserve"> u</w:t>
      </w:r>
      <w:r w:rsidR="00D75010">
        <w:rPr>
          <w:rFonts w:ascii="Times New Roman" w:hAnsi="Times New Roman"/>
        </w:rPr>
        <w:t>pravené podmienky, ako má člen širokej verejnosti do 2. marca 2016 naložiť s obmedzenými prekurzormi výbušnín, ktoré nadobudol pred účinnosťou zákona a drží</w:t>
      </w:r>
      <w:r w:rsidR="00D75010">
        <w:rPr>
          <w:rFonts w:ascii="Times New Roman" w:hAnsi="Times New Roman"/>
          <w:color w:val="000000"/>
        </w:rPr>
        <w:t>.</w:t>
      </w:r>
    </w:p>
    <w:p w:rsidR="006519B6" w:rsidP="006519B6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 w:rsidR="00D75010">
        <w:rPr>
          <w:rFonts w:ascii="Times New Roman" w:hAnsi="Times New Roman"/>
          <w:b/>
          <w:bCs/>
          <w:color w:val="000000"/>
        </w:rPr>
        <w:t>K Čl. II</w:t>
      </w:r>
    </w:p>
    <w:p w:rsidR="006519B6" w:rsidP="006519B6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 w:rsidR="00D75010">
        <w:rPr>
          <w:rFonts w:ascii="Times New Roman" w:hAnsi="Times New Roman"/>
          <w:bCs/>
          <w:color w:val="000000"/>
        </w:rPr>
        <w:t>V zákone o správnych poplatkoch sa dopĺňa sadzba poplatku za vydanie jednorazového povolenia na dovoz obmedzeného prekurzora výbušnín.</w:t>
      </w:r>
    </w:p>
    <w:p w:rsidR="006519B6" w:rsidP="006519B6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 w:rsidR="00D75010">
        <w:rPr>
          <w:rFonts w:ascii="Times New Roman" w:hAnsi="Times New Roman"/>
          <w:b/>
          <w:color w:val="000000"/>
        </w:rPr>
        <w:t>K Čl. III</w:t>
      </w:r>
    </w:p>
    <w:p w:rsidR="006519B6" w:rsidP="006519B6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 w:rsidR="00D75010">
        <w:rPr>
          <w:rFonts w:ascii="Times New Roman" w:hAnsi="Times New Roman"/>
        </w:rPr>
        <w:t xml:space="preserve">Zákon č. 67/2010 Z. z. o podmienkach uvedenia chemických látok a chemických zmesí na trh a o doplnení niektorých zákonov (chemický zákon) v znení zákona č. 339/2012 Z. z. a zákona č. 319/2013 Z. z. sa mení a dopĺňa tak, že sa upravuje spodná hranica pokút z  dôvodu, že najnižšie pokuty za správne delikty v chemickom zákone sú príliš vysoké a likvidačné pre väčšinu kontrolovaných podnikateľov, a  nekorešpondujú so stupňom závažnosti jednotlivých nedostatkov. </w:t>
      </w:r>
    </w:p>
    <w:p w:rsidR="00D75010" w:rsidRPr="006519B6" w:rsidP="006519B6">
      <w:pPr>
        <w:widowControl w:val="0"/>
        <w:autoSpaceDE w:val="0"/>
        <w:bidi w:val="0"/>
        <w:spacing w:before="60" w:after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K Čl. IV</w:t>
      </w:r>
    </w:p>
    <w:p w:rsidR="00D75010" w:rsidP="000777E8">
      <w:pPr>
        <w:bidi w:val="0"/>
        <w:spacing w:after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Ustanovuje sa účinnosť zákona od 1. novembra 2014</w:t>
      </w:r>
      <w:r w:rsidR="005046AF">
        <w:rPr>
          <w:rFonts w:ascii="Times New Roman" w:hAnsi="Times New Roman"/>
          <w:color w:val="000000"/>
        </w:rPr>
        <w:t>.</w:t>
      </w:r>
    </w:p>
    <w:p w:rsidR="000A18AC" w:rsidP="00B35951">
      <w:pPr>
        <w:bidi w:val="0"/>
        <w:spacing w:line="276" w:lineRule="auto"/>
        <w:jc w:val="both"/>
        <w:rPr>
          <w:rFonts w:ascii="Times New Roman" w:hAnsi="Times New Roman"/>
        </w:rPr>
      </w:pPr>
    </w:p>
    <w:p w:rsidR="00B35951" w:rsidP="00B35951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Bratislava  2</w:t>
      </w:r>
      <w:r w:rsidR="000A18A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0A18AC">
        <w:rPr>
          <w:rFonts w:ascii="Times New Roman" w:hAnsi="Times New Roman"/>
        </w:rPr>
        <w:t>mája</w:t>
      </w:r>
      <w:r>
        <w:rPr>
          <w:rFonts w:ascii="Times New Roman" w:hAnsi="Times New Roman"/>
        </w:rPr>
        <w:t xml:space="preserve"> 2014</w:t>
      </w:r>
    </w:p>
    <w:p w:rsidR="00B35951" w:rsidP="00B35951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B35951" w:rsidP="00B35951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B35951" w:rsidRPr="00CD4741" w:rsidP="00B35951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</w:rPr>
      </w:pPr>
      <w:r w:rsidR="000A18AC">
        <w:rPr>
          <w:rFonts w:ascii="Times New Roman" w:hAnsi="Times New Roman" w:cs="Times New Roman"/>
          <w:b/>
          <w:bCs/>
        </w:rPr>
        <w:t>Robert Fico</w:t>
      </w:r>
      <w:r w:rsidR="000F0DFE">
        <w:rPr>
          <w:rFonts w:ascii="Times New Roman" w:hAnsi="Times New Roman" w:cs="Times New Roman"/>
          <w:b/>
          <w:bCs/>
        </w:rPr>
        <w:t xml:space="preserve"> </w:t>
      </w:r>
      <w:r w:rsidRPr="000F0DFE" w:rsidR="000F0DFE">
        <w:rPr>
          <w:rFonts w:ascii="Times New Roman" w:hAnsi="Times New Roman" w:cs="Times New Roman"/>
          <w:bCs/>
        </w:rPr>
        <w:t>v. r.</w:t>
      </w:r>
    </w:p>
    <w:p w:rsidR="00B35951" w:rsidP="00B35951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B35951" w:rsidP="00B35951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B35951" w:rsidP="00B35951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B35951" w:rsidP="00B35951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B35951" w:rsidRPr="00CD4741" w:rsidP="00B35951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bCs/>
        </w:rPr>
      </w:pPr>
      <w:r w:rsidR="000A18AC">
        <w:rPr>
          <w:rFonts w:ascii="Times New Roman" w:hAnsi="Times New Roman" w:cs="Times New Roman"/>
          <w:b/>
          <w:bCs/>
        </w:rPr>
        <w:t>Tomáš Malatinský</w:t>
      </w:r>
      <w:r w:rsidR="000F0DFE">
        <w:rPr>
          <w:rFonts w:ascii="Times New Roman" w:hAnsi="Times New Roman" w:cs="Times New Roman"/>
          <w:b/>
          <w:bCs/>
        </w:rPr>
        <w:t xml:space="preserve"> </w:t>
      </w:r>
      <w:r w:rsidRPr="000F0DFE" w:rsidR="000F0DFE">
        <w:rPr>
          <w:rFonts w:ascii="Times New Roman" w:hAnsi="Times New Roman" w:cs="Times New Roman"/>
          <w:bCs/>
        </w:rPr>
        <w:t>v. r.</w:t>
      </w:r>
    </w:p>
    <w:p w:rsidR="00B35951" w:rsidP="000A18AC">
      <w:pPr>
        <w:pStyle w:val="3"/>
        <w:widowControl/>
        <w:bidi w:val="0"/>
        <w:jc w:val="center"/>
        <w:outlineLvl w:val="1"/>
        <w:rPr>
          <w:color w:val="000000"/>
        </w:rPr>
      </w:pPr>
      <w:r>
        <w:t>minister hospodárstva Slovenskej republiky</w:t>
      </w:r>
    </w:p>
    <w:sectPr w:rsidSect="005A375D">
      <w:footerReference w:type="default" r:id="rId5"/>
      <w:pgSz w:w="11906" w:h="16838"/>
      <w:pgMar w:top="1077" w:right="1418" w:bottom="1247" w:left="1418" w:header="709" w:footer="567" w:gutter="0"/>
      <w:lnNumType w:distance="0"/>
      <w:pgNumType w:start="14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 New =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96" w:rsidRPr="00EB5896">
    <w:pPr>
      <w:pStyle w:val="Footer"/>
      <w:bidi w:val="0"/>
      <w:jc w:val="center"/>
      <w:rPr>
        <w:rFonts w:ascii="Times New Roman" w:hAnsi="Times New Roman"/>
        <w:sz w:val="22"/>
        <w:szCs w:val="22"/>
      </w:rPr>
    </w:pPr>
    <w:r w:rsidRPr="00EB5896">
      <w:rPr>
        <w:rFonts w:ascii="Times New Roman" w:hAnsi="Times New Roman"/>
        <w:sz w:val="22"/>
        <w:szCs w:val="22"/>
      </w:rPr>
      <w:fldChar w:fldCharType="begin"/>
    </w:r>
    <w:r w:rsidRPr="00EB5896">
      <w:rPr>
        <w:rFonts w:ascii="Times New Roman" w:hAnsi="Times New Roman"/>
        <w:sz w:val="22"/>
        <w:szCs w:val="22"/>
      </w:rPr>
      <w:instrText>PAGE   \* MERGEFORMAT</w:instrText>
    </w:r>
    <w:r w:rsidRPr="00EB5896">
      <w:rPr>
        <w:rFonts w:ascii="Times New Roman" w:hAnsi="Times New Roman"/>
        <w:sz w:val="22"/>
        <w:szCs w:val="22"/>
      </w:rPr>
      <w:fldChar w:fldCharType="separate"/>
    </w:r>
    <w:r w:rsidR="007423C2">
      <w:rPr>
        <w:rFonts w:ascii="Times New Roman" w:hAnsi="Times New Roman"/>
        <w:noProof/>
        <w:sz w:val="22"/>
        <w:szCs w:val="22"/>
      </w:rPr>
      <w:t>14</w:t>
    </w:r>
    <w:r w:rsidRPr="00EB5896">
      <w:rPr>
        <w:rFonts w:ascii="Times New Roman" w:hAnsi="Times New Roman"/>
        <w:sz w:val="22"/>
        <w:szCs w:val="22"/>
      </w:rPr>
      <w:fldChar w:fldCharType="end"/>
    </w:r>
  </w:p>
  <w:p w:rsidR="00D75010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75010"/>
    <w:rsid w:val="000777E8"/>
    <w:rsid w:val="000A18AC"/>
    <w:rsid w:val="000F0DFE"/>
    <w:rsid w:val="002E01B0"/>
    <w:rsid w:val="003257FC"/>
    <w:rsid w:val="00480394"/>
    <w:rsid w:val="005046AF"/>
    <w:rsid w:val="00516C2E"/>
    <w:rsid w:val="005A375D"/>
    <w:rsid w:val="006519B6"/>
    <w:rsid w:val="006666B1"/>
    <w:rsid w:val="006A2B4D"/>
    <w:rsid w:val="007423C2"/>
    <w:rsid w:val="00862329"/>
    <w:rsid w:val="00926466"/>
    <w:rsid w:val="00934357"/>
    <w:rsid w:val="00AC5264"/>
    <w:rsid w:val="00B35951"/>
    <w:rsid w:val="00B55FDD"/>
    <w:rsid w:val="00BF6DB4"/>
    <w:rsid w:val="00CD4741"/>
    <w:rsid w:val="00D75010"/>
    <w:rsid w:val="00EB5896"/>
    <w:rsid w:val="00EF16C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10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D75010"/>
    <w:pPr>
      <w:spacing w:before="280" w:after="280"/>
      <w:jc w:val="left"/>
    </w:pPr>
  </w:style>
  <w:style w:type="paragraph" w:styleId="Header">
    <w:name w:val="header"/>
    <w:basedOn w:val="Normal"/>
    <w:link w:val="HeaderChar"/>
    <w:uiPriority w:val="99"/>
    <w:unhideWhenUsed/>
    <w:rsid w:val="00D75010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5010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styleId="Footer">
    <w:name w:val="footer"/>
    <w:basedOn w:val="Normal"/>
    <w:link w:val="FooterChar"/>
    <w:uiPriority w:val="99"/>
    <w:unhideWhenUsed/>
    <w:rsid w:val="00D7501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5010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customStyle="1" w:styleId="3">
    <w:name w:val="=3"/>
    <w:rsid w:val="00B35951"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ascii="Times New =Roman" w:hAnsi="Times New =Roman" w:cs="Times New =Roman"/>
      <w:sz w:val="24"/>
      <w:szCs w:val="24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94B6-9647-4C25-8A1A-FBBED8AA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577</Words>
  <Characters>3293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Gašparíková, Jarmila</cp:lastModifiedBy>
  <cp:revision>2</cp:revision>
  <cp:lastPrinted>2014-05-21T14:54:00Z</cp:lastPrinted>
  <dcterms:created xsi:type="dcterms:W3CDTF">2014-06-04T13:13:00Z</dcterms:created>
  <dcterms:modified xsi:type="dcterms:W3CDTF">2014-06-04T13:13:00Z</dcterms:modified>
</cp:coreProperties>
</file>